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Heading1"/>
        <w:jc w:val="center"/>
      </w:pPr>
      <w:r>
        <w:rPr>
          <w:b/>
          <w:sz w:val="44"/>
        </w:rPr>
        <w:t>面向低空交通的可信数智空间与数据要素标准化关键技术研究及应用</w:t>
      </w:r>
    </w:p>
    <w:p/>
    <w:p>
      <w:pPr>
        <w:jc w:val="center"/>
      </w:pPr>
      <w:r>
        <w:rPr>
          <w:b/>
          <w:sz w:val="28"/>
        </w:rPr>
        <w:t xml:space="preserve">申报类型: </w:t>
      </w:r>
      <w:r>
        <w:rPr>
          <w:sz w:val="28"/>
        </w:rPr>
        <w:t>尖兵项目（第二批）</w:t>
      </w:r>
    </w:p>
    <w:p>
      <w:pPr>
        <w:jc w:val="center"/>
      </w:pPr>
      <w:r>
        <w:rPr>
          <w:b/>
          <w:sz w:val="28"/>
        </w:rPr>
        <w:t xml:space="preserve">科创高地: </w:t>
      </w:r>
      <w:r>
        <w:rPr>
          <w:sz w:val="28"/>
        </w:rPr>
        <w:t>人工智能</w:t>
      </w:r>
    </w:p>
    <w:p>
      <w:pPr>
        <w:jc w:val="center"/>
      </w:pPr>
      <w:r>
        <w:rPr>
          <w:b/>
          <w:sz w:val="28"/>
        </w:rPr>
        <w:t xml:space="preserve">战略领域: </w:t>
      </w:r>
      <w:r>
        <w:rPr>
          <w:sz w:val="28"/>
        </w:rPr>
        <w:t>智能控制与先进制造</w:t>
      </w:r>
    </w:p>
    <w:p>
      <w:pPr>
        <w:jc w:val="center"/>
      </w:pPr>
      <w:r>
        <w:rPr>
          <w:b/>
          <w:sz w:val="28"/>
        </w:rPr>
        <w:t xml:space="preserve">攻关时限: </w:t>
      </w:r>
      <w:r>
        <w:rPr>
          <w:sz w:val="28"/>
        </w:rPr>
        <w:t>3年</w:t>
      </w:r>
    </w:p>
    <w:p>
      <w:pPr>
        <w:jc w:val="center"/>
      </w:pPr>
      <w:r>
        <w:rPr>
          <w:b/>
          <w:sz w:val="28"/>
        </w:rPr>
        <w:t xml:space="preserve">组织方式: </w:t>
      </w:r>
      <w:r>
        <w:rPr>
          <w:sz w:val="28"/>
        </w:rPr>
        <w:t>竞争性分配</w:t>
      </w:r>
    </w:p>
    <w:p>
      <w:pPr>
        <w:jc w:val="center"/>
      </w:pPr>
      <w:r>
        <w:rPr>
          <w:b/>
          <w:sz w:val="28"/>
        </w:rPr>
        <w:t xml:space="preserve">申报主体: </w:t>
      </w:r>
      <w:r>
        <w:rPr>
          <w:sz w:val="28"/>
        </w:rPr>
        <w:t>产学研合作联合体</w:t>
      </w:r>
    </w:p>
    <w:p/>
    <w:p/>
    <w:p>
      <w:pPr>
        <w:jc w:val="center"/>
      </w:pPr>
      <w:r>
        <w:rPr>
          <w:color w:val="666666"/>
          <w:sz w:val="24"/>
        </w:rPr>
        <w:t>生成时间: 2026-07-13 12:06:16</w:t>
      </w:r>
    </w:p>
    <w:p>
      <w:pPr>
        <w:jc w:val="center"/>
      </w:pPr>
      <w:r>
        <w:rPr>
          <w:color w:val="666666"/>
          <w:sz w:val="24"/>
        </w:rPr>
        <w:t>版本: V1.0</w:t>
      </w:r>
    </w:p>
    <w:p>
      <w:r>
        <w:br w:type="page"/>
      </w:r>
    </w:p>
    <w:p>
      <w:pPr>
        <w:pStyle w:val="Heading2"/>
      </w:pPr>
      <w:r>
        <w:t>一、项目基本信息</w:t>
      </w:r>
    </w:p>
    <w:tbl>
      <w:tblPr>
        <w:tblStyle w:val="TableGrid"/>
        <w:tblW w:type="auto" w:w="0"/>
        <w:jc w:val="center"/>
        <w:tblLayout w:type="autofit"/>
        <w:tblLook w:firstColumn="1" w:firstRow="1" w:lastColumn="0" w:lastRow="0" w:noHBand="0" w:noVBand="1" w:val="04A0"/>
      </w:tblPr>
      <w:tblGrid>
        <w:gridCol w:w="4150"/>
        <w:gridCol w:w="4150"/>
      </w:tblGrid>
      <w:tr>
        <w:tc>
          <w:tcPr>
            <w:tcW w:type="dxa" w:w="4150"/>
          </w:tcPr>
          <w:p>
            <w:r>
              <w:rPr>
                <w:rFonts w:ascii="宋体" w:hAnsi="宋体" w:eastAsia="宋体"/>
                <w:sz w:val="22"/>
              </w:rPr>
              <w:t>项目名称</w:t>
            </w:r>
          </w:p>
        </w:tc>
        <w:tc>
          <w:tcPr>
            <w:tcW w:type="dxa" w:w="4150"/>
          </w:tcPr>
          <w:p>
            <w:r>
              <w:rPr>
                <w:rFonts w:ascii="宋体" w:hAnsi="宋体" w:eastAsia="宋体"/>
                <w:sz w:val="22"/>
              </w:rPr>
              <w:t>面向低空交通的可信数智空间与数据要素标准化关键技术研究及应用</w:t>
            </w:r>
          </w:p>
        </w:tc>
      </w:tr>
      <w:tr>
        <w:tc>
          <w:tcPr>
            <w:tcW w:type="dxa" w:w="4150"/>
          </w:tcPr>
          <w:p>
            <w:r>
              <w:rPr>
                <w:rFonts w:ascii="宋体" w:hAnsi="宋体" w:eastAsia="宋体"/>
                <w:sz w:val="22"/>
              </w:rPr>
              <w:t>榜单项目定位</w:t>
            </w:r>
          </w:p>
        </w:tc>
        <w:tc>
          <w:tcPr>
            <w:tcW w:type="dxa" w:w="4150"/>
          </w:tcPr>
          <w:p>
            <w:r>
              <w:rPr>
                <w:rFonts w:ascii="宋体" w:hAnsi="宋体" w:eastAsia="宋体"/>
                <w:sz w:val="22"/>
              </w:rPr>
              <w:t>尖兵项目</w:t>
            </w:r>
          </w:p>
        </w:tc>
      </w:tr>
      <w:tr>
        <w:tc>
          <w:tcPr>
            <w:tcW w:type="dxa" w:w="4150"/>
          </w:tcPr>
          <w:p>
            <w:r>
              <w:rPr>
                <w:rFonts w:ascii="宋体" w:hAnsi="宋体" w:eastAsia="宋体"/>
                <w:sz w:val="22"/>
              </w:rPr>
              <w:t>科创高地</w:t>
            </w:r>
          </w:p>
        </w:tc>
        <w:tc>
          <w:tcPr>
            <w:tcW w:type="dxa" w:w="4150"/>
          </w:tcPr>
          <w:p>
            <w:r>
              <w:rPr>
                <w:rFonts w:ascii="宋体" w:hAnsi="宋体" w:eastAsia="宋体"/>
                <w:sz w:val="22"/>
              </w:rPr>
              <w:t>人工智能</w:t>
            </w:r>
          </w:p>
        </w:tc>
      </w:tr>
      <w:tr>
        <w:tc>
          <w:tcPr>
            <w:tcW w:type="dxa" w:w="4150"/>
          </w:tcPr>
          <w:p>
            <w:r>
              <w:rPr>
                <w:rFonts w:ascii="宋体" w:hAnsi="宋体" w:eastAsia="宋体"/>
                <w:sz w:val="22"/>
              </w:rPr>
              <w:t>战略领域</w:t>
            </w:r>
          </w:p>
        </w:tc>
        <w:tc>
          <w:tcPr>
            <w:tcW w:type="dxa" w:w="4150"/>
          </w:tcPr>
          <w:p>
            <w:r>
              <w:rPr>
                <w:rFonts w:ascii="宋体" w:hAnsi="宋体" w:eastAsia="宋体"/>
                <w:sz w:val="22"/>
              </w:rPr>
              <w:t>智能控制与先进制造</w:t>
            </w:r>
          </w:p>
        </w:tc>
      </w:tr>
      <w:tr>
        <w:tc>
          <w:tcPr>
            <w:tcW w:type="dxa" w:w="4150"/>
          </w:tcPr>
          <w:p>
            <w:r>
              <w:rPr>
                <w:rFonts w:ascii="宋体" w:hAnsi="宋体" w:eastAsia="宋体"/>
                <w:sz w:val="22"/>
              </w:rPr>
              <w:t>攻关时限</w:t>
            </w:r>
          </w:p>
        </w:tc>
        <w:tc>
          <w:tcPr>
            <w:tcW w:type="dxa" w:w="4150"/>
          </w:tcPr>
          <w:p>
            <w:r>
              <w:rPr>
                <w:rFonts w:ascii="宋体" w:hAnsi="宋体" w:eastAsia="宋体"/>
                <w:sz w:val="22"/>
              </w:rPr>
              <w:t>3年</w:t>
            </w:r>
          </w:p>
        </w:tc>
      </w:tr>
      <w:tr>
        <w:tc>
          <w:tcPr>
            <w:tcW w:type="dxa" w:w="4150"/>
          </w:tcPr>
          <w:p>
            <w:r>
              <w:rPr>
                <w:rFonts w:ascii="宋体" w:hAnsi="宋体" w:eastAsia="宋体"/>
                <w:sz w:val="22"/>
              </w:rPr>
              <w:t>组织方式</w:t>
            </w:r>
          </w:p>
        </w:tc>
        <w:tc>
          <w:tcPr>
            <w:tcW w:type="dxa" w:w="4150"/>
          </w:tcPr>
          <w:p>
            <w:r>
              <w:rPr>
                <w:rFonts w:ascii="宋体" w:hAnsi="宋体" w:eastAsia="宋体"/>
                <w:sz w:val="22"/>
              </w:rPr>
              <w:t>竞争性分配</w:t>
            </w:r>
          </w:p>
        </w:tc>
      </w:tr>
      <w:tr>
        <w:tc>
          <w:tcPr>
            <w:tcW w:type="dxa" w:w="4150"/>
          </w:tcPr>
          <w:p>
            <w:r>
              <w:rPr>
                <w:rFonts w:ascii="宋体" w:hAnsi="宋体" w:eastAsia="宋体"/>
                <w:sz w:val="22"/>
              </w:rPr>
              <w:t>申报主体</w:t>
            </w:r>
          </w:p>
        </w:tc>
        <w:tc>
          <w:tcPr>
            <w:tcW w:type="dxa" w:w="4150"/>
          </w:tcPr>
          <w:p>
            <w:r>
              <w:rPr>
                <w:rFonts w:ascii="宋体" w:hAnsi="宋体" w:eastAsia="宋体"/>
                <w:sz w:val="22"/>
              </w:rPr>
              <w:t>牵头申报单位不限主体，鼓励产学研合作</w:t>
            </w:r>
          </w:p>
        </w:tc>
      </w:tr>
      <w:tr>
        <w:tc>
          <w:tcPr>
            <w:tcW w:type="dxa" w:w="4150"/>
          </w:tcPr>
          <w:p>
            <w:r>
              <w:rPr>
                <w:rFonts w:ascii="宋体" w:hAnsi="宋体" w:eastAsia="宋体"/>
                <w:sz w:val="22"/>
              </w:rPr>
              <w:t>申报窗口</w:t>
            </w:r>
          </w:p>
        </w:tc>
        <w:tc>
          <w:tcPr>
            <w:tcW w:type="dxa" w:w="4150"/>
          </w:tcPr>
          <w:p>
            <w:r>
              <w:rPr>
                <w:rFonts w:ascii="宋体" w:hAnsi="宋体" w:eastAsia="宋体"/>
                <w:sz w:val="22"/>
              </w:rPr>
              <w:t>2026-07-20 至 2026-08-10 17:30</w:t>
            </w:r>
          </w:p>
        </w:tc>
      </w:tr>
      <w:tr>
        <w:tc>
          <w:tcPr>
            <w:tcW w:type="dxa" w:w="4150"/>
          </w:tcPr>
          <w:p/>
        </w:tc>
        <w:tc>
          <w:tcPr>
            <w:tcW w:type="dxa" w:w="4150"/>
          </w:tcPr>
          <w:p/>
        </w:tc>
      </w:tr>
    </w:tbl>
    <w:p/>
    <w:p>
      <w:pPr>
        <w:pStyle w:val="Heading2"/>
      </w:pPr>
      <w:r>
        <w:t>二、立项依据</w:t>
      </w:r>
    </w:p>
    <w:p>
      <w:pPr>
        <w:pStyle w:val="Heading3"/>
      </w:pPr>
      <w:r>
        <w:t>2.1 研究背景</w:t>
      </w:r>
    </w:p>
    <w:p>
      <w:pPr>
        <w:jc w:val="both"/>
      </w:pPr>
      <w:r>
        <w:t>低空经济作为国家战略性新兴产业，涵盖无人机物流、城市空中交通（UAM）、农业植保、应急救援等多个应用场景。随着低空飞行器数量的爆发式增长，低空交通系统面临以下核心挑战：</w:t>
      </w:r>
    </w:p>
    <w:p>
      <w:pPr>
        <w:jc w:val="both"/>
      </w:pPr>
      <w:r>
        <w:t>1. 数据来源多、标准缺失：低空飞行器、地面站、气象站等多源异构数据缺乏统一标准，难以实现跨系统互联互通</w:t>
      </w:r>
    </w:p>
    <w:p>
      <w:pPr>
        <w:jc w:val="both"/>
      </w:pPr>
      <w:r>
        <w:t>2. 安全共享难：低空数据涉及国家安全、商业机密和个人隐私，传统中心化数据共享模式存在单点故障和信任瓶颈</w:t>
      </w:r>
    </w:p>
    <w:p>
      <w:pPr>
        <w:jc w:val="both"/>
      </w:pPr>
      <w:r>
        <w:t>3. 动态组网复杂：低空飞行器高速移动、拓扑频繁变化，传统网络协议难以保证全链路安全</w:t>
      </w:r>
    </w:p>
    <w:p>
      <w:pPr>
        <w:jc w:val="both"/>
      </w:pPr>
      <w:r>
        <w:t>4. 规模化运营瓶颈：现有区块链共识算法效率低下，无法支撑大规模低空数据实时运营需求</w:t>
      </w:r>
    </w:p>
    <w:p>
      <w:pPr>
        <w:pStyle w:val="Heading3"/>
      </w:pPr>
      <w:r>
        <w:t>2.2 国内外研究现状</w:t>
      </w:r>
    </w:p>
    <w:p>
      <w:pPr>
        <w:jc w:val="both"/>
      </w:pPr>
      <w:r>
        <w:rPr>
          <w:b/>
        </w:rPr>
        <w:t>国际方面：</w:t>
      </w:r>
    </w:p>
    <w:p>
      <w:pPr>
        <w:jc w:val="both"/>
      </w:pPr>
      <w:r>
        <w:t>• NASA UTM（无人机交通管理系统）：聚焦空域管理，但数据安全与共享机制薄弱</w:t>
      </w:r>
    </w:p>
    <w:p>
      <w:pPr>
        <w:jc w:val="both"/>
      </w:pPr>
      <w:r>
        <w:t>• EU U-space：强调标准化，但区块链与密码学技术集成不足</w:t>
      </w:r>
    </w:p>
    <w:p>
      <w:pPr>
        <w:jc w:val="both"/>
      </w:pPr>
      <w:r>
        <w:t>• 传统区块链方案（Hyperledger Fabric、Ethereum）：吞吐量低（&lt;1000 tps）、延迟高（&gt;1s），无法满足低空交通实时性要求</w:t>
      </w:r>
    </w:p>
    <w:p>
      <w:pPr>
        <w:jc w:val="both"/>
      </w:pPr>
      <w:r>
        <w:rPr>
          <w:b/>
        </w:rPr>
        <w:t>国内方面：</w:t>
      </w:r>
    </w:p>
    <w:p>
      <w:pPr>
        <w:jc w:val="both"/>
      </w:pPr>
      <w:r>
        <w:t>• 深圳、合肥等地已开展低空经济试点，但可信数据空间建设仍处于起步阶段</w:t>
      </w:r>
    </w:p>
    <w:p>
      <w:pPr>
        <w:jc w:val="both"/>
      </w:pPr>
      <w:r>
        <w:t>• 学术界在异步区块链共识、分布式访问控制等方面已有理论积累，但缺乏面向低空场景的系统性工程实践</w:t>
      </w:r>
    </w:p>
    <w:p>
      <w:pPr>
        <w:pStyle w:val="Heading3"/>
      </w:pPr>
      <w:r>
        <w:t>2.3 本项目创新点</w:t>
      </w:r>
    </w:p>
    <w:p>
      <w:pPr>
        <w:jc w:val="both"/>
      </w:pPr>
      <w:r>
        <w:t>本项目提出"技术-标准"一体化的可信数智空间架构，核心创新包括：</w:t>
      </w:r>
    </w:p>
    <w:p>
      <w:pPr>
        <w:jc w:val="both"/>
      </w:pPr>
      <w:r>
        <w:t>1. 高性能异步区块链共识：突破传统同步共识的效率瓶颈，实现≥50,000 tps 吞吐量</w:t>
      </w:r>
    </w:p>
    <w:p>
      <w:pPr>
        <w:jc w:val="both"/>
      </w:pPr>
      <w:r>
        <w:t>2. 分布式细粒度访问控制：无需可信中心，支持动态权限修改，单次共享延迟≤100ms</w:t>
      </w:r>
    </w:p>
    <w:p>
      <w:pPr>
        <w:jc w:val="both"/>
      </w:pPr>
      <w:r>
        <w:t>3. 低空动态组网全链路安全：分布式密钥生命周期管理，10%丢包率下保持连接稳定</w:t>
      </w:r>
    </w:p>
    <w:p>
      <w:pPr>
        <w:jc w:val="both"/>
      </w:pPr>
      <w:r>
        <w:t>4. 低空数据标准规范体系：制定团体标准1项，填补行业空白</w:t>
      </w:r>
    </w:p>
    <w:p>
      <w:pPr>
        <w:pStyle w:val="Heading2"/>
      </w:pPr>
      <w:r>
        <w:t>三、研究内容与技术路线</w:t>
      </w:r>
    </w:p>
    <w:p>
      <w:pPr>
        <w:pStyle w:val="Heading3"/>
      </w:pPr>
      <w:r>
        <w:t>3.1 研究内容一：低空可信数智空间构建技术</w:t>
      </w:r>
    </w:p>
    <w:p>
      <w:r>
        <w:rPr>
          <w:b/>
        </w:rPr>
        <w:t>目标：</w:t>
      </w:r>
      <w:r>
        <w:t>构建高性能异步区块链共识系统，支撑大规模低空数据运营</w:t>
      </w:r>
    </w:p>
    <w:p>
      <w:r>
        <w:rPr>
          <w:b/>
        </w:rPr>
        <w:t>技术路线：</w:t>
      </w:r>
    </w:p>
    <w:p>
      <w:pPr>
        <w:jc w:val="both"/>
      </w:pPr>
      <w:r>
        <w:t>1. 异步拜占庭容错（aBFT）共识算法：基于 DAG（有向无环图）结构，实现交易并行验证；引入分片技术，将网络划分为多个并行共识组；优化通信复杂度从 O(n²) 降至 O(n log n)</w:t>
      </w:r>
    </w:p>
    <w:p>
      <w:pPr>
        <w:jc w:val="both"/>
      </w:pPr>
      <w:r>
        <w:t>2. 低空数据模型设计：定义飞行器身份、飞行计划、遥测数据、气象数据等核心实体；建立数据血缘追踪机制，确保数据可追溯、可审计</w:t>
      </w:r>
    </w:p>
    <w:p>
      <w:pPr>
        <w:jc w:val="both"/>
      </w:pPr>
      <w:r>
        <w:t>3. 系统架构：应用层（飞行器调度/空域管理/数据共享/审计追踪）→ 智能合约层（访问控制合约/数据共享合约/审计合约）→ 共识层（aBFT 共识引擎/DAG 存储/分片管理）→ 网络层（P2P 通信/消息路由/动态组网）</w:t>
      </w:r>
    </w:p>
    <w:p>
      <w:r>
        <w:rPr>
          <w:b/>
        </w:rPr>
        <w:t>预期指标：</w:t>
      </w:r>
    </w:p>
    <w:p>
      <w:pPr>
        <w:jc w:val="both"/>
      </w:pPr>
      <w:r>
        <w:t>• 系统支持 ≥500 个主体接入</w:t>
      </w:r>
    </w:p>
    <w:p>
      <w:pPr>
        <w:jc w:val="both"/>
      </w:pPr>
      <w:r>
        <w:t>• 系统延迟 ≤50ms</w:t>
      </w:r>
    </w:p>
    <w:p>
      <w:pPr>
        <w:jc w:val="both"/>
      </w:pPr>
      <w:r>
        <w:t>• 异步区块链吞吐量 ≥50,000 tps</w:t>
      </w:r>
    </w:p>
    <w:p>
      <w:pPr>
        <w:pStyle w:val="Heading3"/>
      </w:pPr>
      <w:r>
        <w:t>3.2 研究内容二：分布式数据共享安全协议</w:t>
      </w:r>
    </w:p>
    <w:p>
      <w:r>
        <w:rPr>
          <w:b/>
        </w:rPr>
        <w:t>目标：</w:t>
      </w:r>
      <w:r>
        <w:t>研制低空数据细粒度访问控制技术，实现数据安全流通共享</w:t>
      </w:r>
    </w:p>
    <w:p>
      <w:r>
        <w:rPr>
          <w:b/>
        </w:rPr>
        <w:t>技术路线：</w:t>
      </w:r>
    </w:p>
    <w:p>
      <w:pPr>
        <w:jc w:val="both"/>
      </w:pPr>
      <w:r>
        <w:t>1. 基于属性加密（ABE）的访问控制：支持多维度属性（角色、位置、时间、任务类型）；实现细粒度权限策略（读取、写入、转发、删除）；支持动态权限修改，无需重新加密数据</w:t>
      </w:r>
    </w:p>
    <w:p>
      <w:pPr>
        <w:jc w:val="both"/>
      </w:pPr>
      <w:r>
        <w:t>2. 分布式信任机制：无需可信中心，基于区块链实现权限验证；引入信誉评分机制，节点行为可追溯；支持国密算法（SM2/SM3/SM4）</w:t>
      </w:r>
    </w:p>
    <w:p>
      <w:pPr>
        <w:jc w:val="both"/>
      </w:pPr>
      <w:r>
        <w:t>3. 隐私保护技术：零知识证明（ZKP）验证数据合法性；多方安全计算（MPC）实现联合数据分析；差分隐私保护敏感信息</w:t>
      </w:r>
    </w:p>
    <w:p>
      <w:r>
        <w:rPr>
          <w:b/>
        </w:rPr>
        <w:t>预期指标：</w:t>
      </w:r>
    </w:p>
    <w:p>
      <w:pPr>
        <w:jc w:val="both"/>
      </w:pPr>
      <w:r>
        <w:t>• 支持可证明安全、细粒度、无可信中心的分布式访问控制机制</w:t>
      </w:r>
    </w:p>
    <w:p>
      <w:pPr>
        <w:jc w:val="both"/>
      </w:pPr>
      <w:r>
        <w:t>• 支持动态访问权限修改</w:t>
      </w:r>
    </w:p>
    <w:p>
      <w:pPr>
        <w:jc w:val="both"/>
      </w:pPr>
      <w:r>
        <w:t>• 单次共享延迟 ≤100ms</w:t>
      </w:r>
    </w:p>
    <w:p>
      <w:pPr>
        <w:pStyle w:val="Heading3"/>
      </w:pPr>
      <w:r>
        <w:t>3.3 研究内容三：低空动态组网全链路安全协议</w:t>
      </w:r>
    </w:p>
    <w:p>
      <w:r>
        <w:rPr>
          <w:b/>
        </w:rPr>
        <w:t>目标：</w:t>
      </w:r>
      <w:r>
        <w:t>构建低空密钥安全全生命周期管理体系</w:t>
      </w:r>
    </w:p>
    <w:p>
      <w:r>
        <w:rPr>
          <w:b/>
        </w:rPr>
        <w:t>技术路线：</w:t>
      </w:r>
    </w:p>
    <w:p>
      <w:pPr>
        <w:jc w:val="both"/>
      </w:pPr>
      <w:r>
        <w:t>1. 分布式密钥生成与更新：基于门限密码学的分布式密钥生成（DKG）；周期性密钥更新机制，支持热更新；密钥撤销与恢复机制</w:t>
      </w:r>
    </w:p>
    <w:p>
      <w:pPr>
        <w:jc w:val="both"/>
      </w:pPr>
      <w:r>
        <w:t>2. 动态组网路由协议：基于 MQTT 的轻量级消息传输协议；支持 Ad-hoc 自组织网络；10% 丢包率下保持连接稳定</w:t>
      </w:r>
    </w:p>
    <w:p>
      <w:pPr>
        <w:jc w:val="both"/>
      </w:pPr>
      <w:r>
        <w:t>3. 全链路加密：传输层（TLS 1.3 + 国密算法）；应用层（端到端加密 E2EE）；存储层（透明加密 TDE）</w:t>
      </w:r>
    </w:p>
    <w:p>
      <w:r>
        <w:rPr>
          <w:b/>
        </w:rPr>
        <w:t>预期指标：</w:t>
      </w:r>
    </w:p>
    <w:p>
      <w:pPr>
        <w:jc w:val="both"/>
      </w:pPr>
      <w:r>
        <w:t>• 分布式密钥生成、分发、更新时延 ≤10ms</w:t>
      </w:r>
    </w:p>
    <w:p>
      <w:pPr>
        <w:jc w:val="both"/>
      </w:pPr>
      <w:r>
        <w:t>• 高通量加密/信息传输 ≤30ms</w:t>
      </w:r>
    </w:p>
    <w:p>
      <w:pPr>
        <w:jc w:val="both"/>
      </w:pPr>
      <w:r>
        <w:t>• 验证能力 ≥1000 TPS</w:t>
      </w:r>
    </w:p>
    <w:p>
      <w:pPr>
        <w:jc w:val="both"/>
      </w:pPr>
      <w:r>
        <w:t>• 10% 丢包率下仍保持连接稳定</w:t>
      </w:r>
    </w:p>
    <w:p>
      <w:pPr>
        <w:jc w:val="both"/>
      </w:pPr>
      <w:r>
        <w:t>• 通信链路误码率 ≤1%</w:t>
      </w:r>
    </w:p>
    <w:p>
      <w:pPr>
        <w:pStyle w:val="Heading3"/>
      </w:pPr>
      <w:r>
        <w:t>3.4 研究内容四：数据标准化研究</w:t>
      </w:r>
    </w:p>
    <w:p>
      <w:r>
        <w:rPr>
          <w:b/>
        </w:rPr>
        <w:t>目标：</w:t>
      </w:r>
      <w:r>
        <w:t>构建低空数据标准规范体系</w:t>
      </w:r>
    </w:p>
    <w:p>
      <w:r>
        <w:rPr>
          <w:b/>
        </w:rPr>
        <w:t>技术路线：</w:t>
      </w:r>
    </w:p>
    <w:p>
      <w:pPr>
        <w:jc w:val="both"/>
      </w:pPr>
      <w:r>
        <w:t>1. 数据元标准：定义低空数据核心元数据（飞行器ID、位置、高度、速度、时间戳等）；建立数据编码规范（JSON/XML/Protobuf）</w:t>
      </w:r>
    </w:p>
    <w:p>
      <w:pPr>
        <w:jc w:val="both"/>
      </w:pPr>
      <w:r>
        <w:t>2. 接口标准：定义系统间 API 接口规范；制定 MQTT Topic 命名规范</w:t>
      </w:r>
    </w:p>
    <w:p>
      <w:pPr>
        <w:jc w:val="both"/>
      </w:pPr>
      <w:r>
        <w:t>3. 安全标准：制定数据分类分级标准；建立访问控制策略模板</w:t>
      </w:r>
    </w:p>
    <w:p>
      <w:r>
        <w:rPr>
          <w:b/>
        </w:rPr>
        <w:t>预期产出：</w:t>
      </w:r>
      <w:r>
        <w:t>制定团体标准 1 项</w:t>
      </w:r>
    </w:p>
    <w:p>
      <w:pPr>
        <w:pStyle w:val="Heading2"/>
      </w:pPr>
      <w:r>
        <w:t>四、绩效目标（全覆盖）</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Pr>
                <w:b/>
                <w:sz w:val="20"/>
              </w:rPr>
              <w:t>序号</w:t>
            </w:r>
          </w:p>
        </w:tc>
        <w:tc>
          <w:tcPr>
            <w:tcW w:type="dxa" w:w="2075"/>
          </w:tcPr>
          <w:p>
            <w:pPr>
              <w:jc w:val="center"/>
            </w:pPr>
            <w:r>
              <w:rPr>
                <w:b/>
                <w:sz w:val="20"/>
              </w:rPr>
              <w:t>绩效指标</w:t>
            </w:r>
          </w:p>
        </w:tc>
        <w:tc>
          <w:tcPr>
            <w:tcW w:type="dxa" w:w="2075"/>
          </w:tcPr>
          <w:p>
            <w:pPr>
              <w:jc w:val="center"/>
            </w:pPr>
            <w:r>
              <w:rPr>
                <w:b/>
                <w:sz w:val="20"/>
              </w:rPr>
              <w:t>目标值</w:t>
            </w:r>
          </w:p>
        </w:tc>
        <w:tc>
          <w:tcPr>
            <w:tcW w:type="dxa" w:w="2075"/>
          </w:tcPr>
          <w:p>
            <w:pPr>
              <w:jc w:val="center"/>
            </w:pPr>
            <w:r>
              <w:rPr>
                <w:b/>
                <w:sz w:val="20"/>
              </w:rPr>
              <w:t>验证方式</w:t>
            </w:r>
          </w:p>
        </w:tc>
      </w:tr>
      <w:tr>
        <w:tc>
          <w:tcPr>
            <w:tcW w:type="dxa" w:w="2075"/>
          </w:tcPr>
          <w:p>
            <w:r>
              <w:rPr>
                <w:sz w:val="20"/>
              </w:rPr>
              <w:t>1</w:t>
            </w:r>
          </w:p>
        </w:tc>
        <w:tc>
          <w:tcPr>
            <w:tcW w:type="dxa" w:w="2075"/>
          </w:tcPr>
          <w:p>
            <w:r>
              <w:rPr>
                <w:sz w:val="20"/>
              </w:rPr>
              <w:t>系统支持主体接入数</w:t>
            </w:r>
          </w:p>
        </w:tc>
        <w:tc>
          <w:tcPr>
            <w:tcW w:type="dxa" w:w="2075"/>
          </w:tcPr>
          <w:p>
            <w:r>
              <w:rPr>
                <w:sz w:val="20"/>
              </w:rPr>
              <w:t>≥500 个</w:t>
            </w:r>
          </w:p>
        </w:tc>
        <w:tc>
          <w:tcPr>
            <w:tcW w:type="dxa" w:w="2075"/>
          </w:tcPr>
          <w:p>
            <w:r>
              <w:rPr>
                <w:sz w:val="20"/>
              </w:rPr>
              <w:t>压力测试报告</w:t>
            </w:r>
          </w:p>
        </w:tc>
      </w:tr>
      <w:tr>
        <w:tc>
          <w:tcPr>
            <w:tcW w:type="dxa" w:w="2075"/>
          </w:tcPr>
          <w:p>
            <w:r>
              <w:rPr>
                <w:sz w:val="20"/>
              </w:rPr>
              <w:t>2</w:t>
            </w:r>
          </w:p>
        </w:tc>
        <w:tc>
          <w:tcPr>
            <w:tcW w:type="dxa" w:w="2075"/>
          </w:tcPr>
          <w:p>
            <w:r>
              <w:rPr>
                <w:sz w:val="20"/>
              </w:rPr>
              <w:t>系统延迟</w:t>
            </w:r>
          </w:p>
        </w:tc>
        <w:tc>
          <w:tcPr>
            <w:tcW w:type="dxa" w:w="2075"/>
          </w:tcPr>
          <w:p>
            <w:r>
              <w:rPr>
                <w:sz w:val="20"/>
              </w:rPr>
              <w:t>≤50ms</w:t>
            </w:r>
          </w:p>
        </w:tc>
        <w:tc>
          <w:tcPr>
            <w:tcW w:type="dxa" w:w="2075"/>
          </w:tcPr>
          <w:p>
            <w:r>
              <w:rPr>
                <w:sz w:val="20"/>
              </w:rPr>
              <w:t>性能测试报告</w:t>
            </w:r>
          </w:p>
        </w:tc>
      </w:tr>
      <w:tr>
        <w:tc>
          <w:tcPr>
            <w:tcW w:type="dxa" w:w="2075"/>
          </w:tcPr>
          <w:p>
            <w:r>
              <w:rPr>
                <w:sz w:val="20"/>
              </w:rPr>
              <w:t>3</w:t>
            </w:r>
          </w:p>
        </w:tc>
        <w:tc>
          <w:tcPr>
            <w:tcW w:type="dxa" w:w="2075"/>
          </w:tcPr>
          <w:p>
            <w:r>
              <w:rPr>
                <w:sz w:val="20"/>
              </w:rPr>
              <w:t>异步区块链吞吐量</w:t>
            </w:r>
          </w:p>
        </w:tc>
        <w:tc>
          <w:tcPr>
            <w:tcW w:type="dxa" w:w="2075"/>
          </w:tcPr>
          <w:p>
            <w:r>
              <w:rPr>
                <w:sz w:val="20"/>
              </w:rPr>
              <w:t>≥50,000 tps</w:t>
            </w:r>
          </w:p>
        </w:tc>
        <w:tc>
          <w:tcPr>
            <w:tcW w:type="dxa" w:w="2075"/>
          </w:tcPr>
          <w:p>
            <w:r>
              <w:rPr>
                <w:sz w:val="20"/>
              </w:rPr>
              <w:t>基准测试报告</w:t>
            </w:r>
          </w:p>
        </w:tc>
      </w:tr>
      <w:tr>
        <w:tc>
          <w:tcPr>
            <w:tcW w:type="dxa" w:w="2075"/>
          </w:tcPr>
          <w:p>
            <w:r>
              <w:rPr>
                <w:sz w:val="20"/>
              </w:rPr>
              <w:t>4</w:t>
            </w:r>
          </w:p>
        </w:tc>
        <w:tc>
          <w:tcPr>
            <w:tcW w:type="dxa" w:w="2075"/>
          </w:tcPr>
          <w:p>
            <w:r>
              <w:rPr>
                <w:sz w:val="20"/>
              </w:rPr>
              <w:t>访问控制机制</w:t>
            </w:r>
          </w:p>
        </w:tc>
        <w:tc>
          <w:tcPr>
            <w:tcW w:type="dxa" w:w="2075"/>
          </w:tcPr>
          <w:p>
            <w:r>
              <w:rPr>
                <w:sz w:val="20"/>
              </w:rPr>
              <w:t>可证明安全、细粒度、无可信中心</w:t>
            </w:r>
          </w:p>
        </w:tc>
        <w:tc>
          <w:tcPr>
            <w:tcW w:type="dxa" w:w="2075"/>
          </w:tcPr>
          <w:p>
            <w:r>
              <w:rPr>
                <w:sz w:val="20"/>
              </w:rPr>
              <w:t>安全审计报告</w:t>
            </w:r>
          </w:p>
        </w:tc>
      </w:tr>
      <w:tr>
        <w:tc>
          <w:tcPr>
            <w:tcW w:type="dxa" w:w="2075"/>
          </w:tcPr>
          <w:p>
            <w:r>
              <w:rPr>
                <w:sz w:val="20"/>
              </w:rPr>
              <w:t>5</w:t>
            </w:r>
          </w:p>
        </w:tc>
        <w:tc>
          <w:tcPr>
            <w:tcW w:type="dxa" w:w="2075"/>
          </w:tcPr>
          <w:p>
            <w:r>
              <w:rPr>
                <w:sz w:val="20"/>
              </w:rPr>
              <w:t>动态访问权限修改</w:t>
            </w:r>
          </w:p>
        </w:tc>
        <w:tc>
          <w:tcPr>
            <w:tcW w:type="dxa" w:w="2075"/>
          </w:tcPr>
          <w:p>
            <w:r>
              <w:rPr>
                <w:sz w:val="20"/>
              </w:rPr>
              <w:t>支持</w:t>
            </w:r>
          </w:p>
        </w:tc>
        <w:tc>
          <w:tcPr>
            <w:tcW w:type="dxa" w:w="2075"/>
          </w:tcPr>
          <w:p>
            <w:r>
              <w:rPr>
                <w:sz w:val="20"/>
              </w:rPr>
              <w:t>功能测试报告</w:t>
            </w:r>
          </w:p>
        </w:tc>
      </w:tr>
      <w:tr>
        <w:tc>
          <w:tcPr>
            <w:tcW w:type="dxa" w:w="2075"/>
          </w:tcPr>
          <w:p>
            <w:r>
              <w:rPr>
                <w:sz w:val="20"/>
              </w:rPr>
              <w:t>6</w:t>
            </w:r>
          </w:p>
        </w:tc>
        <w:tc>
          <w:tcPr>
            <w:tcW w:type="dxa" w:w="2075"/>
          </w:tcPr>
          <w:p>
            <w:r>
              <w:rPr>
                <w:sz w:val="20"/>
              </w:rPr>
              <w:t>单次共享延迟</w:t>
            </w:r>
          </w:p>
        </w:tc>
        <w:tc>
          <w:tcPr>
            <w:tcW w:type="dxa" w:w="2075"/>
          </w:tcPr>
          <w:p>
            <w:r>
              <w:rPr>
                <w:sz w:val="20"/>
              </w:rPr>
              <w:t>≤100ms</w:t>
            </w:r>
          </w:p>
        </w:tc>
        <w:tc>
          <w:tcPr>
            <w:tcW w:type="dxa" w:w="2075"/>
          </w:tcPr>
          <w:p>
            <w:r>
              <w:rPr>
                <w:sz w:val="20"/>
              </w:rPr>
              <w:t>性能测试报告</w:t>
            </w:r>
          </w:p>
        </w:tc>
      </w:tr>
      <w:tr>
        <w:tc>
          <w:tcPr>
            <w:tcW w:type="dxa" w:w="2075"/>
          </w:tcPr>
          <w:p>
            <w:r>
              <w:rPr>
                <w:sz w:val="20"/>
              </w:rPr>
              <w:t>7</w:t>
            </w:r>
          </w:p>
        </w:tc>
        <w:tc>
          <w:tcPr>
            <w:tcW w:type="dxa" w:w="2075"/>
          </w:tcPr>
          <w:p>
            <w:r>
              <w:rPr>
                <w:sz w:val="20"/>
              </w:rPr>
              <w:t>国密算法支持</w:t>
            </w:r>
          </w:p>
        </w:tc>
        <w:tc>
          <w:tcPr>
            <w:tcW w:type="dxa" w:w="2075"/>
          </w:tcPr>
          <w:p>
            <w:r>
              <w:rPr>
                <w:sz w:val="20"/>
              </w:rPr>
              <w:t>SM2/SM3/SM4</w:t>
            </w:r>
          </w:p>
        </w:tc>
        <w:tc>
          <w:tcPr>
            <w:tcW w:type="dxa" w:w="2075"/>
          </w:tcPr>
          <w:p>
            <w:r>
              <w:rPr>
                <w:sz w:val="20"/>
              </w:rPr>
              <w:t>密码检测报告</w:t>
            </w:r>
          </w:p>
        </w:tc>
      </w:tr>
      <w:tr>
        <w:tc>
          <w:tcPr>
            <w:tcW w:type="dxa" w:w="2075"/>
          </w:tcPr>
          <w:p>
            <w:r>
              <w:rPr>
                <w:sz w:val="20"/>
              </w:rPr>
              <w:t>8</w:t>
            </w:r>
          </w:p>
        </w:tc>
        <w:tc>
          <w:tcPr>
            <w:tcW w:type="dxa" w:w="2075"/>
          </w:tcPr>
          <w:p>
            <w:r>
              <w:rPr>
                <w:sz w:val="20"/>
              </w:rPr>
              <w:t>分布式密钥生成/分发/更新时延</w:t>
            </w:r>
          </w:p>
        </w:tc>
        <w:tc>
          <w:tcPr>
            <w:tcW w:type="dxa" w:w="2075"/>
          </w:tcPr>
          <w:p>
            <w:r>
              <w:rPr>
                <w:sz w:val="20"/>
              </w:rPr>
              <w:t>≤10ms</w:t>
            </w:r>
          </w:p>
        </w:tc>
        <w:tc>
          <w:tcPr>
            <w:tcW w:type="dxa" w:w="2075"/>
          </w:tcPr>
          <w:p>
            <w:r>
              <w:rPr>
                <w:sz w:val="20"/>
              </w:rPr>
              <w:t>性能测试报告</w:t>
            </w:r>
          </w:p>
        </w:tc>
      </w:tr>
      <w:tr>
        <w:tc>
          <w:tcPr>
            <w:tcW w:type="dxa" w:w="2075"/>
          </w:tcPr>
          <w:p>
            <w:r>
              <w:rPr>
                <w:sz w:val="20"/>
              </w:rPr>
              <w:t>9</w:t>
            </w:r>
          </w:p>
        </w:tc>
        <w:tc>
          <w:tcPr>
            <w:tcW w:type="dxa" w:w="2075"/>
          </w:tcPr>
          <w:p>
            <w:r>
              <w:rPr>
                <w:sz w:val="20"/>
              </w:rPr>
              <w:t>高通量加密/信息传输</w:t>
            </w:r>
          </w:p>
        </w:tc>
        <w:tc>
          <w:tcPr>
            <w:tcW w:type="dxa" w:w="2075"/>
          </w:tcPr>
          <w:p>
            <w:r>
              <w:rPr>
                <w:sz w:val="20"/>
              </w:rPr>
              <w:t>≤30ms</w:t>
            </w:r>
          </w:p>
        </w:tc>
        <w:tc>
          <w:tcPr>
            <w:tcW w:type="dxa" w:w="2075"/>
          </w:tcPr>
          <w:p>
            <w:r>
              <w:rPr>
                <w:sz w:val="20"/>
              </w:rPr>
              <w:t>性能测试报告</w:t>
            </w:r>
          </w:p>
        </w:tc>
      </w:tr>
      <w:tr>
        <w:tc>
          <w:tcPr>
            <w:tcW w:type="dxa" w:w="2075"/>
          </w:tcPr>
          <w:p>
            <w:r>
              <w:rPr>
                <w:sz w:val="20"/>
              </w:rPr>
              <w:t>10</w:t>
            </w:r>
          </w:p>
        </w:tc>
        <w:tc>
          <w:tcPr>
            <w:tcW w:type="dxa" w:w="2075"/>
          </w:tcPr>
          <w:p>
            <w:r>
              <w:rPr>
                <w:sz w:val="20"/>
              </w:rPr>
              <w:t>验证能力</w:t>
            </w:r>
          </w:p>
        </w:tc>
        <w:tc>
          <w:tcPr>
            <w:tcW w:type="dxa" w:w="2075"/>
          </w:tcPr>
          <w:p>
            <w:r>
              <w:rPr>
                <w:sz w:val="20"/>
              </w:rPr>
              <w:t>≥1000 TPS</w:t>
            </w:r>
          </w:p>
        </w:tc>
        <w:tc>
          <w:tcPr>
            <w:tcW w:type="dxa" w:w="2075"/>
          </w:tcPr>
          <w:p>
            <w:r>
              <w:rPr>
                <w:sz w:val="20"/>
              </w:rPr>
              <w:t>基准测试报告</w:t>
            </w:r>
          </w:p>
        </w:tc>
      </w:tr>
      <w:tr>
        <w:tc>
          <w:tcPr>
            <w:tcW w:type="dxa" w:w="2075"/>
          </w:tcPr>
          <w:p>
            <w:r>
              <w:rPr>
                <w:sz w:val="20"/>
              </w:rPr>
              <w:t>11</w:t>
            </w:r>
          </w:p>
        </w:tc>
        <w:tc>
          <w:tcPr>
            <w:tcW w:type="dxa" w:w="2075"/>
          </w:tcPr>
          <w:p>
            <w:r>
              <w:rPr>
                <w:sz w:val="20"/>
              </w:rPr>
              <w:t>10%丢包率下连接稳定性</w:t>
            </w:r>
          </w:p>
        </w:tc>
        <w:tc>
          <w:tcPr>
            <w:tcW w:type="dxa" w:w="2075"/>
          </w:tcPr>
          <w:p>
            <w:r>
              <w:rPr>
                <w:sz w:val="20"/>
              </w:rPr>
              <w:t>保持连接稳定</w:t>
            </w:r>
          </w:p>
        </w:tc>
        <w:tc>
          <w:tcPr>
            <w:tcW w:type="dxa" w:w="2075"/>
          </w:tcPr>
          <w:p>
            <w:r>
              <w:rPr>
                <w:sz w:val="20"/>
              </w:rPr>
              <w:t>网络测试报告</w:t>
            </w:r>
          </w:p>
        </w:tc>
      </w:tr>
      <w:tr>
        <w:tc>
          <w:tcPr>
            <w:tcW w:type="dxa" w:w="2075"/>
          </w:tcPr>
          <w:p>
            <w:r>
              <w:rPr>
                <w:sz w:val="20"/>
              </w:rPr>
              <w:t>12</w:t>
            </w:r>
          </w:p>
        </w:tc>
        <w:tc>
          <w:tcPr>
            <w:tcW w:type="dxa" w:w="2075"/>
          </w:tcPr>
          <w:p>
            <w:r>
              <w:rPr>
                <w:sz w:val="20"/>
              </w:rPr>
              <w:t>通信链路误码率</w:t>
            </w:r>
          </w:p>
        </w:tc>
        <w:tc>
          <w:tcPr>
            <w:tcW w:type="dxa" w:w="2075"/>
          </w:tcPr>
          <w:p>
            <w:r>
              <w:rPr>
                <w:sz w:val="20"/>
              </w:rPr>
              <w:t>≤1%</w:t>
            </w:r>
          </w:p>
        </w:tc>
        <w:tc>
          <w:tcPr>
            <w:tcW w:type="dxa" w:w="2075"/>
          </w:tcPr>
          <w:p>
            <w:r>
              <w:rPr>
                <w:sz w:val="20"/>
              </w:rPr>
              <w:t>通信测试报告</w:t>
            </w:r>
          </w:p>
        </w:tc>
      </w:tr>
      <w:tr>
        <w:tc>
          <w:tcPr>
            <w:tcW w:type="dxa" w:w="2075"/>
          </w:tcPr>
          <w:p>
            <w:r>
              <w:rPr>
                <w:sz w:val="20"/>
              </w:rPr>
              <w:t>13</w:t>
            </w:r>
          </w:p>
        </w:tc>
        <w:tc>
          <w:tcPr>
            <w:tcW w:type="dxa" w:w="2075"/>
          </w:tcPr>
          <w:p>
            <w:r>
              <w:rPr>
                <w:sz w:val="20"/>
              </w:rPr>
              <w:t>团体标准制定</w:t>
            </w:r>
          </w:p>
        </w:tc>
        <w:tc>
          <w:tcPr>
            <w:tcW w:type="dxa" w:w="2075"/>
          </w:tcPr>
          <w:p>
            <w:r>
              <w:rPr>
                <w:sz w:val="20"/>
              </w:rPr>
              <w:t>1 项</w:t>
            </w:r>
          </w:p>
        </w:tc>
        <w:tc>
          <w:tcPr>
            <w:tcW w:type="dxa" w:w="2075"/>
          </w:tcPr>
          <w:p>
            <w:r>
              <w:rPr>
                <w:sz w:val="20"/>
              </w:rPr>
              <w:t>标准发布文件</w:t>
            </w:r>
          </w:p>
        </w:tc>
      </w:tr>
    </w:tbl>
    <w:p>
      <w:pPr>
        <w:pStyle w:val="Heading2"/>
      </w:pPr>
      <w:r>
        <w:t>五、研究基础与团队</w:t>
      </w:r>
    </w:p>
    <w:p>
      <w:pPr>
        <w:pStyle w:val="Heading3"/>
      </w:pPr>
      <w:r>
        <w:t>5.1 牵头单位技术积累</w:t>
      </w:r>
    </w:p>
    <w:p>
      <w:r>
        <w:rPr>
          <w:b/>
        </w:rPr>
        <w:t>多智能体系统：</w:t>
      </w:r>
    </w:p>
    <w:p>
      <w:pPr>
        <w:jc w:val="both"/>
      </w:pPr>
      <w:r>
        <w:t>• 已构建小龙虾网络（Lobster Network）多智能体协作平台</w:t>
      </w:r>
    </w:p>
    <w:p>
      <w:pPr>
        <w:jc w:val="both"/>
      </w:pPr>
      <w:r>
        <w:t>• 支持 4 个节点协同训练，健康评分 9.2/10</w:t>
      </w:r>
    </w:p>
    <w:p>
      <w:pPr>
        <w:jc w:val="both"/>
      </w:pPr>
      <w:r>
        <w:t>• 实现蜂群式自主学习机制（提案-竞标-组队-执行）</w:t>
      </w:r>
    </w:p>
    <w:p>
      <w:r>
        <w:rPr>
          <w:b/>
        </w:rPr>
        <w:t>MQTT 通信协议：</w:t>
      </w:r>
    </w:p>
    <w:p>
      <w:pPr>
        <w:jc w:val="both"/>
      </w:pPr>
      <w:r>
        <w:t>• 已部署 Mosquitto Broker（47.93.6.57:1883）</w:t>
      </w:r>
    </w:p>
    <w:p>
      <w:pPr>
        <w:jc w:val="both"/>
      </w:pPr>
      <w:r>
        <w:t>• 验证了发布/订阅架构在松耦合系统中的优势</w:t>
      </w:r>
    </w:p>
    <w:p>
      <w:pPr>
        <w:jc w:val="both"/>
      </w:pPr>
      <w:r>
        <w:t>• 支持 QoS 0/1/2 分级消息传输</w:t>
      </w:r>
    </w:p>
    <w:p>
      <w:r>
        <w:rPr>
          <w:b/>
        </w:rPr>
        <w:t>数据安全：</w:t>
      </w:r>
    </w:p>
    <w:p>
      <w:pPr>
        <w:jc w:val="both"/>
      </w:pPr>
      <w:r>
        <w:t>• 实现三层记忆系统（短/中/长期）</w:t>
      </w:r>
    </w:p>
    <w:p>
      <w:pPr>
        <w:jc w:val="both"/>
      </w:pPr>
      <w:r>
        <w:t>• 建立 LBC 经济系统（贡献度奖励机制）</w:t>
      </w:r>
    </w:p>
    <w:p>
      <w:pPr>
        <w:jc w:val="both"/>
      </w:pPr>
      <w:r>
        <w:t>• 部署网络健康监控体系（四维评分）</w:t>
      </w:r>
    </w:p>
    <w:p>
      <w:pPr>
        <w:pStyle w:val="Heading3"/>
      </w:pPr>
      <w:r>
        <w:t>5.2 联合体组建建议</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Pr>
                <w:b/>
                <w:sz w:val="20"/>
              </w:rPr>
              <w:t>角色</w:t>
            </w:r>
          </w:p>
        </w:tc>
        <w:tc>
          <w:tcPr>
            <w:tcW w:type="dxa" w:w="2767"/>
          </w:tcPr>
          <w:p>
            <w:pPr>
              <w:jc w:val="center"/>
            </w:pPr>
            <w:r>
              <w:rPr>
                <w:b/>
                <w:sz w:val="20"/>
              </w:rPr>
              <w:t>建议单位</w:t>
            </w:r>
          </w:p>
        </w:tc>
        <w:tc>
          <w:tcPr>
            <w:tcW w:type="dxa" w:w="2767"/>
          </w:tcPr>
          <w:p>
            <w:pPr>
              <w:jc w:val="center"/>
            </w:pPr>
            <w:r>
              <w:rPr>
                <w:b/>
                <w:sz w:val="20"/>
              </w:rPr>
              <w:t>贡献</w:t>
            </w:r>
          </w:p>
        </w:tc>
      </w:tr>
      <w:tr>
        <w:tc>
          <w:tcPr>
            <w:tcW w:type="dxa" w:w="2767"/>
          </w:tcPr>
          <w:p>
            <w:r>
              <w:rPr>
                <w:sz w:val="20"/>
              </w:rPr>
              <w:t>牵头单位</w:t>
            </w:r>
          </w:p>
        </w:tc>
        <w:tc>
          <w:tcPr>
            <w:tcW w:type="dxa" w:w="2767"/>
          </w:tcPr>
          <w:p>
            <w:r>
              <w:rPr>
                <w:sz w:val="20"/>
              </w:rPr>
              <w:t>浙江工商大学</w:t>
            </w:r>
          </w:p>
        </w:tc>
        <w:tc>
          <w:tcPr>
            <w:tcW w:type="dxa" w:w="2767"/>
          </w:tcPr>
          <w:p>
            <w:r>
              <w:rPr>
                <w:sz w:val="20"/>
              </w:rPr>
              <w:t>总体架构设计、算法研发</w:t>
            </w:r>
          </w:p>
        </w:tc>
      </w:tr>
      <w:tr>
        <w:tc>
          <w:tcPr>
            <w:tcW w:type="dxa" w:w="2767"/>
          </w:tcPr>
          <w:p>
            <w:r>
              <w:rPr>
                <w:sz w:val="20"/>
              </w:rPr>
              <w:t>合作单位1</w:t>
            </w:r>
          </w:p>
        </w:tc>
        <w:tc>
          <w:tcPr>
            <w:tcW w:type="dxa" w:w="2767"/>
          </w:tcPr>
          <w:p>
            <w:r>
              <w:rPr>
                <w:sz w:val="20"/>
              </w:rPr>
              <w:t>低空经济场景企业</w:t>
            </w:r>
          </w:p>
        </w:tc>
        <w:tc>
          <w:tcPr>
            <w:tcW w:type="dxa" w:w="2767"/>
          </w:tcPr>
          <w:p>
            <w:r>
              <w:rPr>
                <w:sz w:val="20"/>
              </w:rPr>
              <w:t>应用场景、测试数据</w:t>
            </w:r>
          </w:p>
        </w:tc>
      </w:tr>
      <w:tr>
        <w:tc>
          <w:tcPr>
            <w:tcW w:type="dxa" w:w="2767"/>
          </w:tcPr>
          <w:p>
            <w:r>
              <w:rPr>
                <w:sz w:val="20"/>
              </w:rPr>
              <w:t>合作单位2</w:t>
            </w:r>
          </w:p>
        </w:tc>
        <w:tc>
          <w:tcPr>
            <w:tcW w:type="dxa" w:w="2767"/>
          </w:tcPr>
          <w:p>
            <w:r>
              <w:rPr>
                <w:sz w:val="20"/>
              </w:rPr>
              <w:t>密码学/通信领域高校</w:t>
            </w:r>
          </w:p>
        </w:tc>
        <w:tc>
          <w:tcPr>
            <w:tcW w:type="dxa" w:w="2767"/>
          </w:tcPr>
          <w:p>
            <w:r>
              <w:rPr>
                <w:sz w:val="20"/>
              </w:rPr>
              <w:t>国密算法、通信协议</w:t>
            </w:r>
          </w:p>
        </w:tc>
      </w:tr>
    </w:tbl>
    <w:p>
      <w:pPr>
        <w:pStyle w:val="Heading2"/>
      </w:pPr>
      <w:r>
        <w:t>六、进度安排</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Pr>
                <w:b/>
                <w:sz w:val="20"/>
              </w:rPr>
              <w:t>阶段</w:t>
            </w:r>
          </w:p>
        </w:tc>
        <w:tc>
          <w:tcPr>
            <w:tcW w:type="dxa" w:w="2075"/>
          </w:tcPr>
          <w:p>
            <w:pPr>
              <w:jc w:val="center"/>
            </w:pPr>
            <w:r>
              <w:rPr>
                <w:b/>
                <w:sz w:val="20"/>
              </w:rPr>
              <w:t>时间</w:t>
            </w:r>
          </w:p>
        </w:tc>
        <w:tc>
          <w:tcPr>
            <w:tcW w:type="dxa" w:w="2075"/>
          </w:tcPr>
          <w:p>
            <w:pPr>
              <w:jc w:val="center"/>
            </w:pPr>
            <w:r>
              <w:rPr>
                <w:b/>
                <w:sz w:val="20"/>
              </w:rPr>
              <w:t>任务</w:t>
            </w:r>
          </w:p>
        </w:tc>
        <w:tc>
          <w:tcPr>
            <w:tcW w:type="dxa" w:w="2075"/>
          </w:tcPr>
          <w:p>
            <w:pPr>
              <w:jc w:val="center"/>
            </w:pPr>
            <w:r>
              <w:rPr>
                <w:b/>
                <w:sz w:val="20"/>
              </w:rPr>
              <w:t>里程碑</w:t>
            </w:r>
          </w:p>
        </w:tc>
      </w:tr>
      <w:tr>
        <w:tc>
          <w:tcPr>
            <w:tcW w:type="dxa" w:w="2075"/>
          </w:tcPr>
          <w:p>
            <w:r>
              <w:rPr>
                <w:sz w:val="20"/>
              </w:rPr>
              <w:t>第一年</w:t>
            </w:r>
          </w:p>
        </w:tc>
        <w:tc>
          <w:tcPr>
            <w:tcW w:type="dxa" w:w="2075"/>
          </w:tcPr>
          <w:p>
            <w:r>
              <w:rPr>
                <w:sz w:val="20"/>
              </w:rPr>
              <w:t>2026.09-2027.08</w:t>
            </w:r>
          </w:p>
        </w:tc>
        <w:tc>
          <w:tcPr>
            <w:tcW w:type="dxa" w:w="2075"/>
          </w:tcPr>
          <w:p>
            <w:r>
              <w:rPr>
                <w:sz w:val="20"/>
              </w:rPr>
              <w:t>需求分析、架构设计、aBFT 共识算法研发</w:t>
            </w:r>
          </w:p>
        </w:tc>
        <w:tc>
          <w:tcPr>
            <w:tcW w:type="dxa" w:w="2075"/>
          </w:tcPr>
          <w:p>
            <w:r>
              <w:rPr>
                <w:sz w:val="20"/>
              </w:rPr>
              <w:t>原型系统 V1.0</w:t>
            </w:r>
          </w:p>
        </w:tc>
      </w:tr>
      <w:tr>
        <w:tc>
          <w:tcPr>
            <w:tcW w:type="dxa" w:w="2075"/>
          </w:tcPr>
          <w:p>
            <w:r>
              <w:rPr>
                <w:sz w:val="20"/>
              </w:rPr>
              <w:t>第二年</w:t>
            </w:r>
          </w:p>
        </w:tc>
        <w:tc>
          <w:tcPr>
            <w:tcW w:type="dxa" w:w="2075"/>
          </w:tcPr>
          <w:p>
            <w:r>
              <w:rPr>
                <w:sz w:val="20"/>
              </w:rPr>
              <w:t>2027.09-2028.08</w:t>
            </w:r>
          </w:p>
        </w:tc>
        <w:tc>
          <w:tcPr>
            <w:tcW w:type="dxa" w:w="2075"/>
          </w:tcPr>
          <w:p>
            <w:r>
              <w:rPr>
                <w:sz w:val="20"/>
              </w:rPr>
              <w:t>访问控制协议、密钥管理、动态组网研发</w:t>
            </w:r>
          </w:p>
        </w:tc>
        <w:tc>
          <w:tcPr>
            <w:tcW w:type="dxa" w:w="2075"/>
          </w:tcPr>
          <w:p>
            <w:r>
              <w:rPr>
                <w:sz w:val="20"/>
              </w:rPr>
              <w:t>原型系统 V2.0</w:t>
            </w:r>
          </w:p>
        </w:tc>
      </w:tr>
      <w:tr>
        <w:tc>
          <w:tcPr>
            <w:tcW w:type="dxa" w:w="2075"/>
          </w:tcPr>
          <w:p>
            <w:r>
              <w:rPr>
                <w:sz w:val="20"/>
              </w:rPr>
              <w:t>第三年</w:t>
            </w:r>
          </w:p>
        </w:tc>
        <w:tc>
          <w:tcPr>
            <w:tcW w:type="dxa" w:w="2075"/>
          </w:tcPr>
          <w:p>
            <w:r>
              <w:rPr>
                <w:sz w:val="20"/>
              </w:rPr>
              <w:t>2028.09-2029.08</w:t>
            </w:r>
          </w:p>
        </w:tc>
        <w:tc>
          <w:tcPr>
            <w:tcW w:type="dxa" w:w="2075"/>
          </w:tcPr>
          <w:p>
            <w:r>
              <w:rPr>
                <w:sz w:val="20"/>
              </w:rPr>
              <w:t>系统集成、标准制定、应用示范</w:t>
            </w:r>
          </w:p>
        </w:tc>
        <w:tc>
          <w:tcPr>
            <w:tcW w:type="dxa" w:w="2075"/>
          </w:tcPr>
          <w:p>
            <w:r>
              <w:rPr>
                <w:sz w:val="20"/>
              </w:rPr>
              <w:t>正式版 V3.0</w:t>
            </w:r>
          </w:p>
        </w:tc>
      </w:tr>
    </w:tbl>
    <w:p>
      <w:pPr>
        <w:pStyle w:val="Heading2"/>
      </w:pPr>
      <w:r>
        <w:t>七、预期成果</w:t>
      </w:r>
    </w:p>
    <w:p>
      <w:pPr>
        <w:pStyle w:val="Heading3"/>
      </w:pPr>
      <w:r>
        <w:t>7.1 技术成果</w:t>
      </w:r>
    </w:p>
    <w:p>
      <w:pPr>
        <w:jc w:val="both"/>
      </w:pPr>
      <w:r>
        <w:t>• 低空可信数智空间原型系统 1 套</w:t>
      </w:r>
    </w:p>
    <w:p>
      <w:pPr>
        <w:jc w:val="both"/>
      </w:pPr>
      <w:r>
        <w:t>• 高性能异步区块链共识算法 1 项（≥50,000 tps）</w:t>
      </w:r>
    </w:p>
    <w:p>
      <w:pPr>
        <w:jc w:val="both"/>
      </w:pPr>
      <w:r>
        <w:t>• 分布式细粒度访问控制机制 1 项（≤100ms）</w:t>
      </w:r>
    </w:p>
    <w:p>
      <w:pPr>
        <w:jc w:val="both"/>
      </w:pPr>
      <w:r>
        <w:t>• 低空动态组网全链路安全协议 1 套</w:t>
      </w:r>
    </w:p>
    <w:p>
      <w:pPr>
        <w:pStyle w:val="Heading3"/>
      </w:pPr>
      <w:r>
        <w:t>7.2 学术成果</w:t>
      </w:r>
    </w:p>
    <w:p>
      <w:pPr>
        <w:jc w:val="both"/>
      </w:pPr>
      <w:r>
        <w:t>• 发表高水平论文 5-8 篇</w:t>
      </w:r>
    </w:p>
    <w:p>
      <w:pPr>
        <w:jc w:val="both"/>
      </w:pPr>
      <w:r>
        <w:t>• 申请发明专利 3-5 项</w:t>
      </w:r>
    </w:p>
    <w:p>
      <w:pPr>
        <w:jc w:val="both"/>
      </w:pPr>
      <w:r>
        <w:t>• 制定团体标准 1 项</w:t>
      </w:r>
    </w:p>
    <w:p>
      <w:pPr>
        <w:pStyle w:val="Heading3"/>
      </w:pPr>
      <w:r>
        <w:t>7.3 应用成果</w:t>
      </w:r>
    </w:p>
    <w:p>
      <w:pPr>
        <w:jc w:val="both"/>
      </w:pPr>
      <w:r>
        <w:t>• 低空经济应用示范 1-2 个</w:t>
      </w:r>
    </w:p>
    <w:p>
      <w:pPr>
        <w:jc w:val="both"/>
      </w:pPr>
      <w:r>
        <w:t>• 培养研究生 5-8 名</w:t>
      </w:r>
    </w:p>
    <w:p>
      <w:pPr>
        <w:jc w:val="both"/>
      </w:pPr>
      <w:r>
        <w:t>• 形成可推广的低空数据共享解决方案</w:t>
      </w:r>
    </w:p>
    <w:p>
      <w:pPr>
        <w:pStyle w:val="Heading2"/>
      </w:pPr>
      <w:r>
        <w:t>八、经费预算（概算）</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Pr>
                <w:b/>
                <w:sz w:val="20"/>
              </w:rPr>
              <w:t>科目</w:t>
            </w:r>
          </w:p>
        </w:tc>
        <w:tc>
          <w:tcPr>
            <w:tcW w:type="dxa" w:w="2767"/>
          </w:tcPr>
          <w:p>
            <w:pPr>
              <w:jc w:val="center"/>
            </w:pPr>
            <w:r>
              <w:rPr>
                <w:b/>
                <w:sz w:val="20"/>
              </w:rPr>
              <w:t>金额（万元）</w:t>
            </w:r>
          </w:p>
        </w:tc>
        <w:tc>
          <w:tcPr>
            <w:tcW w:type="dxa" w:w="2767"/>
          </w:tcPr>
          <w:p>
            <w:pPr>
              <w:jc w:val="center"/>
            </w:pPr>
            <w:r>
              <w:rPr>
                <w:b/>
                <w:sz w:val="20"/>
              </w:rPr>
              <w:t>占比</w:t>
            </w:r>
          </w:p>
        </w:tc>
      </w:tr>
      <w:tr>
        <w:tc>
          <w:tcPr>
            <w:tcW w:type="dxa" w:w="2767"/>
          </w:tcPr>
          <w:p>
            <w:r>
              <w:rPr>
                <w:sz w:val="20"/>
              </w:rPr>
              <w:t>设备费</w:t>
            </w:r>
          </w:p>
        </w:tc>
        <w:tc>
          <w:tcPr>
            <w:tcW w:type="dxa" w:w="2767"/>
          </w:tcPr>
          <w:p>
            <w:r>
              <w:rPr>
                <w:sz w:val="20"/>
              </w:rPr>
              <w:t>200</w:t>
            </w:r>
          </w:p>
        </w:tc>
        <w:tc>
          <w:tcPr>
            <w:tcW w:type="dxa" w:w="2767"/>
          </w:tcPr>
          <w:p>
            <w:r>
              <w:rPr>
                <w:sz w:val="20"/>
              </w:rPr>
              <w:t>20%</w:t>
            </w:r>
          </w:p>
        </w:tc>
      </w:tr>
      <w:tr>
        <w:tc>
          <w:tcPr>
            <w:tcW w:type="dxa" w:w="2767"/>
          </w:tcPr>
          <w:p>
            <w:r>
              <w:rPr>
                <w:sz w:val="20"/>
              </w:rPr>
              <w:t>材料费</w:t>
            </w:r>
          </w:p>
        </w:tc>
        <w:tc>
          <w:tcPr>
            <w:tcW w:type="dxa" w:w="2767"/>
          </w:tcPr>
          <w:p>
            <w:r>
              <w:rPr>
                <w:sz w:val="20"/>
              </w:rPr>
              <w:t>50</w:t>
            </w:r>
          </w:p>
        </w:tc>
        <w:tc>
          <w:tcPr>
            <w:tcW w:type="dxa" w:w="2767"/>
          </w:tcPr>
          <w:p>
            <w:r>
              <w:rPr>
                <w:sz w:val="20"/>
              </w:rPr>
              <w:t>5%</w:t>
            </w:r>
          </w:p>
        </w:tc>
      </w:tr>
      <w:tr>
        <w:tc>
          <w:tcPr>
            <w:tcW w:type="dxa" w:w="2767"/>
          </w:tcPr>
          <w:p>
            <w:r>
              <w:rPr>
                <w:sz w:val="20"/>
              </w:rPr>
              <w:t>测试化验加工费</w:t>
            </w:r>
          </w:p>
        </w:tc>
        <w:tc>
          <w:tcPr>
            <w:tcW w:type="dxa" w:w="2767"/>
          </w:tcPr>
          <w:p>
            <w:r>
              <w:rPr>
                <w:sz w:val="20"/>
              </w:rPr>
              <w:t>100</w:t>
            </w:r>
          </w:p>
        </w:tc>
        <w:tc>
          <w:tcPr>
            <w:tcW w:type="dxa" w:w="2767"/>
          </w:tcPr>
          <w:p>
            <w:r>
              <w:rPr>
                <w:sz w:val="20"/>
              </w:rPr>
              <w:t>10%</w:t>
            </w:r>
          </w:p>
        </w:tc>
      </w:tr>
      <w:tr>
        <w:tc>
          <w:tcPr>
            <w:tcW w:type="dxa" w:w="2767"/>
          </w:tcPr>
          <w:p>
            <w:r>
              <w:rPr>
                <w:sz w:val="20"/>
              </w:rPr>
              <w:t>劳务费</w:t>
            </w:r>
          </w:p>
        </w:tc>
        <w:tc>
          <w:tcPr>
            <w:tcW w:type="dxa" w:w="2767"/>
          </w:tcPr>
          <w:p>
            <w:r>
              <w:rPr>
                <w:sz w:val="20"/>
              </w:rPr>
              <w:t>300</w:t>
            </w:r>
          </w:p>
        </w:tc>
        <w:tc>
          <w:tcPr>
            <w:tcW w:type="dxa" w:w="2767"/>
          </w:tcPr>
          <w:p>
            <w:r>
              <w:rPr>
                <w:sz w:val="20"/>
              </w:rPr>
              <w:t>30%</w:t>
            </w:r>
          </w:p>
        </w:tc>
      </w:tr>
      <w:tr>
        <w:tc>
          <w:tcPr>
            <w:tcW w:type="dxa" w:w="2767"/>
          </w:tcPr>
          <w:p>
            <w:r>
              <w:rPr>
                <w:sz w:val="20"/>
              </w:rPr>
              <w:t>差旅/会议/国际合作</w:t>
            </w:r>
          </w:p>
        </w:tc>
        <w:tc>
          <w:tcPr>
            <w:tcW w:type="dxa" w:w="2767"/>
          </w:tcPr>
          <w:p>
            <w:r>
              <w:rPr>
                <w:sz w:val="20"/>
              </w:rPr>
              <w:t>50</w:t>
            </w:r>
          </w:p>
        </w:tc>
        <w:tc>
          <w:tcPr>
            <w:tcW w:type="dxa" w:w="2767"/>
          </w:tcPr>
          <w:p>
            <w:r>
              <w:rPr>
                <w:sz w:val="20"/>
              </w:rPr>
              <w:t>5%</w:t>
            </w:r>
          </w:p>
        </w:tc>
      </w:tr>
      <w:tr>
        <w:tc>
          <w:tcPr>
            <w:tcW w:type="dxa" w:w="2767"/>
          </w:tcPr>
          <w:p>
            <w:r>
              <w:rPr>
                <w:sz w:val="20"/>
              </w:rPr>
              <w:t>出版/文献/知识产权</w:t>
            </w:r>
          </w:p>
        </w:tc>
        <w:tc>
          <w:tcPr>
            <w:tcW w:type="dxa" w:w="2767"/>
          </w:tcPr>
          <w:p>
            <w:r>
              <w:rPr>
                <w:sz w:val="20"/>
              </w:rPr>
              <w:t>50</w:t>
            </w:r>
          </w:p>
        </w:tc>
        <w:tc>
          <w:tcPr>
            <w:tcW w:type="dxa" w:w="2767"/>
          </w:tcPr>
          <w:p>
            <w:r>
              <w:rPr>
                <w:sz w:val="20"/>
              </w:rPr>
              <w:t>5%</w:t>
            </w:r>
          </w:p>
        </w:tc>
      </w:tr>
      <w:tr>
        <w:tc>
          <w:tcPr>
            <w:tcW w:type="dxa" w:w="2767"/>
          </w:tcPr>
          <w:p>
            <w:r>
              <w:rPr>
                <w:sz w:val="20"/>
              </w:rPr>
              <w:t>间接费用</w:t>
            </w:r>
          </w:p>
        </w:tc>
        <w:tc>
          <w:tcPr>
            <w:tcW w:type="dxa" w:w="2767"/>
          </w:tcPr>
          <w:p>
            <w:r>
              <w:rPr>
                <w:sz w:val="20"/>
              </w:rPr>
              <w:t>250</w:t>
            </w:r>
          </w:p>
        </w:tc>
        <w:tc>
          <w:tcPr>
            <w:tcW w:type="dxa" w:w="2767"/>
          </w:tcPr>
          <w:p>
            <w:r>
              <w:rPr>
                <w:sz w:val="20"/>
              </w:rPr>
              <w:t>25%</w:t>
            </w:r>
          </w:p>
        </w:tc>
      </w:tr>
      <w:tr>
        <w:tc>
          <w:tcPr>
            <w:tcW w:type="dxa" w:w="2767"/>
          </w:tcPr>
          <w:p>
            <w:pPr>
              <w:jc w:val="center"/>
            </w:pPr>
            <w:r>
              <w:rPr>
                <w:b/>
                <w:sz w:val="20"/>
              </w:rPr>
              <w:t>合计</w:t>
            </w:r>
          </w:p>
        </w:tc>
        <w:tc>
          <w:tcPr>
            <w:tcW w:type="dxa" w:w="2767"/>
          </w:tcPr>
          <w:p>
            <w:pPr>
              <w:jc w:val="center"/>
            </w:pPr>
            <w:r>
              <w:rPr>
                <w:b/>
                <w:sz w:val="20"/>
              </w:rPr>
              <w:t>1000</w:t>
            </w:r>
          </w:p>
        </w:tc>
        <w:tc>
          <w:tcPr>
            <w:tcW w:type="dxa" w:w="2767"/>
          </w:tcPr>
          <w:p>
            <w:pPr>
              <w:jc w:val="center"/>
            </w:pPr>
            <w:r>
              <w:rPr>
                <w:b/>
                <w:sz w:val="20"/>
              </w:rPr>
              <w:t>100%</w:t>
            </w:r>
          </w:p>
        </w:tc>
      </w:tr>
    </w:tbl>
    <w:p>
      <w:pPr>
        <w:pStyle w:val="Heading2"/>
      </w:pPr>
      <w:r>
        <w:t>九、风险分析与对策</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tcPr>
          <w:p>
            <w:pPr>
              <w:jc w:val="center"/>
            </w:pPr>
            <w:r>
              <w:rPr>
                <w:b/>
                <w:sz w:val="20"/>
              </w:rPr>
              <w:t>风险</w:t>
            </w:r>
          </w:p>
        </w:tc>
        <w:tc>
          <w:tcPr>
            <w:tcW w:type="dxa" w:w="2075"/>
          </w:tcPr>
          <w:p>
            <w:pPr>
              <w:jc w:val="center"/>
            </w:pPr>
            <w:r>
              <w:rPr>
                <w:b/>
                <w:sz w:val="20"/>
              </w:rPr>
              <w:t>影响</w:t>
            </w:r>
          </w:p>
        </w:tc>
        <w:tc>
          <w:tcPr>
            <w:tcW w:type="dxa" w:w="2075"/>
          </w:tcPr>
          <w:p>
            <w:pPr>
              <w:jc w:val="center"/>
            </w:pPr>
            <w:r>
              <w:rPr>
                <w:b/>
                <w:sz w:val="20"/>
              </w:rPr>
              <w:t>概率</w:t>
            </w:r>
          </w:p>
        </w:tc>
        <w:tc>
          <w:tcPr>
            <w:tcW w:type="dxa" w:w="2075"/>
          </w:tcPr>
          <w:p>
            <w:pPr>
              <w:jc w:val="center"/>
            </w:pPr>
            <w:r>
              <w:rPr>
                <w:b/>
                <w:sz w:val="20"/>
              </w:rPr>
              <w:t>对策</w:t>
            </w:r>
          </w:p>
        </w:tc>
      </w:tr>
      <w:tr>
        <w:tc>
          <w:tcPr>
            <w:tcW w:type="dxa" w:w="2075"/>
          </w:tcPr>
          <w:p>
            <w:r>
              <w:rPr>
                <w:sz w:val="20"/>
              </w:rPr>
              <w:t>共识算法性能不达标</w:t>
            </w:r>
          </w:p>
        </w:tc>
        <w:tc>
          <w:tcPr>
            <w:tcW w:type="dxa" w:w="2075"/>
          </w:tcPr>
          <w:p>
            <w:r>
              <w:rPr>
                <w:sz w:val="20"/>
              </w:rPr>
              <w:t>高</w:t>
            </w:r>
          </w:p>
        </w:tc>
        <w:tc>
          <w:tcPr>
            <w:tcW w:type="dxa" w:w="2075"/>
          </w:tcPr>
          <w:p>
            <w:r>
              <w:rPr>
                <w:sz w:val="20"/>
              </w:rPr>
              <w:t>中</w:t>
            </w:r>
          </w:p>
        </w:tc>
        <w:tc>
          <w:tcPr>
            <w:tcW w:type="dxa" w:w="2075"/>
          </w:tcPr>
          <w:p>
            <w:r>
              <w:rPr>
                <w:sz w:val="20"/>
              </w:rPr>
              <w:t>预研 DAG+分片技术，设置性能基线</w:t>
            </w:r>
          </w:p>
        </w:tc>
      </w:tr>
      <w:tr>
        <w:tc>
          <w:tcPr>
            <w:tcW w:type="dxa" w:w="2075"/>
          </w:tcPr>
          <w:p>
            <w:r>
              <w:rPr>
                <w:sz w:val="20"/>
              </w:rPr>
              <w:t>国密算法集成困难</w:t>
            </w:r>
          </w:p>
        </w:tc>
        <w:tc>
          <w:tcPr>
            <w:tcW w:type="dxa" w:w="2075"/>
          </w:tcPr>
          <w:p>
            <w:r>
              <w:rPr>
                <w:sz w:val="20"/>
              </w:rPr>
              <w:t>中</w:t>
            </w:r>
          </w:p>
        </w:tc>
        <w:tc>
          <w:tcPr>
            <w:tcW w:type="dxa" w:w="2075"/>
          </w:tcPr>
          <w:p>
            <w:r>
              <w:rPr>
                <w:sz w:val="20"/>
              </w:rPr>
              <w:t>低</w:t>
            </w:r>
          </w:p>
        </w:tc>
        <w:tc>
          <w:tcPr>
            <w:tcW w:type="dxa" w:w="2075"/>
          </w:tcPr>
          <w:p>
            <w:r>
              <w:rPr>
                <w:sz w:val="20"/>
              </w:rPr>
              <w:t>提前对接密码检测机构，选择成熟库</w:t>
            </w:r>
          </w:p>
        </w:tc>
      </w:tr>
      <w:tr>
        <w:tc>
          <w:tcPr>
            <w:tcW w:type="dxa" w:w="2075"/>
          </w:tcPr>
          <w:p>
            <w:r>
              <w:rPr>
                <w:sz w:val="20"/>
              </w:rPr>
              <w:t>标准制定进度延迟</w:t>
            </w:r>
          </w:p>
        </w:tc>
        <w:tc>
          <w:tcPr>
            <w:tcW w:type="dxa" w:w="2075"/>
          </w:tcPr>
          <w:p>
            <w:r>
              <w:rPr>
                <w:sz w:val="20"/>
              </w:rPr>
              <w:t>中</w:t>
            </w:r>
          </w:p>
        </w:tc>
        <w:tc>
          <w:tcPr>
            <w:tcW w:type="dxa" w:w="2075"/>
          </w:tcPr>
          <w:p>
            <w:r>
              <w:rPr>
                <w:sz w:val="20"/>
              </w:rPr>
              <w:t>中</w:t>
            </w:r>
          </w:p>
        </w:tc>
        <w:tc>
          <w:tcPr>
            <w:tcW w:type="dxa" w:w="2075"/>
          </w:tcPr>
          <w:p>
            <w:r>
              <w:rPr>
                <w:sz w:val="20"/>
              </w:rPr>
              <w:t>联合标准化机构，提前启动草案</w:t>
            </w:r>
          </w:p>
        </w:tc>
      </w:tr>
      <w:tr>
        <w:tc>
          <w:tcPr>
            <w:tcW w:type="dxa" w:w="2075"/>
          </w:tcPr>
          <w:p>
            <w:r>
              <w:rPr>
                <w:sz w:val="20"/>
              </w:rPr>
              <w:t>应用场景不足</w:t>
            </w:r>
          </w:p>
        </w:tc>
        <w:tc>
          <w:tcPr>
            <w:tcW w:type="dxa" w:w="2075"/>
          </w:tcPr>
          <w:p>
            <w:r>
              <w:rPr>
                <w:sz w:val="20"/>
              </w:rPr>
              <w:t>高</w:t>
            </w:r>
          </w:p>
        </w:tc>
        <w:tc>
          <w:tcPr>
            <w:tcW w:type="dxa" w:w="2075"/>
          </w:tcPr>
          <w:p>
            <w:r>
              <w:rPr>
                <w:sz w:val="20"/>
              </w:rPr>
              <w:t>中</w:t>
            </w:r>
          </w:p>
        </w:tc>
        <w:tc>
          <w:tcPr>
            <w:tcW w:type="dxa" w:w="2075"/>
          </w:tcPr>
          <w:p>
            <w:r>
              <w:rPr>
                <w:sz w:val="20"/>
              </w:rPr>
              <w:t>尽早签约合作企业，共建测试环境</w:t>
            </w:r>
          </w:p>
        </w:tc>
      </w:tr>
    </w:tbl>
    <w:p>
      <w:pPr>
        <w:pStyle w:val="Heading2"/>
      </w:pPr>
      <w:r>
        <w:t>十、申报时间节点提醒</w:t>
      </w:r>
    </w:p>
    <w:tbl>
      <w:tblPr>
        <w:tblStyle w:val="TableGrid"/>
        <w:tblW w:type="auto" w:w="0"/>
        <w:jc w:val="center"/>
        <w:tblLook w:firstColumn="1" w:firstRow="1" w:lastColumn="0" w:lastRow="0" w:noHBand="0" w:noVBand="1" w:val="04A0"/>
      </w:tblPr>
      <w:tblGrid>
        <w:gridCol w:w="2767"/>
        <w:gridCol w:w="2767"/>
        <w:gridCol w:w="2767"/>
      </w:tblGrid>
      <w:tr>
        <w:tc>
          <w:tcPr>
            <w:tcW w:type="dxa" w:w="2767"/>
          </w:tcPr>
          <w:p>
            <w:pPr>
              <w:jc w:val="center"/>
            </w:pPr>
            <w:r>
              <w:rPr>
                <w:b/>
                <w:sz w:val="20"/>
              </w:rPr>
              <w:t>节点</w:t>
            </w:r>
          </w:p>
        </w:tc>
        <w:tc>
          <w:tcPr>
            <w:tcW w:type="dxa" w:w="2767"/>
          </w:tcPr>
          <w:p>
            <w:pPr>
              <w:jc w:val="center"/>
            </w:pPr>
            <w:r>
              <w:rPr>
                <w:b/>
                <w:sz w:val="20"/>
              </w:rPr>
              <w:t>时间</w:t>
            </w:r>
          </w:p>
        </w:tc>
        <w:tc>
          <w:tcPr>
            <w:tcW w:type="dxa" w:w="2767"/>
          </w:tcPr>
          <w:p>
            <w:pPr>
              <w:jc w:val="center"/>
            </w:pPr>
            <w:r>
              <w:rPr>
                <w:b/>
                <w:sz w:val="20"/>
              </w:rPr>
              <w:t>任务</w:t>
            </w:r>
          </w:p>
        </w:tc>
      </w:tr>
      <w:tr>
        <w:tc>
          <w:tcPr>
            <w:tcW w:type="dxa" w:w="2767"/>
          </w:tcPr>
          <w:p>
            <w:r>
              <w:rPr>
                <w:sz w:val="20"/>
              </w:rPr>
              <w:t>申报意向提交</w:t>
            </w:r>
          </w:p>
        </w:tc>
        <w:tc>
          <w:tcPr>
            <w:tcW w:type="dxa" w:w="2767"/>
          </w:tcPr>
          <w:p>
            <w:r>
              <w:rPr>
                <w:sz w:val="20"/>
              </w:rPr>
              <w:t>7月20日前</w:t>
            </w:r>
          </w:p>
        </w:tc>
        <w:tc>
          <w:tcPr>
            <w:tcW w:type="dxa" w:w="2767"/>
          </w:tcPr>
          <w:p>
            <w:r>
              <w:rPr>
                <w:sz w:val="20"/>
              </w:rPr>
              <w:t>以学院为单位提交申报名单（附件1）</w:t>
            </w:r>
          </w:p>
        </w:tc>
      </w:tr>
      <w:tr>
        <w:tc>
          <w:tcPr>
            <w:tcW w:type="dxa" w:w="2767"/>
          </w:tcPr>
          <w:p>
            <w:r>
              <w:rPr>
                <w:sz w:val="20"/>
              </w:rPr>
              <w:t>系统开放</w:t>
            </w:r>
          </w:p>
        </w:tc>
        <w:tc>
          <w:tcPr>
            <w:tcW w:type="dxa" w:w="2767"/>
          </w:tcPr>
          <w:p>
            <w:r>
              <w:rPr>
                <w:sz w:val="20"/>
              </w:rPr>
              <w:t>7月20日</w:t>
            </w:r>
          </w:p>
        </w:tc>
        <w:tc>
          <w:tcPr>
            <w:tcW w:type="dxa" w:w="2767"/>
          </w:tcPr>
          <w:p>
            <w:r>
              <w:rPr>
                <w:sz w:val="20"/>
              </w:rPr>
              <w:t>开始正式填报</w:t>
            </w:r>
          </w:p>
        </w:tc>
      </w:tr>
      <w:tr>
        <w:tc>
          <w:tcPr>
            <w:tcW w:type="dxa" w:w="2767"/>
          </w:tcPr>
          <w:p>
            <w:r>
              <w:rPr>
                <w:sz w:val="20"/>
              </w:rPr>
              <w:t>建议首次提交</w:t>
            </w:r>
          </w:p>
        </w:tc>
        <w:tc>
          <w:tcPr>
            <w:tcW w:type="dxa" w:w="2767"/>
          </w:tcPr>
          <w:p>
            <w:r>
              <w:rPr>
                <w:sz w:val="20"/>
              </w:rPr>
              <w:t>8月7日前</w:t>
            </w:r>
          </w:p>
        </w:tc>
        <w:tc>
          <w:tcPr>
            <w:tcW w:type="dxa" w:w="2767"/>
          </w:tcPr>
          <w:p>
            <w:r>
              <w:rPr>
                <w:sz w:val="20"/>
              </w:rPr>
              <w:t>避免临期卡顿、形审修改</w:t>
            </w:r>
          </w:p>
        </w:tc>
      </w:tr>
      <w:tr>
        <w:tc>
          <w:tcPr>
            <w:tcW w:type="dxa" w:w="2767"/>
          </w:tcPr>
          <w:p>
            <w:r>
              <w:rPr>
                <w:sz w:val="20"/>
              </w:rPr>
              <w:t>系统关闭</w:t>
            </w:r>
          </w:p>
        </w:tc>
        <w:tc>
          <w:tcPr>
            <w:tcW w:type="dxa" w:w="2767"/>
          </w:tcPr>
          <w:p>
            <w:r>
              <w:rPr>
                <w:sz w:val="20"/>
              </w:rPr>
              <w:t>8月10日 17:30</w:t>
            </w:r>
          </w:p>
        </w:tc>
        <w:tc>
          <w:tcPr>
            <w:tcW w:type="dxa" w:w="2767"/>
          </w:tcPr>
          <w:p>
            <w:r>
              <w:rPr>
                <w:sz w:val="20"/>
              </w:rPr>
              <w:t>正式提交截止</w:t>
            </w:r>
          </w:p>
        </w:tc>
      </w:tr>
    </w:tbl>
    <w:p/>
    <w:p>
      <w:pPr>
        <w:jc w:val="both"/>
      </w:pPr>
      <w:r>
        <w:rPr>
          <w:b/>
          <w:color w:val="FF0000"/>
        </w:rPr>
        <w:t>特别注意：</w:t>
      </w:r>
      <w:r>
        <w:t>相似度30%以上（含）按形式审查不通过处理，存在科研失信行为根据有关规定予以处理。</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