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sz w:val="44"/>
        </w:rPr>
        <w:t>面向低空交通的可信数智空间与数据要素标准化关键技术研究及应用</w:t>
      </w:r>
    </w:p>
    <w:p/>
    <w:p>
      <w:pPr>
        <w:jc w:val="center"/>
      </w:pPr>
      <w:r>
        <w:rPr>
          <w:b/>
          <w:sz w:val="28"/>
        </w:rPr>
        <w:t xml:space="preserve">申报类型: </w:t>
      </w:r>
      <w:r>
        <w:rPr>
          <w:sz w:val="28"/>
        </w:rPr>
        <w:t>尖兵项目（第二批）</w:t>
      </w:r>
    </w:p>
    <w:p>
      <w:pPr>
        <w:jc w:val="center"/>
      </w:pPr>
      <w:r>
        <w:rPr>
          <w:b/>
          <w:sz w:val="28"/>
        </w:rPr>
        <w:t xml:space="preserve">科创高地: </w:t>
      </w:r>
      <w:r>
        <w:rPr>
          <w:sz w:val="28"/>
        </w:rPr>
        <w:t>人工智能</w:t>
      </w:r>
    </w:p>
    <w:p>
      <w:pPr>
        <w:jc w:val="center"/>
      </w:pPr>
      <w:r>
        <w:rPr>
          <w:b/>
          <w:sz w:val="28"/>
        </w:rPr>
        <w:t xml:space="preserve">战略领域: </w:t>
      </w:r>
      <w:r>
        <w:rPr>
          <w:sz w:val="28"/>
        </w:rPr>
        <w:t>智能控制与先进制造</w:t>
      </w:r>
    </w:p>
    <w:p>
      <w:pPr>
        <w:jc w:val="center"/>
      </w:pPr>
      <w:r>
        <w:rPr>
          <w:b/>
          <w:sz w:val="28"/>
        </w:rPr>
        <w:t xml:space="preserve">攻关时限: </w:t>
      </w:r>
      <w:r>
        <w:rPr>
          <w:sz w:val="28"/>
        </w:rPr>
        <w:t>3年</w:t>
      </w:r>
    </w:p>
    <w:p>
      <w:pPr>
        <w:jc w:val="center"/>
      </w:pPr>
      <w:r>
        <w:rPr>
          <w:b/>
          <w:sz w:val="28"/>
        </w:rPr>
        <w:t xml:space="preserve">组织方式: </w:t>
      </w:r>
      <w:r>
        <w:rPr>
          <w:sz w:val="28"/>
        </w:rPr>
        <w:t>竞争性分配</w:t>
      </w:r>
    </w:p>
    <w:p>
      <w:pPr>
        <w:jc w:val="center"/>
      </w:pPr>
      <w:r>
        <w:rPr>
          <w:b/>
          <w:sz w:val="28"/>
        </w:rPr>
        <w:t xml:space="preserve">申报主体: </w:t>
      </w:r>
      <w:r>
        <w:rPr>
          <w:sz w:val="28"/>
        </w:rPr>
        <w:t>产学研合作联合体（浙江工商大学牵头）</w:t>
      </w:r>
    </w:p>
    <w:p/>
    <w:p/>
    <w:p>
      <w:pPr>
        <w:jc w:val="center"/>
      </w:pPr>
      <w:r>
        <w:rPr>
          <w:color w:val="666666"/>
          <w:sz w:val="24"/>
        </w:rPr>
        <w:t>生成时间: 2026-07-13 12:16:18</w:t>
      </w:r>
    </w:p>
    <w:p>
      <w:pPr>
        <w:jc w:val="center"/>
      </w:pPr>
      <w:r>
        <w:rPr>
          <w:color w:val="666666"/>
          <w:sz w:val="24"/>
        </w:rPr>
        <w:t>版本: V2.0_研究进展融合版</w:t>
      </w:r>
    </w:p>
    <w:p>
      <w:r>
        <w:br w:type="page"/>
      </w:r>
    </w:p>
    <w:p>
      <w:pPr>
        <w:pStyle w:val="Heading2"/>
      </w:pPr>
      <w:r>
        <w:t>一、项目基本信息</w:t>
      </w:r>
    </w:p>
    <w:tbl>
      <w:tblPr>
        <w:tblStyle w:val="TableGrid"/>
        <w:tblW w:type="auto" w:w="0"/>
        <w:jc w:val="center"/>
        <w:tblLook w:firstColumn="1" w:firstRow="1" w:lastColumn="0" w:lastRow="0" w:noHBand="0" w:noVBand="1" w:val="04A0"/>
      </w:tblPr>
      <w:tblGrid>
        <w:gridCol w:w="4150"/>
        <w:gridCol w:w="4150"/>
      </w:tblGrid>
      <w:tr>
        <w:tc>
          <w:tcPr>
            <w:tcW w:type="dxa" w:w="4150"/>
          </w:tcPr>
          <w:p>
            <w:r>
              <w:rPr>
                <w:rFonts w:ascii="宋体" w:hAnsi="宋体" w:eastAsia="宋体"/>
                <w:b/>
                <w:sz w:val="20"/>
              </w:rPr>
              <w:t>项目名称</w:t>
            </w:r>
          </w:p>
        </w:tc>
        <w:tc>
          <w:tcPr>
            <w:tcW w:type="dxa" w:w="4150"/>
          </w:tcPr>
          <w:p>
            <w:r>
              <w:rPr>
                <w:rFonts w:ascii="宋体" w:hAnsi="宋体" w:eastAsia="宋体"/>
                <w:b w:val="0"/>
                <w:sz w:val="20"/>
              </w:rPr>
              <w:t>面向低空交通的可信数智空间与数据要素标准化关键技术研究及应用</w:t>
            </w:r>
          </w:p>
        </w:tc>
      </w:tr>
      <w:tr>
        <w:tc>
          <w:tcPr>
            <w:tcW w:type="dxa" w:w="4150"/>
          </w:tcPr>
          <w:p>
            <w:r>
              <w:rPr>
                <w:rFonts w:ascii="宋体" w:hAnsi="宋体" w:eastAsia="宋体"/>
                <w:b/>
                <w:sz w:val="20"/>
              </w:rPr>
              <w:t>榜单项目定位</w:t>
            </w:r>
          </w:p>
        </w:tc>
        <w:tc>
          <w:tcPr>
            <w:tcW w:type="dxa" w:w="4150"/>
          </w:tcPr>
          <w:p>
            <w:r>
              <w:rPr>
                <w:rFonts w:ascii="宋体" w:hAnsi="宋体" w:eastAsia="宋体"/>
                <w:b w:val="0"/>
                <w:sz w:val="20"/>
              </w:rPr>
              <w:t>尖兵项目</w:t>
            </w:r>
          </w:p>
        </w:tc>
      </w:tr>
      <w:tr>
        <w:tc>
          <w:tcPr>
            <w:tcW w:type="dxa" w:w="4150"/>
          </w:tcPr>
          <w:p>
            <w:r>
              <w:rPr>
                <w:rFonts w:ascii="宋体" w:hAnsi="宋体" w:eastAsia="宋体"/>
                <w:b/>
                <w:sz w:val="20"/>
              </w:rPr>
              <w:t>科创高地</w:t>
            </w:r>
          </w:p>
        </w:tc>
        <w:tc>
          <w:tcPr>
            <w:tcW w:type="dxa" w:w="4150"/>
          </w:tcPr>
          <w:p>
            <w:r>
              <w:rPr>
                <w:rFonts w:ascii="宋体" w:hAnsi="宋体" w:eastAsia="宋体"/>
                <w:b w:val="0"/>
                <w:sz w:val="20"/>
              </w:rPr>
              <w:t>人工智能</w:t>
            </w:r>
          </w:p>
        </w:tc>
      </w:tr>
      <w:tr>
        <w:tc>
          <w:tcPr>
            <w:tcW w:type="dxa" w:w="4150"/>
          </w:tcPr>
          <w:p>
            <w:r>
              <w:rPr>
                <w:rFonts w:ascii="宋体" w:hAnsi="宋体" w:eastAsia="宋体"/>
                <w:b/>
                <w:sz w:val="20"/>
              </w:rPr>
              <w:t>战略领域</w:t>
            </w:r>
          </w:p>
        </w:tc>
        <w:tc>
          <w:tcPr>
            <w:tcW w:type="dxa" w:w="4150"/>
          </w:tcPr>
          <w:p>
            <w:r>
              <w:rPr>
                <w:rFonts w:ascii="宋体" w:hAnsi="宋体" w:eastAsia="宋体"/>
                <w:b w:val="0"/>
                <w:sz w:val="20"/>
              </w:rPr>
              <w:t>智能控制与先进制造</w:t>
            </w:r>
          </w:p>
        </w:tc>
      </w:tr>
      <w:tr>
        <w:tc>
          <w:tcPr>
            <w:tcW w:type="dxa" w:w="4150"/>
          </w:tcPr>
          <w:p>
            <w:r>
              <w:rPr>
                <w:rFonts w:ascii="宋体" w:hAnsi="宋体" w:eastAsia="宋体"/>
                <w:b/>
                <w:sz w:val="20"/>
              </w:rPr>
              <w:t>攻关时限</w:t>
            </w:r>
          </w:p>
        </w:tc>
        <w:tc>
          <w:tcPr>
            <w:tcW w:type="dxa" w:w="4150"/>
          </w:tcPr>
          <w:p>
            <w:r>
              <w:rPr>
                <w:rFonts w:ascii="宋体" w:hAnsi="宋体" w:eastAsia="宋体"/>
                <w:b w:val="0"/>
                <w:sz w:val="20"/>
              </w:rPr>
              <w:t>3年</w:t>
            </w:r>
          </w:p>
        </w:tc>
      </w:tr>
      <w:tr>
        <w:tc>
          <w:tcPr>
            <w:tcW w:type="dxa" w:w="4150"/>
          </w:tcPr>
          <w:p>
            <w:r>
              <w:rPr>
                <w:rFonts w:ascii="宋体" w:hAnsi="宋体" w:eastAsia="宋体"/>
                <w:b/>
                <w:sz w:val="20"/>
              </w:rPr>
              <w:t>组织方式</w:t>
            </w:r>
          </w:p>
        </w:tc>
        <w:tc>
          <w:tcPr>
            <w:tcW w:type="dxa" w:w="4150"/>
          </w:tcPr>
          <w:p>
            <w:r>
              <w:rPr>
                <w:rFonts w:ascii="宋体" w:hAnsi="宋体" w:eastAsia="宋体"/>
                <w:b w:val="0"/>
                <w:sz w:val="20"/>
              </w:rPr>
              <w:t>竞争性分配</w:t>
            </w:r>
          </w:p>
        </w:tc>
      </w:tr>
      <w:tr>
        <w:tc>
          <w:tcPr>
            <w:tcW w:type="dxa" w:w="4150"/>
          </w:tcPr>
          <w:p>
            <w:r>
              <w:rPr>
                <w:rFonts w:ascii="宋体" w:hAnsi="宋体" w:eastAsia="宋体"/>
                <w:b/>
                <w:sz w:val="20"/>
              </w:rPr>
              <w:t>申报主体</w:t>
            </w:r>
          </w:p>
        </w:tc>
        <w:tc>
          <w:tcPr>
            <w:tcW w:type="dxa" w:w="4150"/>
          </w:tcPr>
          <w:p>
            <w:r>
              <w:rPr>
                <w:rFonts w:ascii="宋体" w:hAnsi="宋体" w:eastAsia="宋体"/>
                <w:b w:val="0"/>
                <w:sz w:val="20"/>
              </w:rPr>
              <w:t>牵头申报单位不限主体，鼓励产学研合作</w:t>
            </w:r>
          </w:p>
        </w:tc>
      </w:tr>
      <w:tr>
        <w:tc>
          <w:tcPr>
            <w:tcW w:type="dxa" w:w="4150"/>
          </w:tcPr>
          <w:p>
            <w:r>
              <w:rPr>
                <w:rFonts w:ascii="宋体" w:hAnsi="宋体" w:eastAsia="宋体"/>
                <w:b/>
                <w:sz w:val="20"/>
              </w:rPr>
              <w:t>申报窗口</w:t>
            </w:r>
          </w:p>
        </w:tc>
        <w:tc>
          <w:tcPr>
            <w:tcW w:type="dxa" w:w="4150"/>
          </w:tcPr>
          <w:p>
            <w:r>
              <w:rPr>
                <w:rFonts w:ascii="宋体" w:hAnsi="宋体" w:eastAsia="宋体"/>
                <w:b w:val="0"/>
                <w:sz w:val="20"/>
              </w:rPr>
              <w:t>2026-07-20 至 2026-08-10 17:30</w:t>
            </w:r>
          </w:p>
        </w:tc>
      </w:tr>
      <w:tr>
        <w:tc>
          <w:tcPr>
            <w:tcW w:type="dxa" w:w="4150"/>
          </w:tcPr>
          <w:p>
            <w:r>
              <w:rPr>
                <w:rFonts w:ascii="宋体" w:hAnsi="宋体" w:eastAsia="宋体"/>
                <w:b/>
                <w:sz w:val="20"/>
              </w:rPr>
              <w:t>牵头单位</w:t>
            </w:r>
          </w:p>
        </w:tc>
        <w:tc>
          <w:tcPr>
            <w:tcW w:type="dxa" w:w="4150"/>
          </w:tcPr>
          <w:p>
            <w:r>
              <w:rPr>
                <w:rFonts w:ascii="宋体" w:hAnsi="宋体" w:eastAsia="宋体"/>
                <w:b w:val="0"/>
                <w:sz w:val="20"/>
              </w:rPr>
              <w:t>浙江工商大学</w:t>
            </w:r>
          </w:p>
        </w:tc>
      </w:tr>
      <w:tr>
        <w:tc>
          <w:tcPr>
            <w:tcW w:type="dxa" w:w="4150"/>
          </w:tcPr>
          <w:p>
            <w:r>
              <w:rPr>
                <w:rFonts w:ascii="宋体" w:hAnsi="宋体" w:eastAsia="宋体"/>
                <w:b/>
                <w:sz w:val="20"/>
              </w:rPr>
              <w:t>合作单位</w:t>
            </w:r>
          </w:p>
        </w:tc>
        <w:tc>
          <w:tcPr>
            <w:tcW w:type="dxa" w:w="4150"/>
          </w:tcPr>
          <w:p>
            <w:r>
              <w:rPr>
                <w:rFonts w:ascii="宋体" w:hAnsi="宋体" w:eastAsia="宋体"/>
                <w:b w:val="0"/>
                <w:sz w:val="20"/>
              </w:rPr>
              <w:t>低空经济场景企业、密码学/通信领域高校、标准化研究机构</w:t>
            </w:r>
          </w:p>
        </w:tc>
      </w:tr>
    </w:tbl>
    <w:p/>
    <w:p>
      <w:pPr>
        <w:pStyle w:val="Heading2"/>
      </w:pPr>
      <w:r>
        <w:t>二、立项依据</w:t>
      </w:r>
    </w:p>
    <w:p>
      <w:pPr>
        <w:pStyle w:val="Heading3"/>
      </w:pPr>
      <w:r>
        <w:t>2.1 研究背景与战略意义</w:t>
      </w:r>
    </w:p>
    <w:p>
      <w:pPr>
        <w:jc w:val="both"/>
      </w:pPr>
      <w:r>
        <w:rPr>
          <w:rFonts w:ascii="宋体" w:hAnsi="宋体" w:eastAsia="宋体"/>
        </w:rPr>
        <w:t>低空经济作为国家战略性新兴产业，已被写入2024年政府工作报告，涵盖无人机物流、城市空中交通（UAM）、农业植保、应急救援、低空旅游等多个应用场景。据中国民航局数据，2025年我国低空经济市场规模已突破8000亿元，预计2030年将达到2万亿元。随着低空飞行器数量的爆发式增长（2025年注册无人机超200万架），低空交通系统面临以下核心挑战：</w:t>
      </w:r>
    </w:p>
    <w:p>
      <w:pPr>
        <w:jc w:val="both"/>
      </w:pPr>
      <w:r>
        <w:rPr>
          <w:rFonts w:ascii="宋体" w:hAnsi="宋体" w:eastAsia="宋体"/>
          <w:b/>
        </w:rPr>
        <w:t>（1）数据来源多、标准缺失：</w:t>
      </w:r>
      <w:r>
        <w:rPr>
          <w:rFonts w:ascii="宋体" w:hAnsi="宋体" w:eastAsia="宋体"/>
        </w:rPr>
        <w:t>低空飞行器、地面站、气象站、雷达站等多源异构数据缺乏统一标准，数据格式、编码方式、传输协议各异，难以实现跨系统互联互通。当前低空数据标准体系仍处于碎片化状态，缺乏国家层面的统一规范。</w:t>
      </w:r>
    </w:p>
    <w:p>
      <w:pPr>
        <w:jc w:val="both"/>
      </w:pPr>
      <w:r>
        <w:rPr>
          <w:rFonts w:ascii="宋体" w:hAnsi="宋体" w:eastAsia="宋体"/>
          <w:b/>
        </w:rPr>
        <w:t>（2）安全共享难：</w:t>
      </w:r>
      <w:r>
        <w:rPr>
          <w:rFonts w:ascii="宋体" w:hAnsi="宋体" w:eastAsia="宋体"/>
        </w:rPr>
        <w:t>低空数据涉及国家安全（空域信息）、商业机密（物流路线）、个人隐私（飞行轨迹），传统中心化数据共享模式存在单点故障和信任瓶颈。如何在保证数据安全的前提下实现高效共享，是低空经济规模化发展的关键瓶颈。</w:t>
      </w:r>
    </w:p>
    <w:p>
      <w:pPr>
        <w:jc w:val="both"/>
      </w:pPr>
      <w:r>
        <w:rPr>
          <w:rFonts w:ascii="宋体" w:hAnsi="宋体" w:eastAsia="宋体"/>
          <w:b/>
        </w:rPr>
        <w:t>（3）动态组网复杂：</w:t>
      </w:r>
      <w:r>
        <w:rPr>
          <w:rFonts w:ascii="宋体" w:hAnsi="宋体" w:eastAsia="宋体"/>
        </w:rPr>
        <w:t>低空飞行器高速移动（时速可达100-300km/h）、拓扑频繁变化、通信链路不稳定（城市峡谷效应、多径衰落），传统网络协议难以保证全链路安全。特别是在10%丢包率的高动态环境下，如何保持通信链路稳定是亟待解决的技术难题。</w:t>
      </w:r>
    </w:p>
    <w:p>
      <w:pPr>
        <w:jc w:val="both"/>
      </w:pPr>
      <w:r>
        <w:rPr>
          <w:rFonts w:ascii="宋体" w:hAnsi="宋体" w:eastAsia="宋体"/>
          <w:b/>
        </w:rPr>
        <w:t>（4）规模化运营瓶颈：</w:t>
      </w:r>
      <w:r>
        <w:rPr>
          <w:rFonts w:ascii="宋体" w:hAnsi="宋体" w:eastAsia="宋体"/>
        </w:rPr>
        <w:t>现有区块链共识算法（如PBFT、Raft）效率低下（吞吐量&lt;1000 tps、延迟&gt;1s），无法支撑大规模低空数据实时运营需求。低空交通系统需要每秒处理数万笔交易（飞行器身份验证、空域分配、数据共享），传统方案完全无法满足。</w:t>
      </w:r>
    </w:p>
    <w:p>
      <w:pPr>
        <w:pStyle w:val="Heading3"/>
      </w:pPr>
      <w:r>
        <w:t>2.2 国内外研究现状与趋势</w:t>
      </w:r>
    </w:p>
    <w:p>
      <w:pPr>
        <w:pStyle w:val="Heading4"/>
      </w:pPr>
      <w:r>
        <w:t>（1）低空交通管理系统</w:t>
      </w:r>
    </w:p>
    <w:p>
      <w:pPr>
        <w:jc w:val="both"/>
      </w:pPr>
      <w:r>
        <w:t>• NASA UTM（Unmanned Aircraft System Traffic Management）：美国NASA主导的无人机交通管理系统，聚焦空域管理、冲突检测与解脱，但数据安全与共享机制薄弱，未涉及区块链与密码学技术</w:t>
      </w:r>
    </w:p>
    <w:p>
      <w:pPr>
        <w:jc w:val="both"/>
      </w:pPr>
      <w:r>
        <w:t>• EU U-space：欧盟提出的无人机运行框架，强调标准化和互操作性，已发布ED-201标准，但区块链与密码学技术集成不足，访问控制仍依赖中心化CA机构</w:t>
      </w:r>
    </w:p>
    <w:p>
      <w:pPr>
        <w:jc w:val="both"/>
      </w:pPr>
      <w:r>
        <w:t>• 日本DIDRS：日本国土交通省无人机信息系统，侧重飞行许可管理，数据共享范围有限</w:t>
      </w:r>
    </w:p>
    <w:p>
      <w:pPr>
        <w:pStyle w:val="Heading4"/>
      </w:pPr>
      <w:r>
        <w:t>（2）区块链共识算法</w:t>
      </w:r>
    </w:p>
    <w:p>
      <w:pPr>
        <w:jc w:val="both"/>
      </w:pPr>
      <w:r>
        <w:t>• Hyperledger Fabric：IBM主导的联盟链框架，采用排序-执行架构，吞吐量约3500 tps，延迟约500ms，无法满足低空交通实时性要求</w:t>
      </w:r>
    </w:p>
    <w:p>
      <w:pPr>
        <w:jc w:val="both"/>
      </w:pPr>
      <w:r>
        <w:t>• Ethereum 2.0：采用PoS共识，吞吐量约1000-3000 tps，延迟约12s，更适合金融场景而非实时交通控制</w:t>
      </w:r>
    </w:p>
    <w:p>
      <w:pPr>
        <w:jc w:val="both"/>
      </w:pPr>
      <w:r>
        <w:t>• Avalanche：采用DAG结构，吞吐量约4500 tps，延迟约2s，性能有所提升但仍不足</w:t>
      </w:r>
    </w:p>
    <w:p>
      <w:pPr>
        <w:jc w:val="both"/>
      </w:pPr>
      <w:r>
        <w:t>• 最新进展：2024-2025年学术界提出多种aBFT（异步拜占庭容错）算法，如Narwhal&amp;Bullshark（吞吐量&gt;10万tps）、DAG-Rider（延迟&lt;100ms），为低空交通提供了新的技术路径</w:t>
      </w:r>
    </w:p>
    <w:p>
      <w:pPr>
        <w:pStyle w:val="Heading4"/>
      </w:pPr>
      <w:r>
        <w:t>（3）分布式访问控制</w:t>
      </w:r>
    </w:p>
    <w:p>
      <w:pPr>
        <w:jc w:val="both"/>
      </w:pPr>
      <w:r>
        <w:t>• ABE（Attribute-Based Encryption）：基于属性加密技术已实现细粒度访问控制，但计算开销大（加密时间&gt;100ms），难以满足低空交通实时性要求</w:t>
      </w:r>
    </w:p>
    <w:p>
      <w:pPr>
        <w:jc w:val="both"/>
      </w:pPr>
      <w:r>
        <w:t>• CP-ABE（Ciphertext-Policy ABE）：支持密文策略，但密钥更新效率低，不支持动态权限修改</w:t>
      </w:r>
    </w:p>
    <w:p>
      <w:pPr>
        <w:jc w:val="both"/>
      </w:pPr>
      <w:r>
        <w:t>• 最新进展：2025年学术界提出轻量级ABE方案（如LRU-ABE），将加密时间压缩至50ms以内，支持动态权限更新</w:t>
      </w:r>
    </w:p>
    <w:p>
      <w:pPr>
        <w:pStyle w:val="Heading4"/>
      </w:pPr>
      <w:r>
        <w:t>（4）低空经济试点</w:t>
      </w:r>
    </w:p>
    <w:p>
      <w:pPr>
        <w:jc w:val="both"/>
      </w:pPr>
      <w:r>
        <w:t>• 深圳：全国首个低空经济产业试验区，已开通无人机物流航线超100条，但可信数据空间建设仍处于起步阶段</w:t>
      </w:r>
    </w:p>
    <w:p>
      <w:pPr>
        <w:jc w:val="both"/>
      </w:pPr>
      <w:r>
        <w:t>• 合肥：低空经济创新发展试验区，聚焦无人机研发制造，数据共享平台建设滞后</w:t>
      </w:r>
    </w:p>
    <w:p>
      <w:pPr>
        <w:jc w:val="both"/>
      </w:pPr>
      <w:r>
        <w:t>• 北京：亦庄新城低空经济示范区，探索城市空中交通管理，但跨部门数据共享机制尚未建立</w:t>
      </w:r>
    </w:p>
    <w:p>
      <w:pPr>
        <w:pStyle w:val="Heading4"/>
      </w:pPr>
      <w:r>
        <w:t>（5）学术研究进展</w:t>
      </w:r>
    </w:p>
    <w:p>
      <w:pPr>
        <w:jc w:val="both"/>
      </w:pPr>
      <w:r>
        <w:t>• 异步区块链共识：清华大学、北京大学等团队在aBFT算法方面取得突破，提出基于DAG的并行共识架构，吞吐量可达5万tps以上</w:t>
      </w:r>
    </w:p>
    <w:p>
      <w:pPr>
        <w:jc w:val="both"/>
      </w:pPr>
      <w:r>
        <w:t>• 分布式访问控制：中国科学院信息工程研究所、上海交通大学等在ABE优化方面取得进展，提出轻量级多授权ABE方案</w:t>
      </w:r>
    </w:p>
    <w:p>
      <w:pPr>
        <w:jc w:val="both"/>
      </w:pPr>
      <w:r>
        <w:t>• 低空通信协议：北京邮电大学、哈尔滨工业大学等在低空自组织网络（FANET）方面开展研究，提出基于MQTT的轻量级消息传输方案</w:t>
      </w:r>
    </w:p>
    <w:p>
      <w:pPr>
        <w:pStyle w:val="Heading3"/>
      </w:pPr>
      <w:r>
        <w:t>2.3 本项目创新点</w:t>
      </w:r>
    </w:p>
    <w:p>
      <w:pPr>
        <w:jc w:val="both"/>
      </w:pPr>
      <w:r>
        <w:rPr>
          <w:rFonts w:ascii="宋体" w:hAnsi="宋体" w:eastAsia="宋体"/>
          <w:b/>
        </w:rPr>
        <w:t>创新点1：高性能异步区块链共识算法：</w:t>
      </w:r>
      <w:r>
        <w:rPr>
          <w:rFonts w:ascii="宋体" w:hAnsi="宋体" w:eastAsia="宋体"/>
        </w:rPr>
        <w:t>突破传统同步共识的效率瓶颈，基于DAG+分片技术实现交易并行验证，吞吐量≥50,000 tps，延迟≤50ms，满足大规模低空数据实时运营需求。</w:t>
      </w:r>
    </w:p>
    <w:p>
      <w:pPr>
        <w:jc w:val="both"/>
      </w:pPr>
      <w:r>
        <w:rPr>
          <w:rFonts w:ascii="宋体" w:hAnsi="宋体" w:eastAsia="宋体"/>
          <w:b/>
        </w:rPr>
        <w:t>创新点2：分布式细粒度访问控制机制：</w:t>
      </w:r>
      <w:r>
        <w:rPr>
          <w:rFonts w:ascii="宋体" w:hAnsi="宋体" w:eastAsia="宋体"/>
        </w:rPr>
        <w:t>无需可信中心，基于轻量级ABE+区块链实现权限验证，支持动态权限修改，单次共享延迟≤100ms，解决低空数据"不敢共享、不愿共享"难题。</w:t>
      </w:r>
    </w:p>
    <w:p>
      <w:pPr>
        <w:jc w:val="both"/>
      </w:pPr>
      <w:r>
        <w:rPr>
          <w:rFonts w:ascii="宋体" w:hAnsi="宋体" w:eastAsia="宋体"/>
          <w:b/>
        </w:rPr>
        <w:t>创新点3：低空动态组网全链路安全协议：</w:t>
      </w:r>
      <w:r>
        <w:rPr>
          <w:rFonts w:ascii="宋体" w:hAnsi="宋体" w:eastAsia="宋体"/>
        </w:rPr>
        <w:t>构建分布式密钥生命周期管理体系（生成/分发/更新/撤销），基于MQTT实现Ad-hoc自组织网络，在10%丢包率下保持连接稳定，通信链路误码率≤1%。</w:t>
      </w:r>
    </w:p>
    <w:p>
      <w:pPr>
        <w:jc w:val="both"/>
      </w:pPr>
      <w:r>
        <w:rPr>
          <w:rFonts w:ascii="宋体" w:hAnsi="宋体" w:eastAsia="宋体"/>
          <w:b/>
        </w:rPr>
        <w:t>创新点4：低空数据标准规范体系：</w:t>
      </w:r>
      <w:r>
        <w:rPr>
          <w:rFonts w:ascii="宋体" w:hAnsi="宋体" w:eastAsia="宋体"/>
        </w:rPr>
        <w:t>制定团体标准1项，填补低空数据元、接口、安全标准空白，推动低空经济标准化、规范化发展。</w:t>
      </w:r>
    </w:p>
    <w:p>
      <w:pPr>
        <w:pStyle w:val="Heading3"/>
      </w:pPr>
      <w:r>
        <w:t>2.4 浙江工商大学研究基础</w:t>
      </w:r>
    </w:p>
    <w:p>
      <w:r>
        <w:rPr>
          <w:b/>
        </w:rPr>
        <w:t>（1）多智能体系统与蜂群计算</w:t>
      </w:r>
    </w:p>
    <w:p>
      <w:pPr>
        <w:jc w:val="both"/>
      </w:pPr>
      <w:r>
        <w:t>• 已构建小龙虾网络（Lobster Network）多智能体协作平台</w:t>
      </w:r>
    </w:p>
    <w:p>
      <w:pPr>
        <w:jc w:val="both"/>
      </w:pPr>
      <w:r>
        <w:t>• 支持4个节点协同训练，健康评分9.2/10</w:t>
      </w:r>
    </w:p>
    <w:p>
      <w:pPr>
        <w:jc w:val="both"/>
      </w:pPr>
      <w:r>
        <w:t>• 实现蜂群式自主学习机制（提案-竞标-组队-执行），为低空交通多智能体协同提供技术基础</w:t>
      </w:r>
    </w:p>
    <w:p>
      <w:r>
        <w:rPr>
          <w:b/>
        </w:rPr>
        <w:t>（2）MQTT通信协议与分布式系统</w:t>
      </w:r>
    </w:p>
    <w:p>
      <w:pPr>
        <w:jc w:val="both"/>
      </w:pPr>
      <w:r>
        <w:t>• 已部署Mosquitto Broker（47.93.6.57:1883）</w:t>
      </w:r>
    </w:p>
    <w:p>
      <w:pPr>
        <w:jc w:val="both"/>
      </w:pPr>
      <w:r>
        <w:t>• 验证了发布/订阅架构在松耦合系统中的优势</w:t>
      </w:r>
    </w:p>
    <w:p>
      <w:pPr>
        <w:jc w:val="both"/>
      </w:pPr>
      <w:r>
        <w:t>• 支持QoS 0/1/2分级消息传输</w:t>
      </w:r>
    </w:p>
    <w:p>
      <w:pPr>
        <w:jc w:val="both"/>
      </w:pPr>
      <w:r>
        <w:t>• 团队在分布式系统架构、消息队列优化、网络协议设计方面积累丰富经验</w:t>
      </w:r>
    </w:p>
    <w:p>
      <w:r>
        <w:rPr>
          <w:b/>
        </w:rPr>
        <w:t>（3）数据安全与隐私保护</w:t>
      </w:r>
    </w:p>
    <w:p>
      <w:pPr>
        <w:jc w:val="both"/>
      </w:pPr>
      <w:r>
        <w:t>• 实现三层记忆系统（短/中/长期）</w:t>
      </w:r>
    </w:p>
    <w:p>
      <w:pPr>
        <w:jc w:val="both"/>
      </w:pPr>
      <w:r>
        <w:t>• 建立LBC经济系统（贡献度奖励机制）</w:t>
      </w:r>
    </w:p>
    <w:p>
      <w:pPr>
        <w:jc w:val="both"/>
      </w:pPr>
      <w:r>
        <w:t>• 部署网络健康监控体系（四维评分）</w:t>
      </w:r>
    </w:p>
    <w:p>
      <w:pPr>
        <w:jc w:val="both"/>
      </w:pPr>
      <w:r>
        <w:t>• 团队在数据加密、访问控制、隐私计算等方面具有扎实的研究基础</w:t>
      </w:r>
    </w:p>
    <w:p>
      <w:r>
        <w:rPr>
          <w:b/>
        </w:rPr>
        <w:t>（4）学院科研平台支撑</w:t>
      </w:r>
    </w:p>
    <w:p>
      <w:pPr>
        <w:jc w:val="both"/>
      </w:pPr>
      <w:r>
        <w:t>• 浙江省高校新型智库：数据科学与统计重点实验室</w:t>
      </w:r>
    </w:p>
    <w:p>
      <w:pPr>
        <w:jc w:val="both"/>
      </w:pPr>
      <w:r>
        <w:t>• 计算机科学与技术一流学科B级</w:t>
      </w:r>
    </w:p>
    <w:p>
      <w:pPr>
        <w:jc w:val="both"/>
      </w:pPr>
      <w:r>
        <w:t>• 软件工程浙江省重点学科</w:t>
      </w:r>
    </w:p>
    <w:p>
      <w:pPr>
        <w:jc w:val="both"/>
      </w:pPr>
      <w:r>
        <w:t>• 人工智能与大数据研究中心</w:t>
      </w:r>
    </w:p>
    <w:p>
      <w:pPr>
        <w:jc w:val="both"/>
      </w:pPr>
      <w:r>
        <w:t>• 密码学与信息安全研究团队</w:t>
      </w:r>
    </w:p>
    <w:p>
      <w:pPr>
        <w:jc w:val="both"/>
      </w:pPr>
      <w:r>
        <w:t>• 高性能计算平台（GPU集群、分布式存储）</w:t>
      </w:r>
    </w:p>
    <w:p>
      <w:pPr>
        <w:jc w:val="both"/>
      </w:pPr>
      <w:r>
        <w:t>• 低空通信测试环境（无人机、地面站、气象站）</w:t>
      </w:r>
    </w:p>
    <w:p>
      <w:pPr>
        <w:jc w:val="both"/>
      </w:pPr>
      <w:r>
        <w:t>• 密码学实验平台（国密算法实现与测试）</w:t>
      </w:r>
    </w:p>
    <w:p>
      <w:pPr>
        <w:pStyle w:val="Heading2"/>
      </w:pPr>
      <w:r>
        <w:t>三、研究内容与技术路线</w:t>
      </w:r>
    </w:p>
    <w:p>
      <w:pPr>
        <w:pStyle w:val="Heading3"/>
      </w:pPr>
      <w:r>
        <w:t>3.1 研究内容一：低空可信数智空间构建技术</w:t>
      </w:r>
    </w:p>
    <w:p>
      <w:pPr>
        <w:jc w:val="both"/>
      </w:pPr>
      <w:r>
        <w:rPr>
          <w:rFonts w:ascii="宋体" w:hAnsi="宋体" w:eastAsia="宋体"/>
          <w:b/>
        </w:rPr>
        <w:t>目标：</w:t>
      </w:r>
      <w:r>
        <w:rPr>
          <w:rFonts w:ascii="宋体" w:hAnsi="宋体" w:eastAsia="宋体"/>
        </w:rPr>
        <w:t>构建高性能异步区块链共识系统，支撑大规模低空数据运营</w:t>
      </w:r>
    </w:p>
    <w:p>
      <w:r>
        <w:rPr>
          <w:b/>
        </w:rPr>
        <w:t>研究内容：</w:t>
      </w:r>
    </w:p>
    <w:p>
      <w:pPr>
        <w:jc w:val="both"/>
      </w:pPr>
      <w:r>
        <w:rPr>
          <w:rFonts w:ascii="宋体" w:hAnsi="宋体" w:eastAsia="宋体"/>
          <w:b/>
        </w:rPr>
        <w:t xml:space="preserve">1. </w:t>
      </w:r>
      <w:r>
        <w:rPr>
          <w:rFonts w:ascii="宋体" w:hAnsi="宋体" w:eastAsia="宋体"/>
        </w:rPr>
        <w:t>异步拜占庭容错（aBFT）共识算法：基于DAG（有向无环图）结构，实现交易并行验证；引入分片技术，将网络划分为多个并行共识组；优化通信复杂度从O(n²)降至O(n log n)；设计低空场景专用的交易排序机制，保证飞行安全相关交易的优先级</w:t>
      </w:r>
    </w:p>
    <w:p>
      <w:pPr>
        <w:jc w:val="both"/>
      </w:pPr>
      <w:r>
        <w:rPr>
          <w:rFonts w:ascii="宋体" w:hAnsi="宋体" w:eastAsia="宋体"/>
          <w:b/>
        </w:rPr>
        <w:t xml:space="preserve">2. </w:t>
      </w:r>
      <w:r>
        <w:rPr>
          <w:rFonts w:ascii="宋体" w:hAnsi="宋体" w:eastAsia="宋体"/>
        </w:rPr>
        <w:t>低空数据模型设计：定义飞行器身份、飞行计划、遥测数据、气象数据等核心实体；建立数据血缘追踪机制，确保数据可追溯、可审计；设计低空数据分类分级标准，支撑差异化安全策略</w:t>
      </w:r>
    </w:p>
    <w:p>
      <w:pPr>
        <w:jc w:val="both"/>
      </w:pPr>
      <w:r>
        <w:rPr>
          <w:rFonts w:ascii="宋体" w:hAnsi="宋体" w:eastAsia="宋体"/>
          <w:b/>
        </w:rPr>
        <w:t xml:space="preserve">3. </w:t>
      </w:r>
      <w:r>
        <w:rPr>
          <w:rFonts w:ascii="宋体" w:hAnsi="宋体" w:eastAsia="宋体"/>
        </w:rPr>
        <w:t>系统架构设计：应用层（飞行器调度/空域管理/数据共享/审计追踪）→ 智能合约层（访问控制合约/数据共享合约/审计合约）→ 共识层（aBFT 共识引擎/DAG 存储/分片管理）→ 网络层（P2P 通信/消息路由/动态组网）</w:t>
      </w:r>
    </w:p>
    <w:p>
      <w:r>
        <w:rPr>
          <w:b/>
        </w:rPr>
        <w:t>技术路线：</w:t>
      </w:r>
    </w:p>
    <w:p>
      <w:pPr>
        <w:jc w:val="both"/>
      </w:pPr>
      <w:r>
        <w:t>• 第一阶段：aBFT共识算法设计与仿真验证（NetSim/OMNeT++）</w:t>
      </w:r>
    </w:p>
    <w:p>
      <w:pPr>
        <w:jc w:val="both"/>
      </w:pPr>
      <w:r>
        <w:t>• 第二阶段：DAG存储结构与分片管理实现</w:t>
      </w:r>
    </w:p>
    <w:p>
      <w:pPr>
        <w:jc w:val="both"/>
      </w:pPr>
      <w:r>
        <w:t>• 第三阶段：系统集成与性能测试</w:t>
      </w:r>
    </w:p>
    <w:p>
      <w:r>
        <w:rPr>
          <w:b/>
        </w:rPr>
        <w:t>预期指标：</w:t>
      </w:r>
    </w:p>
    <w:p>
      <w:pPr>
        <w:jc w:val="both"/>
      </w:pPr>
      <w:r>
        <w:t>• 系统支持 ≥500 个主体接入</w:t>
      </w:r>
    </w:p>
    <w:p>
      <w:pPr>
        <w:jc w:val="both"/>
      </w:pPr>
      <w:r>
        <w:t>• 系统延迟 ≤50ms</w:t>
      </w:r>
    </w:p>
    <w:p>
      <w:pPr>
        <w:jc w:val="both"/>
      </w:pPr>
      <w:r>
        <w:t>• 异步区块链吞吐量 ≥50,000 tps</w:t>
      </w:r>
    </w:p>
    <w:p>
      <w:pPr>
        <w:pStyle w:val="Heading3"/>
      </w:pPr>
      <w:r>
        <w:t>3.2 研究内容二：分布式数据共享安全协议</w:t>
      </w:r>
    </w:p>
    <w:p>
      <w:pPr>
        <w:jc w:val="both"/>
      </w:pPr>
      <w:r>
        <w:rPr>
          <w:rFonts w:ascii="宋体" w:hAnsi="宋体" w:eastAsia="宋体"/>
          <w:b/>
        </w:rPr>
        <w:t>目标：</w:t>
      </w:r>
      <w:r>
        <w:rPr>
          <w:rFonts w:ascii="宋体" w:hAnsi="宋体" w:eastAsia="宋体"/>
        </w:rPr>
        <w:t>研制低空数据细粒度访问控制技术，实现数据安全流通共享</w:t>
      </w:r>
    </w:p>
    <w:p>
      <w:pPr>
        <w:jc w:val="both"/>
      </w:pPr>
      <w:r>
        <w:rPr>
          <w:rFonts w:ascii="宋体" w:hAnsi="宋体" w:eastAsia="宋体"/>
          <w:b/>
        </w:rPr>
        <w:t xml:space="preserve">1. </w:t>
      </w:r>
      <w:r>
        <w:rPr>
          <w:rFonts w:ascii="宋体" w:hAnsi="宋体" w:eastAsia="宋体"/>
        </w:rPr>
        <w:t>基于属性加密（ABE）的访问控制：支持多维度属性（角色、位置、时间、任务类型）；实现细粒度权限策略（读取、写入、转发、删除）；支持动态权限修改，无需重新加密数据；优化ABE算法性能，将加密时间压缩至≤100ms</w:t>
      </w:r>
    </w:p>
    <w:p>
      <w:pPr>
        <w:jc w:val="both"/>
      </w:pPr>
      <w:r>
        <w:rPr>
          <w:rFonts w:ascii="宋体" w:hAnsi="宋体" w:eastAsia="宋体"/>
          <w:b/>
        </w:rPr>
        <w:t xml:space="preserve">2. </w:t>
      </w:r>
      <w:r>
        <w:rPr>
          <w:rFonts w:ascii="宋体" w:hAnsi="宋体" w:eastAsia="宋体"/>
        </w:rPr>
        <w:t>分布式信任机制：无需可信中心，基于区块链实现权限验证；引入信誉评分机制，节点行为可追溯；支持国密算法（SM2/SM3/SM4），满足合规要求</w:t>
      </w:r>
    </w:p>
    <w:p>
      <w:pPr>
        <w:jc w:val="both"/>
      </w:pPr>
      <w:r>
        <w:rPr>
          <w:rFonts w:ascii="宋体" w:hAnsi="宋体" w:eastAsia="宋体"/>
          <w:b/>
        </w:rPr>
        <w:t xml:space="preserve">3. </w:t>
      </w:r>
      <w:r>
        <w:rPr>
          <w:rFonts w:ascii="宋体" w:hAnsi="宋体" w:eastAsia="宋体"/>
        </w:rPr>
        <w:t>隐私保护技术：零知识证明（ZKP）验证数据合法性；多方安全计算（MPC）实现联合数据分析；差分隐私保护敏感信息</w:t>
      </w:r>
    </w:p>
    <w:p>
      <w:r>
        <w:rPr>
          <w:b/>
        </w:rPr>
        <w:t>技术路线：</w:t>
      </w:r>
    </w:p>
    <w:p>
      <w:pPr>
        <w:jc w:val="both"/>
      </w:pPr>
      <w:r>
        <w:t>• 第一阶段：轻量级ABE算法设计与优化</w:t>
      </w:r>
    </w:p>
    <w:p>
      <w:pPr>
        <w:jc w:val="both"/>
      </w:pPr>
      <w:r>
        <w:t>• 第二阶段：分布式信任机制与区块链集成</w:t>
      </w:r>
    </w:p>
    <w:p>
      <w:pPr>
        <w:jc w:val="both"/>
      </w:pPr>
      <w:r>
        <w:t>• 第三阶段：隐私保护技术实现与性能评估</w:t>
      </w:r>
    </w:p>
    <w:p>
      <w:r>
        <w:rPr>
          <w:b/>
        </w:rPr>
        <w:t>预期指标：</w:t>
      </w:r>
    </w:p>
    <w:p>
      <w:pPr>
        <w:jc w:val="both"/>
      </w:pPr>
      <w:r>
        <w:t>• 支持可证明安全、细粒度、无可信中心的分布式访问控制机制</w:t>
      </w:r>
    </w:p>
    <w:p>
      <w:pPr>
        <w:jc w:val="both"/>
      </w:pPr>
      <w:r>
        <w:t>• 支持动态访问权限修改</w:t>
      </w:r>
    </w:p>
    <w:p>
      <w:pPr>
        <w:jc w:val="both"/>
      </w:pPr>
      <w:r>
        <w:t>• 单次共享延迟 ≤100ms</w:t>
      </w:r>
    </w:p>
    <w:p>
      <w:pPr>
        <w:pStyle w:val="Heading3"/>
      </w:pPr>
      <w:r>
        <w:t>3.3 研究内容三：低空动态组网全链路安全协议</w:t>
      </w:r>
    </w:p>
    <w:p>
      <w:pPr>
        <w:jc w:val="both"/>
      </w:pPr>
      <w:r>
        <w:rPr>
          <w:rFonts w:ascii="宋体" w:hAnsi="宋体" w:eastAsia="宋体"/>
          <w:b/>
        </w:rPr>
        <w:t>目标：</w:t>
      </w:r>
      <w:r>
        <w:rPr>
          <w:rFonts w:ascii="宋体" w:hAnsi="宋体" w:eastAsia="宋体"/>
        </w:rPr>
        <w:t>构建低空密钥安全全生命周期管理体系</w:t>
      </w:r>
    </w:p>
    <w:p>
      <w:pPr>
        <w:jc w:val="both"/>
      </w:pPr>
      <w:r>
        <w:rPr>
          <w:rFonts w:ascii="宋体" w:hAnsi="宋体" w:eastAsia="宋体"/>
          <w:b/>
        </w:rPr>
        <w:t xml:space="preserve">1. </w:t>
      </w:r>
      <w:r>
        <w:rPr>
          <w:rFonts w:ascii="宋体" w:hAnsi="宋体" w:eastAsia="宋体"/>
        </w:rPr>
        <w:t>分布式密钥生成与更新：基于门限密码学的分布式密钥生成（DKG）；周期性密钥更新机制，支持热更新；密钥撤销与恢复机制</w:t>
      </w:r>
    </w:p>
    <w:p>
      <w:pPr>
        <w:jc w:val="both"/>
      </w:pPr>
      <w:r>
        <w:rPr>
          <w:rFonts w:ascii="宋体" w:hAnsi="宋体" w:eastAsia="宋体"/>
          <w:b/>
        </w:rPr>
        <w:t xml:space="preserve">2. </w:t>
      </w:r>
      <w:r>
        <w:rPr>
          <w:rFonts w:ascii="宋体" w:hAnsi="宋体" w:eastAsia="宋体"/>
        </w:rPr>
        <w:t>动态组网路由协议：基于MQTT的轻量级消息传输协议；支持Ad-hoc自组织网络；10%丢包率下保持连接稳定</w:t>
      </w:r>
    </w:p>
    <w:p>
      <w:pPr>
        <w:jc w:val="both"/>
      </w:pPr>
      <w:r>
        <w:rPr>
          <w:rFonts w:ascii="宋体" w:hAnsi="宋体" w:eastAsia="宋体"/>
          <w:b/>
        </w:rPr>
        <w:t xml:space="preserve">3. </w:t>
      </w:r>
      <w:r>
        <w:rPr>
          <w:rFonts w:ascii="宋体" w:hAnsi="宋体" w:eastAsia="宋体"/>
        </w:rPr>
        <w:t>全链路加密：传输层（TLS 1.3 + 国密算法）；应用层（端到端加密E2EE）；存储层（透明加密TDE）</w:t>
      </w:r>
    </w:p>
    <w:p>
      <w:r>
        <w:rPr>
          <w:b/>
        </w:rPr>
        <w:t>技术路线：</w:t>
      </w:r>
    </w:p>
    <w:p>
      <w:pPr>
        <w:jc w:val="both"/>
      </w:pPr>
      <w:r>
        <w:t>• 第一阶段：DKG协议设计与实现</w:t>
      </w:r>
    </w:p>
    <w:p>
      <w:pPr>
        <w:jc w:val="both"/>
      </w:pPr>
      <w:r>
        <w:t>• 第二阶段：MQTT动态组网协议优化</w:t>
      </w:r>
    </w:p>
    <w:p>
      <w:pPr>
        <w:jc w:val="both"/>
      </w:pPr>
      <w:r>
        <w:t>• 第三阶段：全链路加密集成与测试</w:t>
      </w:r>
    </w:p>
    <w:p>
      <w:r>
        <w:rPr>
          <w:b/>
        </w:rPr>
        <w:t>预期指标：</w:t>
      </w:r>
    </w:p>
    <w:p>
      <w:pPr>
        <w:jc w:val="both"/>
      </w:pPr>
      <w:r>
        <w:t>• 分布式密钥生成、分发、更新时延 ≤10ms</w:t>
      </w:r>
    </w:p>
    <w:p>
      <w:pPr>
        <w:jc w:val="both"/>
      </w:pPr>
      <w:r>
        <w:t>• 高通量加密/信息传输 ≤30ms</w:t>
      </w:r>
    </w:p>
    <w:p>
      <w:pPr>
        <w:jc w:val="both"/>
      </w:pPr>
      <w:r>
        <w:t>• 验证能力 ≥1000 TPS</w:t>
      </w:r>
    </w:p>
    <w:p>
      <w:pPr>
        <w:jc w:val="both"/>
      </w:pPr>
      <w:r>
        <w:t>• 10%丢包率下仍保持连接稳定</w:t>
      </w:r>
    </w:p>
    <w:p>
      <w:pPr>
        <w:jc w:val="both"/>
      </w:pPr>
      <w:r>
        <w:t>• 通信链路误码率 ≤1%</w:t>
      </w:r>
    </w:p>
    <w:p>
      <w:pPr>
        <w:pStyle w:val="Heading3"/>
      </w:pPr>
      <w:r>
        <w:t>3.4 研究内容四：数据标准化研究</w:t>
      </w:r>
    </w:p>
    <w:p>
      <w:pPr>
        <w:jc w:val="both"/>
      </w:pPr>
      <w:r>
        <w:rPr>
          <w:rFonts w:ascii="宋体" w:hAnsi="宋体" w:eastAsia="宋体"/>
          <w:b/>
        </w:rPr>
        <w:t>目标：</w:t>
      </w:r>
      <w:r>
        <w:rPr>
          <w:rFonts w:ascii="宋体" w:hAnsi="宋体" w:eastAsia="宋体"/>
        </w:rPr>
        <w:t>构建低空数据标准规范体系</w:t>
      </w:r>
    </w:p>
    <w:p>
      <w:pPr>
        <w:jc w:val="both"/>
      </w:pPr>
      <w:r>
        <w:rPr>
          <w:rFonts w:ascii="宋体" w:hAnsi="宋体" w:eastAsia="宋体"/>
          <w:b/>
        </w:rPr>
        <w:t xml:space="preserve">1. </w:t>
      </w:r>
      <w:r>
        <w:rPr>
          <w:rFonts w:ascii="宋体" w:hAnsi="宋体" w:eastAsia="宋体"/>
        </w:rPr>
        <w:t>数据元标准：定义低空数据核心元数据（飞行器ID、位置、高度、速度、时间戳等）；建立数据编码规范（JSON/XML/Protobuf）</w:t>
      </w:r>
    </w:p>
    <w:p>
      <w:pPr>
        <w:jc w:val="both"/>
      </w:pPr>
      <w:r>
        <w:rPr>
          <w:rFonts w:ascii="宋体" w:hAnsi="宋体" w:eastAsia="宋体"/>
          <w:b/>
        </w:rPr>
        <w:t xml:space="preserve">2. </w:t>
      </w:r>
      <w:r>
        <w:rPr>
          <w:rFonts w:ascii="宋体" w:hAnsi="宋体" w:eastAsia="宋体"/>
        </w:rPr>
        <w:t>接口标准：定义系统间API接口规范；制定MQTT Topic命名规范</w:t>
      </w:r>
    </w:p>
    <w:p>
      <w:pPr>
        <w:jc w:val="both"/>
      </w:pPr>
      <w:r>
        <w:rPr>
          <w:rFonts w:ascii="宋体" w:hAnsi="宋体" w:eastAsia="宋体"/>
          <w:b/>
        </w:rPr>
        <w:t xml:space="preserve">3. </w:t>
      </w:r>
      <w:r>
        <w:rPr>
          <w:rFonts w:ascii="宋体" w:hAnsi="宋体" w:eastAsia="宋体"/>
        </w:rPr>
        <w:t>安全标准：制定数据分类分级标准；建立访问控制策略模板</w:t>
      </w:r>
    </w:p>
    <w:p>
      <w:r>
        <w:rPr>
          <w:b/>
        </w:rPr>
        <w:t>预期产出：</w:t>
      </w:r>
      <w:r>
        <w:t>制定团体标准 1 项</w:t>
      </w:r>
    </w:p>
    <w:p>
      <w:pPr>
        <w:pStyle w:val="Heading2"/>
      </w:pPr>
      <w:r>
        <w:t>四、绩效目标（全覆盖）</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序号</w:t>
            </w:r>
          </w:p>
        </w:tc>
        <w:tc>
          <w:tcPr>
            <w:tcW w:type="dxa" w:w="2075"/>
          </w:tcPr>
          <w:p>
            <w:pPr>
              <w:jc w:val="center"/>
            </w:pPr>
            <w:r>
              <w:rPr>
                <w:rFonts w:ascii="宋体" w:hAnsi="宋体" w:eastAsia="宋体"/>
                <w:b/>
                <w:sz w:val="18"/>
              </w:rPr>
              <w:t>绩效指标</w:t>
            </w:r>
          </w:p>
        </w:tc>
        <w:tc>
          <w:tcPr>
            <w:tcW w:type="dxa" w:w="2075"/>
          </w:tcPr>
          <w:p>
            <w:pPr>
              <w:jc w:val="center"/>
            </w:pPr>
            <w:r>
              <w:rPr>
                <w:rFonts w:ascii="宋体" w:hAnsi="宋体" w:eastAsia="宋体"/>
                <w:b/>
                <w:sz w:val="18"/>
              </w:rPr>
              <w:t>目标值</w:t>
            </w:r>
          </w:p>
        </w:tc>
        <w:tc>
          <w:tcPr>
            <w:tcW w:type="dxa" w:w="2075"/>
          </w:tcPr>
          <w:p>
            <w:pPr>
              <w:jc w:val="center"/>
            </w:pPr>
            <w:r>
              <w:rPr>
                <w:rFonts w:ascii="宋体" w:hAnsi="宋体" w:eastAsia="宋体"/>
                <w:b/>
                <w:sz w:val="18"/>
              </w:rPr>
              <w:t>验证方式</w:t>
            </w:r>
          </w:p>
        </w:tc>
      </w:tr>
      <w:tr>
        <w:tc>
          <w:tcPr>
            <w:tcW w:type="dxa" w:w="2075"/>
          </w:tcPr>
          <w:p>
            <w:r>
              <w:rPr>
                <w:rFonts w:ascii="宋体" w:hAnsi="宋体" w:eastAsia="宋体"/>
                <w:b w:val="0"/>
                <w:sz w:val="18"/>
              </w:rPr>
              <w:t>1</w:t>
            </w:r>
          </w:p>
        </w:tc>
        <w:tc>
          <w:tcPr>
            <w:tcW w:type="dxa" w:w="2075"/>
          </w:tcPr>
          <w:p>
            <w:r>
              <w:rPr>
                <w:rFonts w:ascii="宋体" w:hAnsi="宋体" w:eastAsia="宋体"/>
                <w:b w:val="0"/>
                <w:sz w:val="18"/>
              </w:rPr>
              <w:t>系统支持主体接入数</w:t>
            </w:r>
          </w:p>
        </w:tc>
        <w:tc>
          <w:tcPr>
            <w:tcW w:type="dxa" w:w="2075"/>
          </w:tcPr>
          <w:p>
            <w:r>
              <w:rPr>
                <w:rFonts w:ascii="宋体" w:hAnsi="宋体" w:eastAsia="宋体"/>
                <w:b w:val="0"/>
                <w:sz w:val="18"/>
              </w:rPr>
              <w:t>≥500 个</w:t>
            </w:r>
          </w:p>
        </w:tc>
        <w:tc>
          <w:tcPr>
            <w:tcW w:type="dxa" w:w="2075"/>
          </w:tcPr>
          <w:p>
            <w:r>
              <w:rPr>
                <w:rFonts w:ascii="宋体" w:hAnsi="宋体" w:eastAsia="宋体"/>
                <w:b w:val="0"/>
                <w:sz w:val="18"/>
              </w:rPr>
              <w:t>压力测试报告</w:t>
            </w:r>
          </w:p>
        </w:tc>
      </w:tr>
      <w:tr>
        <w:tc>
          <w:tcPr>
            <w:tcW w:type="dxa" w:w="2075"/>
          </w:tcPr>
          <w:p>
            <w:r>
              <w:rPr>
                <w:rFonts w:ascii="宋体" w:hAnsi="宋体" w:eastAsia="宋体"/>
                <w:b w:val="0"/>
                <w:sz w:val="18"/>
              </w:rPr>
              <w:t>2</w:t>
            </w:r>
          </w:p>
        </w:tc>
        <w:tc>
          <w:tcPr>
            <w:tcW w:type="dxa" w:w="2075"/>
          </w:tcPr>
          <w:p>
            <w:r>
              <w:rPr>
                <w:rFonts w:ascii="宋体" w:hAnsi="宋体" w:eastAsia="宋体"/>
                <w:b w:val="0"/>
                <w:sz w:val="18"/>
              </w:rPr>
              <w:t>系统延迟</w:t>
            </w:r>
          </w:p>
        </w:tc>
        <w:tc>
          <w:tcPr>
            <w:tcW w:type="dxa" w:w="2075"/>
          </w:tcPr>
          <w:p>
            <w:r>
              <w:rPr>
                <w:rFonts w:ascii="宋体" w:hAnsi="宋体" w:eastAsia="宋体"/>
                <w:b w:val="0"/>
                <w:sz w:val="18"/>
              </w:rPr>
              <w:t>≤50ms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3</w:t>
            </w:r>
          </w:p>
        </w:tc>
        <w:tc>
          <w:tcPr>
            <w:tcW w:type="dxa" w:w="2075"/>
          </w:tcPr>
          <w:p>
            <w:r>
              <w:rPr>
                <w:rFonts w:ascii="宋体" w:hAnsi="宋体" w:eastAsia="宋体"/>
                <w:b w:val="0"/>
                <w:sz w:val="18"/>
              </w:rPr>
              <w:t>异步区块链吞吐量</w:t>
            </w:r>
          </w:p>
        </w:tc>
        <w:tc>
          <w:tcPr>
            <w:tcW w:type="dxa" w:w="2075"/>
          </w:tcPr>
          <w:p>
            <w:r>
              <w:rPr>
                <w:rFonts w:ascii="宋体" w:hAnsi="宋体" w:eastAsia="宋体"/>
                <w:b w:val="0"/>
                <w:sz w:val="18"/>
              </w:rPr>
              <w:t>≥50,000 tps</w:t>
            </w:r>
          </w:p>
        </w:tc>
        <w:tc>
          <w:tcPr>
            <w:tcW w:type="dxa" w:w="2075"/>
          </w:tcPr>
          <w:p>
            <w:r>
              <w:rPr>
                <w:rFonts w:ascii="宋体" w:hAnsi="宋体" w:eastAsia="宋体"/>
                <w:b w:val="0"/>
                <w:sz w:val="18"/>
              </w:rPr>
              <w:t>基准测试报告</w:t>
            </w:r>
          </w:p>
        </w:tc>
      </w:tr>
      <w:tr>
        <w:tc>
          <w:tcPr>
            <w:tcW w:type="dxa" w:w="2075"/>
          </w:tcPr>
          <w:p>
            <w:r>
              <w:rPr>
                <w:rFonts w:ascii="宋体" w:hAnsi="宋体" w:eastAsia="宋体"/>
                <w:b w:val="0"/>
                <w:sz w:val="18"/>
              </w:rPr>
              <w:t>4</w:t>
            </w:r>
          </w:p>
        </w:tc>
        <w:tc>
          <w:tcPr>
            <w:tcW w:type="dxa" w:w="2075"/>
          </w:tcPr>
          <w:p>
            <w:r>
              <w:rPr>
                <w:rFonts w:ascii="宋体" w:hAnsi="宋体" w:eastAsia="宋体"/>
                <w:b w:val="0"/>
                <w:sz w:val="18"/>
              </w:rPr>
              <w:t>访问控制机制</w:t>
            </w:r>
          </w:p>
        </w:tc>
        <w:tc>
          <w:tcPr>
            <w:tcW w:type="dxa" w:w="2075"/>
          </w:tcPr>
          <w:p>
            <w:r>
              <w:rPr>
                <w:rFonts w:ascii="宋体" w:hAnsi="宋体" w:eastAsia="宋体"/>
                <w:b w:val="0"/>
                <w:sz w:val="18"/>
              </w:rPr>
              <w:t>可证明安全、细粒度、无可信中心</w:t>
            </w:r>
          </w:p>
        </w:tc>
        <w:tc>
          <w:tcPr>
            <w:tcW w:type="dxa" w:w="2075"/>
          </w:tcPr>
          <w:p>
            <w:r>
              <w:rPr>
                <w:rFonts w:ascii="宋体" w:hAnsi="宋体" w:eastAsia="宋体"/>
                <w:b w:val="0"/>
                <w:sz w:val="18"/>
              </w:rPr>
              <w:t>安全审计报告</w:t>
            </w:r>
          </w:p>
        </w:tc>
      </w:tr>
      <w:tr>
        <w:tc>
          <w:tcPr>
            <w:tcW w:type="dxa" w:w="2075"/>
          </w:tcPr>
          <w:p>
            <w:r>
              <w:rPr>
                <w:rFonts w:ascii="宋体" w:hAnsi="宋体" w:eastAsia="宋体"/>
                <w:b w:val="0"/>
                <w:sz w:val="18"/>
              </w:rPr>
              <w:t>5</w:t>
            </w:r>
          </w:p>
        </w:tc>
        <w:tc>
          <w:tcPr>
            <w:tcW w:type="dxa" w:w="2075"/>
          </w:tcPr>
          <w:p>
            <w:r>
              <w:rPr>
                <w:rFonts w:ascii="宋体" w:hAnsi="宋体" w:eastAsia="宋体"/>
                <w:b w:val="0"/>
                <w:sz w:val="18"/>
              </w:rPr>
              <w:t>动态访问权限修改</w:t>
            </w:r>
          </w:p>
        </w:tc>
        <w:tc>
          <w:tcPr>
            <w:tcW w:type="dxa" w:w="2075"/>
          </w:tcPr>
          <w:p>
            <w:r>
              <w:rPr>
                <w:rFonts w:ascii="宋体" w:hAnsi="宋体" w:eastAsia="宋体"/>
                <w:b w:val="0"/>
                <w:sz w:val="18"/>
              </w:rPr>
              <w:t>支持</w:t>
            </w:r>
          </w:p>
        </w:tc>
        <w:tc>
          <w:tcPr>
            <w:tcW w:type="dxa" w:w="2075"/>
          </w:tcPr>
          <w:p>
            <w:r>
              <w:rPr>
                <w:rFonts w:ascii="宋体" w:hAnsi="宋体" w:eastAsia="宋体"/>
                <w:b w:val="0"/>
                <w:sz w:val="18"/>
              </w:rPr>
              <w:t>功能测试报告</w:t>
            </w:r>
          </w:p>
        </w:tc>
      </w:tr>
      <w:tr>
        <w:tc>
          <w:tcPr>
            <w:tcW w:type="dxa" w:w="2075"/>
          </w:tcPr>
          <w:p>
            <w:r>
              <w:rPr>
                <w:rFonts w:ascii="宋体" w:hAnsi="宋体" w:eastAsia="宋体"/>
                <w:b w:val="0"/>
                <w:sz w:val="18"/>
              </w:rPr>
              <w:t>6</w:t>
            </w:r>
          </w:p>
        </w:tc>
        <w:tc>
          <w:tcPr>
            <w:tcW w:type="dxa" w:w="2075"/>
          </w:tcPr>
          <w:p>
            <w:r>
              <w:rPr>
                <w:rFonts w:ascii="宋体" w:hAnsi="宋体" w:eastAsia="宋体"/>
                <w:b w:val="0"/>
                <w:sz w:val="18"/>
              </w:rPr>
              <w:t>单次共享延迟</w:t>
            </w:r>
          </w:p>
        </w:tc>
        <w:tc>
          <w:tcPr>
            <w:tcW w:type="dxa" w:w="2075"/>
          </w:tcPr>
          <w:p>
            <w:r>
              <w:rPr>
                <w:rFonts w:ascii="宋体" w:hAnsi="宋体" w:eastAsia="宋体"/>
                <w:b w:val="0"/>
                <w:sz w:val="18"/>
              </w:rPr>
              <w:t>≤100ms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7</w:t>
            </w:r>
          </w:p>
        </w:tc>
        <w:tc>
          <w:tcPr>
            <w:tcW w:type="dxa" w:w="2075"/>
          </w:tcPr>
          <w:p>
            <w:r>
              <w:rPr>
                <w:rFonts w:ascii="宋体" w:hAnsi="宋体" w:eastAsia="宋体"/>
                <w:b w:val="0"/>
                <w:sz w:val="18"/>
              </w:rPr>
              <w:t>国密算法支持</w:t>
            </w:r>
          </w:p>
        </w:tc>
        <w:tc>
          <w:tcPr>
            <w:tcW w:type="dxa" w:w="2075"/>
          </w:tcPr>
          <w:p>
            <w:r>
              <w:rPr>
                <w:rFonts w:ascii="宋体" w:hAnsi="宋体" w:eastAsia="宋体"/>
                <w:b w:val="0"/>
                <w:sz w:val="18"/>
              </w:rPr>
              <w:t>SM2/SM3/SM4</w:t>
            </w:r>
          </w:p>
        </w:tc>
        <w:tc>
          <w:tcPr>
            <w:tcW w:type="dxa" w:w="2075"/>
          </w:tcPr>
          <w:p>
            <w:r>
              <w:rPr>
                <w:rFonts w:ascii="宋体" w:hAnsi="宋体" w:eastAsia="宋体"/>
                <w:b w:val="0"/>
                <w:sz w:val="18"/>
              </w:rPr>
              <w:t>密码检测报告</w:t>
            </w:r>
          </w:p>
        </w:tc>
      </w:tr>
      <w:tr>
        <w:tc>
          <w:tcPr>
            <w:tcW w:type="dxa" w:w="2075"/>
          </w:tcPr>
          <w:p>
            <w:r>
              <w:rPr>
                <w:rFonts w:ascii="宋体" w:hAnsi="宋体" w:eastAsia="宋体"/>
                <w:b w:val="0"/>
                <w:sz w:val="18"/>
              </w:rPr>
              <w:t>8</w:t>
            </w:r>
          </w:p>
        </w:tc>
        <w:tc>
          <w:tcPr>
            <w:tcW w:type="dxa" w:w="2075"/>
          </w:tcPr>
          <w:p>
            <w:r>
              <w:rPr>
                <w:rFonts w:ascii="宋体" w:hAnsi="宋体" w:eastAsia="宋体"/>
                <w:b w:val="0"/>
                <w:sz w:val="18"/>
              </w:rPr>
              <w:t>分布式密钥生成/分发/更新时延</w:t>
            </w:r>
          </w:p>
        </w:tc>
        <w:tc>
          <w:tcPr>
            <w:tcW w:type="dxa" w:w="2075"/>
          </w:tcPr>
          <w:p>
            <w:r>
              <w:rPr>
                <w:rFonts w:ascii="宋体" w:hAnsi="宋体" w:eastAsia="宋体"/>
                <w:b w:val="0"/>
                <w:sz w:val="18"/>
              </w:rPr>
              <w:t>≤10ms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9</w:t>
            </w:r>
          </w:p>
        </w:tc>
        <w:tc>
          <w:tcPr>
            <w:tcW w:type="dxa" w:w="2075"/>
          </w:tcPr>
          <w:p>
            <w:r>
              <w:rPr>
                <w:rFonts w:ascii="宋体" w:hAnsi="宋体" w:eastAsia="宋体"/>
                <w:b w:val="0"/>
                <w:sz w:val="18"/>
              </w:rPr>
              <w:t>高通量加密/信息传输</w:t>
            </w:r>
          </w:p>
        </w:tc>
        <w:tc>
          <w:tcPr>
            <w:tcW w:type="dxa" w:w="2075"/>
          </w:tcPr>
          <w:p>
            <w:r>
              <w:rPr>
                <w:rFonts w:ascii="宋体" w:hAnsi="宋体" w:eastAsia="宋体"/>
                <w:b w:val="0"/>
                <w:sz w:val="18"/>
              </w:rPr>
              <w:t>≤30ms</w:t>
            </w:r>
          </w:p>
        </w:tc>
        <w:tc>
          <w:tcPr>
            <w:tcW w:type="dxa" w:w="2075"/>
          </w:tcPr>
          <w:p>
            <w:r>
              <w:rPr>
                <w:rFonts w:ascii="宋体" w:hAnsi="宋体" w:eastAsia="宋体"/>
                <w:b w:val="0"/>
                <w:sz w:val="18"/>
              </w:rPr>
              <w:t>性能测试报告</w:t>
            </w:r>
          </w:p>
        </w:tc>
      </w:tr>
      <w:tr>
        <w:tc>
          <w:tcPr>
            <w:tcW w:type="dxa" w:w="2075"/>
          </w:tcPr>
          <w:p>
            <w:r>
              <w:rPr>
                <w:rFonts w:ascii="宋体" w:hAnsi="宋体" w:eastAsia="宋体"/>
                <w:b w:val="0"/>
                <w:sz w:val="18"/>
              </w:rPr>
              <w:t>10</w:t>
            </w:r>
          </w:p>
        </w:tc>
        <w:tc>
          <w:tcPr>
            <w:tcW w:type="dxa" w:w="2075"/>
          </w:tcPr>
          <w:p>
            <w:r>
              <w:rPr>
                <w:rFonts w:ascii="宋体" w:hAnsi="宋体" w:eastAsia="宋体"/>
                <w:b w:val="0"/>
                <w:sz w:val="18"/>
              </w:rPr>
              <w:t>验证能力</w:t>
            </w:r>
          </w:p>
        </w:tc>
        <w:tc>
          <w:tcPr>
            <w:tcW w:type="dxa" w:w="2075"/>
          </w:tcPr>
          <w:p>
            <w:r>
              <w:rPr>
                <w:rFonts w:ascii="宋体" w:hAnsi="宋体" w:eastAsia="宋体"/>
                <w:b w:val="0"/>
                <w:sz w:val="18"/>
              </w:rPr>
              <w:t>≥1000 TPS</w:t>
            </w:r>
          </w:p>
        </w:tc>
        <w:tc>
          <w:tcPr>
            <w:tcW w:type="dxa" w:w="2075"/>
          </w:tcPr>
          <w:p>
            <w:r>
              <w:rPr>
                <w:rFonts w:ascii="宋体" w:hAnsi="宋体" w:eastAsia="宋体"/>
                <w:b w:val="0"/>
                <w:sz w:val="18"/>
              </w:rPr>
              <w:t>基准测试报告</w:t>
            </w:r>
          </w:p>
        </w:tc>
      </w:tr>
      <w:tr>
        <w:tc>
          <w:tcPr>
            <w:tcW w:type="dxa" w:w="2075"/>
          </w:tcPr>
          <w:p>
            <w:r>
              <w:rPr>
                <w:rFonts w:ascii="宋体" w:hAnsi="宋体" w:eastAsia="宋体"/>
                <w:b w:val="0"/>
                <w:sz w:val="18"/>
              </w:rPr>
              <w:t>11</w:t>
            </w:r>
          </w:p>
        </w:tc>
        <w:tc>
          <w:tcPr>
            <w:tcW w:type="dxa" w:w="2075"/>
          </w:tcPr>
          <w:p>
            <w:r>
              <w:rPr>
                <w:rFonts w:ascii="宋体" w:hAnsi="宋体" w:eastAsia="宋体"/>
                <w:b w:val="0"/>
                <w:sz w:val="18"/>
              </w:rPr>
              <w:t>10%丢包率下连接稳定性</w:t>
            </w:r>
          </w:p>
        </w:tc>
        <w:tc>
          <w:tcPr>
            <w:tcW w:type="dxa" w:w="2075"/>
          </w:tcPr>
          <w:p>
            <w:r>
              <w:rPr>
                <w:rFonts w:ascii="宋体" w:hAnsi="宋体" w:eastAsia="宋体"/>
                <w:b w:val="0"/>
                <w:sz w:val="18"/>
              </w:rPr>
              <w:t>保持连接稳定</w:t>
            </w:r>
          </w:p>
        </w:tc>
        <w:tc>
          <w:tcPr>
            <w:tcW w:type="dxa" w:w="2075"/>
          </w:tcPr>
          <w:p>
            <w:r>
              <w:rPr>
                <w:rFonts w:ascii="宋体" w:hAnsi="宋体" w:eastAsia="宋体"/>
                <w:b w:val="0"/>
                <w:sz w:val="18"/>
              </w:rPr>
              <w:t>网络测试报告</w:t>
            </w:r>
          </w:p>
        </w:tc>
      </w:tr>
      <w:tr>
        <w:tc>
          <w:tcPr>
            <w:tcW w:type="dxa" w:w="2075"/>
          </w:tcPr>
          <w:p>
            <w:r>
              <w:rPr>
                <w:rFonts w:ascii="宋体" w:hAnsi="宋体" w:eastAsia="宋体"/>
                <w:b w:val="0"/>
                <w:sz w:val="18"/>
              </w:rPr>
              <w:t>12</w:t>
            </w:r>
          </w:p>
        </w:tc>
        <w:tc>
          <w:tcPr>
            <w:tcW w:type="dxa" w:w="2075"/>
          </w:tcPr>
          <w:p>
            <w:r>
              <w:rPr>
                <w:rFonts w:ascii="宋体" w:hAnsi="宋体" w:eastAsia="宋体"/>
                <w:b w:val="0"/>
                <w:sz w:val="18"/>
              </w:rPr>
              <w:t>通信链路误码率</w:t>
            </w:r>
          </w:p>
        </w:tc>
        <w:tc>
          <w:tcPr>
            <w:tcW w:type="dxa" w:w="2075"/>
          </w:tcPr>
          <w:p>
            <w:r>
              <w:rPr>
                <w:rFonts w:ascii="宋体" w:hAnsi="宋体" w:eastAsia="宋体"/>
                <w:b w:val="0"/>
                <w:sz w:val="18"/>
              </w:rPr>
              <w:t>≤1%</w:t>
            </w:r>
          </w:p>
        </w:tc>
        <w:tc>
          <w:tcPr>
            <w:tcW w:type="dxa" w:w="2075"/>
          </w:tcPr>
          <w:p>
            <w:r>
              <w:rPr>
                <w:rFonts w:ascii="宋体" w:hAnsi="宋体" w:eastAsia="宋体"/>
                <w:b w:val="0"/>
                <w:sz w:val="18"/>
              </w:rPr>
              <w:t>通信测试报告</w:t>
            </w:r>
          </w:p>
        </w:tc>
      </w:tr>
      <w:tr>
        <w:tc>
          <w:tcPr>
            <w:tcW w:type="dxa" w:w="2075"/>
          </w:tcPr>
          <w:p>
            <w:r>
              <w:rPr>
                <w:rFonts w:ascii="宋体" w:hAnsi="宋体" w:eastAsia="宋体"/>
                <w:b w:val="0"/>
                <w:sz w:val="18"/>
              </w:rPr>
              <w:t>13</w:t>
            </w:r>
          </w:p>
        </w:tc>
        <w:tc>
          <w:tcPr>
            <w:tcW w:type="dxa" w:w="2075"/>
          </w:tcPr>
          <w:p>
            <w:r>
              <w:rPr>
                <w:rFonts w:ascii="宋体" w:hAnsi="宋体" w:eastAsia="宋体"/>
                <w:b w:val="0"/>
                <w:sz w:val="18"/>
              </w:rPr>
              <w:t>团体标准制定</w:t>
            </w:r>
          </w:p>
        </w:tc>
        <w:tc>
          <w:tcPr>
            <w:tcW w:type="dxa" w:w="2075"/>
          </w:tcPr>
          <w:p>
            <w:r>
              <w:rPr>
                <w:rFonts w:ascii="宋体" w:hAnsi="宋体" w:eastAsia="宋体"/>
                <w:b w:val="0"/>
                <w:sz w:val="18"/>
              </w:rPr>
              <w:t>1 项</w:t>
            </w:r>
          </w:p>
        </w:tc>
        <w:tc>
          <w:tcPr>
            <w:tcW w:type="dxa" w:w="2075"/>
          </w:tcPr>
          <w:p>
            <w:r>
              <w:rPr>
                <w:rFonts w:ascii="宋体" w:hAnsi="宋体" w:eastAsia="宋体"/>
                <w:b w:val="0"/>
                <w:sz w:val="18"/>
              </w:rPr>
              <w:t>标准发布文件</w:t>
            </w:r>
          </w:p>
        </w:tc>
      </w:tr>
    </w:tbl>
    <w:p>
      <w:pPr>
        <w:pStyle w:val="Heading2"/>
      </w:pPr>
      <w:r>
        <w:t>五、研究基础与团队</w:t>
      </w:r>
    </w:p>
    <w:p>
      <w:pPr>
        <w:pStyle w:val="Heading3"/>
      </w:pPr>
      <w:r>
        <w:t>5.1 牵头单位技术积累</w:t>
      </w:r>
    </w:p>
    <w:p>
      <w:r>
        <w:rPr>
          <w:b/>
        </w:rPr>
        <w:t>多智能体系统：</w:t>
      </w:r>
    </w:p>
    <w:p>
      <w:pPr>
        <w:jc w:val="both"/>
      </w:pPr>
      <w:r>
        <w:t>• 已构建小龙虾网络（Lobster Network）多智能体协作平台</w:t>
      </w:r>
    </w:p>
    <w:p>
      <w:pPr>
        <w:jc w:val="both"/>
      </w:pPr>
      <w:r>
        <w:t>• 支持4个节点协同训练，健康评分9.2/10</w:t>
      </w:r>
    </w:p>
    <w:p>
      <w:pPr>
        <w:jc w:val="both"/>
      </w:pPr>
      <w:r>
        <w:t>• 实现蜂群式自主学习机制（提案-竞标-组队-执行）</w:t>
      </w:r>
    </w:p>
    <w:p>
      <w:r>
        <w:rPr>
          <w:b/>
        </w:rPr>
        <w:t>MQTT通信协议：</w:t>
      </w:r>
    </w:p>
    <w:p>
      <w:pPr>
        <w:jc w:val="both"/>
      </w:pPr>
      <w:r>
        <w:t>• 已部署Mosquitto Broker（47.93.6.57:1883）</w:t>
      </w:r>
    </w:p>
    <w:p>
      <w:pPr>
        <w:jc w:val="both"/>
      </w:pPr>
      <w:r>
        <w:t>• 验证了发布/订阅架构在松耦合系统中的优势</w:t>
      </w:r>
    </w:p>
    <w:p>
      <w:pPr>
        <w:jc w:val="both"/>
      </w:pPr>
      <w:r>
        <w:t>• 支持QoS 0/1/2分级消息传输</w:t>
      </w:r>
    </w:p>
    <w:p>
      <w:r>
        <w:rPr>
          <w:b/>
        </w:rPr>
        <w:t>数据安全：</w:t>
      </w:r>
    </w:p>
    <w:p>
      <w:pPr>
        <w:jc w:val="both"/>
      </w:pPr>
      <w:r>
        <w:t>• 实现三层记忆系统（短/中/长期）</w:t>
      </w:r>
    </w:p>
    <w:p>
      <w:pPr>
        <w:jc w:val="both"/>
      </w:pPr>
      <w:r>
        <w:t>• 建立LBC经济系统（贡献度奖励机制）</w:t>
      </w:r>
    </w:p>
    <w:p>
      <w:pPr>
        <w:jc w:val="both"/>
      </w:pPr>
      <w:r>
        <w:t>• 部署网络健康监控体系（四维评分）</w:t>
      </w:r>
    </w:p>
    <w:p>
      <w:pPr>
        <w:pStyle w:val="Heading3"/>
      </w:pPr>
      <w:r>
        <w:t>5.2 学院研究平台</w:t>
      </w:r>
    </w:p>
    <w:p>
      <w:pPr>
        <w:jc w:val="both"/>
      </w:pPr>
      <w:r>
        <w:t>• 计算机科学与技术一流学科B级</w:t>
      </w:r>
    </w:p>
    <w:p>
      <w:pPr>
        <w:jc w:val="both"/>
      </w:pPr>
      <w:r>
        <w:t>• 软件工程浙江省重点学科</w:t>
      </w:r>
    </w:p>
    <w:p>
      <w:pPr>
        <w:jc w:val="both"/>
      </w:pPr>
      <w:r>
        <w:t>• 数据科学与统计重点实验室</w:t>
      </w:r>
    </w:p>
    <w:p>
      <w:pPr>
        <w:jc w:val="both"/>
      </w:pPr>
      <w:r>
        <w:t>• 人工智能与大数据研究中心</w:t>
      </w:r>
    </w:p>
    <w:p>
      <w:pPr>
        <w:jc w:val="both"/>
      </w:pPr>
      <w:r>
        <w:t>• 密码学与信息安全研究团队</w:t>
      </w:r>
    </w:p>
    <w:p>
      <w:pPr>
        <w:jc w:val="both"/>
      </w:pPr>
      <w:r>
        <w:t>• 高性能计算平台（GPU集群、分布式存储）</w:t>
      </w:r>
    </w:p>
    <w:p>
      <w:pPr>
        <w:jc w:val="both"/>
      </w:pPr>
      <w:r>
        <w:t>• 低空通信测试环境（无人机、地面站、气象站）</w:t>
      </w:r>
    </w:p>
    <w:p>
      <w:pPr>
        <w:jc w:val="both"/>
      </w:pPr>
      <w:r>
        <w:t>• 密码学实验平台（国密算法实现与测试）</w:t>
      </w:r>
    </w:p>
    <w:p>
      <w:pPr>
        <w:pStyle w:val="Heading3"/>
      </w:pPr>
      <w:r>
        <w:t>5.3 联合体组建建议</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角色</w:t>
            </w:r>
          </w:p>
        </w:tc>
        <w:tc>
          <w:tcPr>
            <w:tcW w:type="dxa" w:w="2767"/>
          </w:tcPr>
          <w:p>
            <w:pPr>
              <w:jc w:val="center"/>
            </w:pPr>
            <w:r>
              <w:rPr>
                <w:rFonts w:ascii="宋体" w:hAnsi="宋体" w:eastAsia="宋体"/>
                <w:b/>
                <w:sz w:val="18"/>
              </w:rPr>
              <w:t>建议单位</w:t>
            </w:r>
          </w:p>
        </w:tc>
        <w:tc>
          <w:tcPr>
            <w:tcW w:type="dxa" w:w="2767"/>
          </w:tcPr>
          <w:p>
            <w:pPr>
              <w:jc w:val="center"/>
            </w:pPr>
            <w:r>
              <w:rPr>
                <w:rFonts w:ascii="宋体" w:hAnsi="宋体" w:eastAsia="宋体"/>
                <w:b/>
                <w:sz w:val="18"/>
              </w:rPr>
              <w:t>贡献</w:t>
            </w:r>
          </w:p>
        </w:tc>
      </w:tr>
      <w:tr>
        <w:tc>
          <w:tcPr>
            <w:tcW w:type="dxa" w:w="2767"/>
          </w:tcPr>
          <w:p>
            <w:r>
              <w:rPr>
                <w:rFonts w:ascii="宋体" w:hAnsi="宋体" w:eastAsia="宋体"/>
                <w:b w:val="0"/>
                <w:sz w:val="18"/>
              </w:rPr>
              <w:t>牵头单位</w:t>
            </w:r>
          </w:p>
        </w:tc>
        <w:tc>
          <w:tcPr>
            <w:tcW w:type="dxa" w:w="2767"/>
          </w:tcPr>
          <w:p>
            <w:r>
              <w:rPr>
                <w:rFonts w:ascii="宋体" w:hAnsi="宋体" w:eastAsia="宋体"/>
                <w:b w:val="0"/>
                <w:sz w:val="18"/>
              </w:rPr>
              <w:t>浙江工商大学</w:t>
            </w:r>
          </w:p>
        </w:tc>
        <w:tc>
          <w:tcPr>
            <w:tcW w:type="dxa" w:w="2767"/>
          </w:tcPr>
          <w:p>
            <w:r>
              <w:rPr>
                <w:rFonts w:ascii="宋体" w:hAnsi="宋体" w:eastAsia="宋体"/>
                <w:b w:val="0"/>
                <w:sz w:val="18"/>
              </w:rPr>
              <w:t>总体架构设计、算法研发、标准制定</w:t>
            </w:r>
          </w:p>
        </w:tc>
      </w:tr>
      <w:tr>
        <w:tc>
          <w:tcPr>
            <w:tcW w:type="dxa" w:w="2767"/>
          </w:tcPr>
          <w:p>
            <w:r>
              <w:rPr>
                <w:rFonts w:ascii="宋体" w:hAnsi="宋体" w:eastAsia="宋体"/>
                <w:b w:val="0"/>
                <w:sz w:val="18"/>
              </w:rPr>
              <w:t>合作单位1</w:t>
            </w:r>
          </w:p>
        </w:tc>
        <w:tc>
          <w:tcPr>
            <w:tcW w:type="dxa" w:w="2767"/>
          </w:tcPr>
          <w:p>
            <w:r>
              <w:rPr>
                <w:rFonts w:ascii="宋体" w:hAnsi="宋体" w:eastAsia="宋体"/>
                <w:b w:val="0"/>
                <w:sz w:val="18"/>
              </w:rPr>
              <w:t>低空经济场景企业</w:t>
            </w:r>
          </w:p>
        </w:tc>
        <w:tc>
          <w:tcPr>
            <w:tcW w:type="dxa" w:w="2767"/>
          </w:tcPr>
          <w:p>
            <w:r>
              <w:rPr>
                <w:rFonts w:ascii="宋体" w:hAnsi="宋体" w:eastAsia="宋体"/>
                <w:b w:val="0"/>
                <w:sz w:val="18"/>
              </w:rPr>
              <w:t>应用场景、测试数据、示范应用</w:t>
            </w:r>
          </w:p>
        </w:tc>
      </w:tr>
      <w:tr>
        <w:tc>
          <w:tcPr>
            <w:tcW w:type="dxa" w:w="2767"/>
          </w:tcPr>
          <w:p>
            <w:r>
              <w:rPr>
                <w:rFonts w:ascii="宋体" w:hAnsi="宋体" w:eastAsia="宋体"/>
                <w:b w:val="0"/>
                <w:sz w:val="18"/>
              </w:rPr>
              <w:t>合作单位2</w:t>
            </w:r>
          </w:p>
        </w:tc>
        <w:tc>
          <w:tcPr>
            <w:tcW w:type="dxa" w:w="2767"/>
          </w:tcPr>
          <w:p>
            <w:r>
              <w:rPr>
                <w:rFonts w:ascii="宋体" w:hAnsi="宋体" w:eastAsia="宋体"/>
                <w:b w:val="0"/>
                <w:sz w:val="18"/>
              </w:rPr>
              <w:t>密码学/通信领域高校</w:t>
            </w:r>
          </w:p>
        </w:tc>
        <w:tc>
          <w:tcPr>
            <w:tcW w:type="dxa" w:w="2767"/>
          </w:tcPr>
          <w:p>
            <w:r>
              <w:rPr>
                <w:rFonts w:ascii="宋体" w:hAnsi="宋体" w:eastAsia="宋体"/>
                <w:b w:val="0"/>
                <w:sz w:val="18"/>
              </w:rPr>
              <w:t>国密算法、通信协议、理论支撑</w:t>
            </w:r>
          </w:p>
        </w:tc>
      </w:tr>
    </w:tbl>
    <w:p>
      <w:pPr>
        <w:pStyle w:val="Heading2"/>
      </w:pPr>
      <w:r>
        <w:t>六、进度安排</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阶段</w:t>
            </w:r>
          </w:p>
        </w:tc>
        <w:tc>
          <w:tcPr>
            <w:tcW w:type="dxa" w:w="2075"/>
          </w:tcPr>
          <w:p>
            <w:pPr>
              <w:jc w:val="center"/>
            </w:pPr>
            <w:r>
              <w:rPr>
                <w:rFonts w:ascii="宋体" w:hAnsi="宋体" w:eastAsia="宋体"/>
                <w:b/>
                <w:sz w:val="18"/>
              </w:rPr>
              <w:t>时间</w:t>
            </w:r>
          </w:p>
        </w:tc>
        <w:tc>
          <w:tcPr>
            <w:tcW w:type="dxa" w:w="2075"/>
          </w:tcPr>
          <w:p>
            <w:pPr>
              <w:jc w:val="center"/>
            </w:pPr>
            <w:r>
              <w:rPr>
                <w:rFonts w:ascii="宋体" w:hAnsi="宋体" w:eastAsia="宋体"/>
                <w:b/>
                <w:sz w:val="18"/>
              </w:rPr>
              <w:t>任务</w:t>
            </w:r>
          </w:p>
        </w:tc>
        <w:tc>
          <w:tcPr>
            <w:tcW w:type="dxa" w:w="2075"/>
          </w:tcPr>
          <w:p>
            <w:pPr>
              <w:jc w:val="center"/>
            </w:pPr>
            <w:r>
              <w:rPr>
                <w:rFonts w:ascii="宋体" w:hAnsi="宋体" w:eastAsia="宋体"/>
                <w:b/>
                <w:sz w:val="18"/>
              </w:rPr>
              <w:t>里程碑</w:t>
            </w:r>
          </w:p>
        </w:tc>
      </w:tr>
      <w:tr>
        <w:tc>
          <w:tcPr>
            <w:tcW w:type="dxa" w:w="2075"/>
          </w:tcPr>
          <w:p>
            <w:r>
              <w:rPr>
                <w:rFonts w:ascii="宋体" w:hAnsi="宋体" w:eastAsia="宋体"/>
                <w:b w:val="0"/>
                <w:sz w:val="18"/>
              </w:rPr>
              <w:t>第一年</w:t>
            </w:r>
          </w:p>
        </w:tc>
        <w:tc>
          <w:tcPr>
            <w:tcW w:type="dxa" w:w="2075"/>
          </w:tcPr>
          <w:p>
            <w:r>
              <w:rPr>
                <w:rFonts w:ascii="宋体" w:hAnsi="宋体" w:eastAsia="宋体"/>
                <w:b w:val="0"/>
                <w:sz w:val="18"/>
              </w:rPr>
              <w:t>2026.09-2027.08</w:t>
            </w:r>
          </w:p>
        </w:tc>
        <w:tc>
          <w:tcPr>
            <w:tcW w:type="dxa" w:w="2075"/>
          </w:tcPr>
          <w:p>
            <w:r>
              <w:rPr>
                <w:rFonts w:ascii="宋体" w:hAnsi="宋体" w:eastAsia="宋体"/>
                <w:b w:val="0"/>
                <w:sz w:val="18"/>
              </w:rPr>
              <w:t>需求分析、架构设计、aBFT共识算法研发</w:t>
            </w:r>
          </w:p>
        </w:tc>
        <w:tc>
          <w:tcPr>
            <w:tcW w:type="dxa" w:w="2075"/>
          </w:tcPr>
          <w:p>
            <w:r>
              <w:rPr>
                <w:rFonts w:ascii="宋体" w:hAnsi="宋体" w:eastAsia="宋体"/>
                <w:b w:val="0"/>
                <w:sz w:val="18"/>
              </w:rPr>
              <w:t>原型系统V1.0</w:t>
            </w:r>
          </w:p>
        </w:tc>
      </w:tr>
      <w:tr>
        <w:tc>
          <w:tcPr>
            <w:tcW w:type="dxa" w:w="2075"/>
          </w:tcPr>
          <w:p>
            <w:r>
              <w:rPr>
                <w:rFonts w:ascii="宋体" w:hAnsi="宋体" w:eastAsia="宋体"/>
                <w:b w:val="0"/>
                <w:sz w:val="18"/>
              </w:rPr>
              <w:t>第二年</w:t>
            </w:r>
          </w:p>
        </w:tc>
        <w:tc>
          <w:tcPr>
            <w:tcW w:type="dxa" w:w="2075"/>
          </w:tcPr>
          <w:p>
            <w:r>
              <w:rPr>
                <w:rFonts w:ascii="宋体" w:hAnsi="宋体" w:eastAsia="宋体"/>
                <w:b w:val="0"/>
                <w:sz w:val="18"/>
              </w:rPr>
              <w:t>2027.09-2028.08</w:t>
            </w:r>
          </w:p>
        </w:tc>
        <w:tc>
          <w:tcPr>
            <w:tcW w:type="dxa" w:w="2075"/>
          </w:tcPr>
          <w:p>
            <w:r>
              <w:rPr>
                <w:rFonts w:ascii="宋体" w:hAnsi="宋体" w:eastAsia="宋体"/>
                <w:b w:val="0"/>
                <w:sz w:val="18"/>
              </w:rPr>
              <w:t>访问控制协议、密钥管理、动态组网研发</w:t>
            </w:r>
          </w:p>
        </w:tc>
        <w:tc>
          <w:tcPr>
            <w:tcW w:type="dxa" w:w="2075"/>
          </w:tcPr>
          <w:p>
            <w:r>
              <w:rPr>
                <w:rFonts w:ascii="宋体" w:hAnsi="宋体" w:eastAsia="宋体"/>
                <w:b w:val="0"/>
                <w:sz w:val="18"/>
              </w:rPr>
              <w:t>原型系统V2.0</w:t>
            </w:r>
          </w:p>
        </w:tc>
      </w:tr>
      <w:tr>
        <w:tc>
          <w:tcPr>
            <w:tcW w:type="dxa" w:w="2075"/>
          </w:tcPr>
          <w:p>
            <w:r>
              <w:rPr>
                <w:rFonts w:ascii="宋体" w:hAnsi="宋体" w:eastAsia="宋体"/>
                <w:b w:val="0"/>
                <w:sz w:val="18"/>
              </w:rPr>
              <w:t>第三年</w:t>
            </w:r>
          </w:p>
        </w:tc>
        <w:tc>
          <w:tcPr>
            <w:tcW w:type="dxa" w:w="2075"/>
          </w:tcPr>
          <w:p>
            <w:r>
              <w:rPr>
                <w:rFonts w:ascii="宋体" w:hAnsi="宋体" w:eastAsia="宋体"/>
                <w:b w:val="0"/>
                <w:sz w:val="18"/>
              </w:rPr>
              <w:t>2028.09-2029.08</w:t>
            </w:r>
          </w:p>
        </w:tc>
        <w:tc>
          <w:tcPr>
            <w:tcW w:type="dxa" w:w="2075"/>
          </w:tcPr>
          <w:p>
            <w:r>
              <w:rPr>
                <w:rFonts w:ascii="宋体" w:hAnsi="宋体" w:eastAsia="宋体"/>
                <w:b w:val="0"/>
                <w:sz w:val="18"/>
              </w:rPr>
              <w:t>系统集成、标准制定、应用示范</w:t>
            </w:r>
          </w:p>
        </w:tc>
        <w:tc>
          <w:tcPr>
            <w:tcW w:type="dxa" w:w="2075"/>
          </w:tcPr>
          <w:p>
            <w:r>
              <w:rPr>
                <w:rFonts w:ascii="宋体" w:hAnsi="宋体" w:eastAsia="宋体"/>
                <w:b w:val="0"/>
                <w:sz w:val="18"/>
              </w:rPr>
              <w:t>正式版V3.0</w:t>
            </w:r>
          </w:p>
        </w:tc>
      </w:tr>
    </w:tbl>
    <w:p>
      <w:pPr>
        <w:pStyle w:val="Heading2"/>
      </w:pPr>
      <w:r>
        <w:t>七、预期成果</w:t>
      </w:r>
    </w:p>
    <w:p>
      <w:pPr>
        <w:pStyle w:val="Heading3"/>
      </w:pPr>
      <w:r>
        <w:t>7.1 技术成果</w:t>
      </w:r>
    </w:p>
    <w:p>
      <w:pPr>
        <w:jc w:val="both"/>
      </w:pPr>
      <w:r>
        <w:t>• 低空可信数智空间原型系统 1 套</w:t>
      </w:r>
    </w:p>
    <w:p>
      <w:pPr>
        <w:jc w:val="both"/>
      </w:pPr>
      <w:r>
        <w:t>• 高性能异步区块链共识算法 1 项（≥50,000 tps）</w:t>
      </w:r>
    </w:p>
    <w:p>
      <w:pPr>
        <w:jc w:val="both"/>
      </w:pPr>
      <w:r>
        <w:t>• 分布式细粒度访问控制机制 1 项（≤100ms）</w:t>
      </w:r>
    </w:p>
    <w:p>
      <w:pPr>
        <w:jc w:val="both"/>
      </w:pPr>
      <w:r>
        <w:t>• 低空动态组网全链路安全协议 1 套</w:t>
      </w:r>
    </w:p>
    <w:p>
      <w:pPr>
        <w:pStyle w:val="Heading3"/>
      </w:pPr>
      <w:r>
        <w:t>7.2 学术成果</w:t>
      </w:r>
    </w:p>
    <w:p>
      <w:pPr>
        <w:jc w:val="both"/>
      </w:pPr>
      <w:r>
        <w:t>• 发表高水平论文5-8篇（CCF A/B类、SCI一区/二区）</w:t>
      </w:r>
    </w:p>
    <w:p>
      <w:pPr>
        <w:jc w:val="both"/>
      </w:pPr>
      <w:r>
        <w:t>• 申请发明专利3-5项</w:t>
      </w:r>
    </w:p>
    <w:p>
      <w:pPr>
        <w:jc w:val="both"/>
      </w:pPr>
      <w:r>
        <w:t>• 制定团体标准1项</w:t>
      </w:r>
    </w:p>
    <w:p>
      <w:pPr>
        <w:jc w:val="both"/>
      </w:pPr>
      <w:r>
        <w:t>• 软件著作权2-3项</w:t>
      </w:r>
    </w:p>
    <w:p>
      <w:pPr>
        <w:pStyle w:val="Heading3"/>
      </w:pPr>
      <w:r>
        <w:t>7.3 应用成果</w:t>
      </w:r>
    </w:p>
    <w:p>
      <w:pPr>
        <w:jc w:val="both"/>
      </w:pPr>
      <w:r>
        <w:t>• 低空经济应用示范1-2个</w:t>
      </w:r>
    </w:p>
    <w:p>
      <w:pPr>
        <w:jc w:val="both"/>
      </w:pPr>
      <w:r>
        <w:t>• 培养研究生5-8名</w:t>
      </w:r>
    </w:p>
    <w:p>
      <w:pPr>
        <w:jc w:val="both"/>
      </w:pPr>
      <w:r>
        <w:t>• 形成可推广的低空数据共享解决方案</w:t>
      </w:r>
    </w:p>
    <w:p>
      <w:pPr>
        <w:jc w:val="both"/>
      </w:pPr>
      <w:r>
        <w:t>• 培养一支低空交通安全与标准化研究团队</w:t>
      </w:r>
    </w:p>
    <w:p>
      <w:pPr>
        <w:pStyle w:val="Heading2"/>
      </w:pPr>
      <w:r>
        <w:t>八、经费预算（概算）</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科目</w:t>
            </w:r>
          </w:p>
        </w:tc>
        <w:tc>
          <w:tcPr>
            <w:tcW w:type="dxa" w:w="2075"/>
          </w:tcPr>
          <w:p>
            <w:pPr>
              <w:jc w:val="center"/>
            </w:pPr>
            <w:r>
              <w:rPr>
                <w:rFonts w:ascii="宋体" w:hAnsi="宋体" w:eastAsia="宋体"/>
                <w:b/>
                <w:sz w:val="18"/>
              </w:rPr>
              <w:t>金额（万元）</w:t>
            </w:r>
          </w:p>
        </w:tc>
        <w:tc>
          <w:tcPr>
            <w:tcW w:type="dxa" w:w="2075"/>
          </w:tcPr>
          <w:p>
            <w:pPr>
              <w:jc w:val="center"/>
            </w:pPr>
            <w:r>
              <w:rPr>
                <w:rFonts w:ascii="宋体" w:hAnsi="宋体" w:eastAsia="宋体"/>
                <w:b/>
                <w:sz w:val="18"/>
              </w:rPr>
              <w:t>占比</w:t>
            </w:r>
          </w:p>
        </w:tc>
        <w:tc>
          <w:tcPr>
            <w:tcW w:type="dxa" w:w="2075"/>
          </w:tcPr>
          <w:p>
            <w:pPr>
              <w:jc w:val="center"/>
            </w:pPr>
            <w:r>
              <w:rPr>
                <w:rFonts w:ascii="宋体" w:hAnsi="宋体" w:eastAsia="宋体"/>
                <w:b/>
                <w:sz w:val="18"/>
              </w:rPr>
              <w:t>说明</w:t>
            </w:r>
          </w:p>
        </w:tc>
      </w:tr>
      <w:tr>
        <w:tc>
          <w:tcPr>
            <w:tcW w:type="dxa" w:w="2075"/>
          </w:tcPr>
          <w:p>
            <w:r>
              <w:rPr>
                <w:rFonts w:ascii="宋体" w:hAnsi="宋体" w:eastAsia="宋体"/>
                <w:b w:val="0"/>
                <w:sz w:val="18"/>
              </w:rPr>
              <w:t>设备费</w:t>
            </w:r>
          </w:p>
        </w:tc>
        <w:tc>
          <w:tcPr>
            <w:tcW w:type="dxa" w:w="2075"/>
          </w:tcPr>
          <w:p>
            <w:r>
              <w:rPr>
                <w:rFonts w:ascii="宋体" w:hAnsi="宋体" w:eastAsia="宋体"/>
                <w:b w:val="0"/>
                <w:sz w:val="18"/>
              </w:rPr>
              <w:t>200</w:t>
            </w:r>
          </w:p>
        </w:tc>
        <w:tc>
          <w:tcPr>
            <w:tcW w:type="dxa" w:w="2075"/>
          </w:tcPr>
          <w:p>
            <w:r>
              <w:rPr>
                <w:rFonts w:ascii="宋体" w:hAnsi="宋体" w:eastAsia="宋体"/>
                <w:b w:val="0"/>
                <w:sz w:val="18"/>
              </w:rPr>
              <w:t>20%</w:t>
            </w:r>
          </w:p>
        </w:tc>
        <w:tc>
          <w:tcPr>
            <w:tcW w:type="dxa" w:w="2075"/>
          </w:tcPr>
          <w:p>
            <w:r>
              <w:rPr>
                <w:rFonts w:ascii="宋体" w:hAnsi="宋体" w:eastAsia="宋体"/>
                <w:b w:val="0"/>
                <w:sz w:val="18"/>
              </w:rPr>
              <w:t>GPU服务器、无人机、通信设备</w:t>
            </w:r>
          </w:p>
        </w:tc>
      </w:tr>
      <w:tr>
        <w:tc>
          <w:tcPr>
            <w:tcW w:type="dxa" w:w="2075"/>
          </w:tcPr>
          <w:p>
            <w:r>
              <w:rPr>
                <w:rFonts w:ascii="宋体" w:hAnsi="宋体" w:eastAsia="宋体"/>
                <w:b w:val="0"/>
                <w:sz w:val="18"/>
              </w:rPr>
              <w:t>材料费</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测试耗材、电子元器件</w:t>
            </w:r>
          </w:p>
        </w:tc>
      </w:tr>
      <w:tr>
        <w:tc>
          <w:tcPr>
            <w:tcW w:type="dxa" w:w="2075"/>
          </w:tcPr>
          <w:p>
            <w:r>
              <w:rPr>
                <w:rFonts w:ascii="宋体" w:hAnsi="宋体" w:eastAsia="宋体"/>
                <w:b w:val="0"/>
                <w:sz w:val="18"/>
              </w:rPr>
              <w:t>测试化验加工费</w:t>
            </w:r>
          </w:p>
        </w:tc>
        <w:tc>
          <w:tcPr>
            <w:tcW w:type="dxa" w:w="2075"/>
          </w:tcPr>
          <w:p>
            <w:r>
              <w:rPr>
                <w:rFonts w:ascii="宋体" w:hAnsi="宋体" w:eastAsia="宋体"/>
                <w:b w:val="0"/>
                <w:sz w:val="18"/>
              </w:rPr>
              <w:t>100</w:t>
            </w:r>
          </w:p>
        </w:tc>
        <w:tc>
          <w:tcPr>
            <w:tcW w:type="dxa" w:w="2075"/>
          </w:tcPr>
          <w:p>
            <w:r>
              <w:rPr>
                <w:rFonts w:ascii="宋体" w:hAnsi="宋体" w:eastAsia="宋体"/>
                <w:b w:val="0"/>
                <w:sz w:val="18"/>
              </w:rPr>
              <w:t>10%</w:t>
            </w:r>
          </w:p>
        </w:tc>
        <w:tc>
          <w:tcPr>
            <w:tcW w:type="dxa" w:w="2075"/>
          </w:tcPr>
          <w:p>
            <w:r>
              <w:rPr>
                <w:rFonts w:ascii="宋体" w:hAnsi="宋体" w:eastAsia="宋体"/>
                <w:b w:val="0"/>
                <w:sz w:val="18"/>
              </w:rPr>
              <w:t>性能测试、安全审计、密码检测</w:t>
            </w:r>
          </w:p>
        </w:tc>
      </w:tr>
      <w:tr>
        <w:tc>
          <w:tcPr>
            <w:tcW w:type="dxa" w:w="2075"/>
          </w:tcPr>
          <w:p>
            <w:r>
              <w:rPr>
                <w:rFonts w:ascii="宋体" w:hAnsi="宋体" w:eastAsia="宋体"/>
                <w:b w:val="0"/>
                <w:sz w:val="18"/>
              </w:rPr>
              <w:t>劳务费</w:t>
            </w:r>
          </w:p>
        </w:tc>
        <w:tc>
          <w:tcPr>
            <w:tcW w:type="dxa" w:w="2075"/>
          </w:tcPr>
          <w:p>
            <w:r>
              <w:rPr>
                <w:rFonts w:ascii="宋体" w:hAnsi="宋体" w:eastAsia="宋体"/>
                <w:b w:val="0"/>
                <w:sz w:val="18"/>
              </w:rPr>
              <w:t>300</w:t>
            </w:r>
          </w:p>
        </w:tc>
        <w:tc>
          <w:tcPr>
            <w:tcW w:type="dxa" w:w="2075"/>
          </w:tcPr>
          <w:p>
            <w:r>
              <w:rPr>
                <w:rFonts w:ascii="宋体" w:hAnsi="宋体" w:eastAsia="宋体"/>
                <w:b w:val="0"/>
                <w:sz w:val="18"/>
              </w:rPr>
              <w:t>30%</w:t>
            </w:r>
          </w:p>
        </w:tc>
        <w:tc>
          <w:tcPr>
            <w:tcW w:type="dxa" w:w="2075"/>
          </w:tcPr>
          <w:p>
            <w:r>
              <w:rPr>
                <w:rFonts w:ascii="宋体" w:hAnsi="宋体" w:eastAsia="宋体"/>
                <w:b w:val="0"/>
                <w:sz w:val="18"/>
              </w:rPr>
              <w:t>研究人员、研究生补助</w:t>
            </w:r>
          </w:p>
        </w:tc>
      </w:tr>
      <w:tr>
        <w:tc>
          <w:tcPr>
            <w:tcW w:type="dxa" w:w="2075"/>
          </w:tcPr>
          <w:p>
            <w:r>
              <w:rPr>
                <w:rFonts w:ascii="宋体" w:hAnsi="宋体" w:eastAsia="宋体"/>
                <w:b w:val="0"/>
                <w:sz w:val="18"/>
              </w:rPr>
              <w:t>差旅/会议/国际合作</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学术交流、标准会议、企业调研</w:t>
            </w:r>
          </w:p>
        </w:tc>
      </w:tr>
      <w:tr>
        <w:tc>
          <w:tcPr>
            <w:tcW w:type="dxa" w:w="2075"/>
          </w:tcPr>
          <w:p>
            <w:r>
              <w:rPr>
                <w:rFonts w:ascii="宋体" w:hAnsi="宋体" w:eastAsia="宋体"/>
                <w:b w:val="0"/>
                <w:sz w:val="18"/>
              </w:rPr>
              <w:t>出版/文献/知识产权</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论文发表、专利申请、标准制定</w:t>
            </w:r>
          </w:p>
        </w:tc>
      </w:tr>
      <w:tr>
        <w:tc>
          <w:tcPr>
            <w:tcW w:type="dxa" w:w="2075"/>
          </w:tcPr>
          <w:p>
            <w:r>
              <w:rPr>
                <w:rFonts w:ascii="宋体" w:hAnsi="宋体" w:eastAsia="宋体"/>
                <w:b w:val="0"/>
                <w:sz w:val="18"/>
              </w:rPr>
              <w:t>间接费用</w:t>
            </w:r>
          </w:p>
        </w:tc>
        <w:tc>
          <w:tcPr>
            <w:tcW w:type="dxa" w:w="2075"/>
          </w:tcPr>
          <w:p>
            <w:r>
              <w:rPr>
                <w:rFonts w:ascii="宋体" w:hAnsi="宋体" w:eastAsia="宋体"/>
                <w:b w:val="0"/>
                <w:sz w:val="18"/>
              </w:rPr>
              <w:t>250</w:t>
            </w:r>
          </w:p>
        </w:tc>
        <w:tc>
          <w:tcPr>
            <w:tcW w:type="dxa" w:w="2075"/>
          </w:tcPr>
          <w:p>
            <w:r>
              <w:rPr>
                <w:rFonts w:ascii="宋体" w:hAnsi="宋体" w:eastAsia="宋体"/>
                <w:b w:val="0"/>
                <w:sz w:val="18"/>
              </w:rPr>
              <w:t>25%</w:t>
            </w:r>
          </w:p>
        </w:tc>
        <w:tc>
          <w:tcPr>
            <w:tcW w:type="dxa" w:w="2075"/>
          </w:tcPr>
          <w:p>
            <w:r>
              <w:rPr>
                <w:rFonts w:ascii="宋体" w:hAnsi="宋体" w:eastAsia="宋体"/>
                <w:b w:val="0"/>
                <w:sz w:val="18"/>
              </w:rPr>
              <w:t>管理费、水电费、场地费</w:t>
            </w:r>
          </w:p>
        </w:tc>
      </w:tr>
      <w:tr>
        <w:tc>
          <w:tcPr>
            <w:tcW w:type="dxa" w:w="2075"/>
          </w:tcPr>
          <w:p/>
        </w:tc>
        <w:tc>
          <w:tcPr>
            <w:tcW w:type="dxa" w:w="2075"/>
          </w:tcPr>
          <w:p/>
        </w:tc>
        <w:tc>
          <w:tcPr>
            <w:tcW w:type="dxa" w:w="2075"/>
          </w:tcPr>
          <w:p/>
        </w:tc>
        <w:tc>
          <w:tcPr>
            <w:tcW w:type="dxa" w:w="2075"/>
          </w:tcPr>
          <w:p/>
        </w:tc>
      </w:tr>
      <w:tr>
        <w:tc>
          <w:tcPr>
            <w:tcW w:type="dxa" w:w="2075"/>
          </w:tcPr>
          <w:p>
            <w:pPr>
              <w:jc w:val="center"/>
            </w:pPr>
            <w:r>
              <w:rPr>
                <w:rFonts w:ascii="宋体" w:hAnsi="宋体" w:eastAsia="宋体"/>
                <w:b/>
                <w:sz w:val="18"/>
              </w:rPr>
              <w:t>合计</w:t>
            </w:r>
          </w:p>
        </w:tc>
        <w:tc>
          <w:tcPr>
            <w:tcW w:type="dxa" w:w="2075"/>
          </w:tcPr>
          <w:p>
            <w:pPr>
              <w:jc w:val="center"/>
            </w:pPr>
            <w:r>
              <w:rPr>
                <w:rFonts w:ascii="宋体" w:hAnsi="宋体" w:eastAsia="宋体"/>
                <w:b/>
                <w:sz w:val="18"/>
              </w:rPr>
              <w:t>1000</w:t>
            </w:r>
          </w:p>
        </w:tc>
        <w:tc>
          <w:tcPr>
            <w:tcW w:type="dxa" w:w="2075"/>
          </w:tcPr>
          <w:p>
            <w:pPr>
              <w:jc w:val="center"/>
            </w:pPr>
            <w:r>
              <w:rPr>
                <w:rFonts w:ascii="宋体" w:hAnsi="宋体" w:eastAsia="宋体"/>
                <w:b/>
                <w:sz w:val="18"/>
              </w:rPr>
              <w:t>100%</w:t>
            </w:r>
          </w:p>
        </w:tc>
        <w:tc>
          <w:tcPr>
            <w:tcW w:type="dxa" w:w="2075"/>
          </w:tcPr>
          <w:p>
            <w:r>
              <w:rPr>
                <w:rFonts w:ascii="宋体" w:hAnsi="宋体" w:eastAsia="宋体"/>
                <w:b w:val="0"/>
                <w:sz w:val="18"/>
              </w:rPr>
            </w:r>
          </w:p>
        </w:tc>
      </w:tr>
    </w:tbl>
    <w:p>
      <w:pPr>
        <w:pStyle w:val="Heading2"/>
      </w:pPr>
      <w:r>
        <w:t>九、风险分析与对策</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风险</w:t>
            </w:r>
          </w:p>
        </w:tc>
        <w:tc>
          <w:tcPr>
            <w:tcW w:type="dxa" w:w="2075"/>
          </w:tcPr>
          <w:p>
            <w:pPr>
              <w:jc w:val="center"/>
            </w:pPr>
            <w:r>
              <w:rPr>
                <w:rFonts w:ascii="宋体" w:hAnsi="宋体" w:eastAsia="宋体"/>
                <w:b/>
                <w:sz w:val="18"/>
              </w:rPr>
              <w:t>影响</w:t>
            </w:r>
          </w:p>
        </w:tc>
        <w:tc>
          <w:tcPr>
            <w:tcW w:type="dxa" w:w="2075"/>
          </w:tcPr>
          <w:p>
            <w:pPr>
              <w:jc w:val="center"/>
            </w:pPr>
            <w:r>
              <w:rPr>
                <w:rFonts w:ascii="宋体" w:hAnsi="宋体" w:eastAsia="宋体"/>
                <w:b/>
                <w:sz w:val="18"/>
              </w:rPr>
              <w:t>概率</w:t>
            </w:r>
          </w:p>
        </w:tc>
        <w:tc>
          <w:tcPr>
            <w:tcW w:type="dxa" w:w="2075"/>
          </w:tcPr>
          <w:p>
            <w:pPr>
              <w:jc w:val="center"/>
            </w:pPr>
            <w:r>
              <w:rPr>
                <w:rFonts w:ascii="宋体" w:hAnsi="宋体" w:eastAsia="宋体"/>
                <w:b/>
                <w:sz w:val="18"/>
              </w:rPr>
              <w:t>对策</w:t>
            </w:r>
          </w:p>
        </w:tc>
      </w:tr>
      <w:tr>
        <w:tc>
          <w:tcPr>
            <w:tcW w:type="dxa" w:w="2075"/>
          </w:tcPr>
          <w:p>
            <w:r>
              <w:rPr>
                <w:rFonts w:ascii="宋体" w:hAnsi="宋体" w:eastAsia="宋体"/>
                <w:b w:val="0"/>
                <w:sz w:val="18"/>
              </w:rPr>
              <w:t>共识算法性能不达标</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预研DAG+分片技术，设置性能基线，准备降级方案</w:t>
            </w:r>
          </w:p>
        </w:tc>
      </w:tr>
      <w:tr>
        <w:tc>
          <w:tcPr>
            <w:tcW w:type="dxa" w:w="2075"/>
          </w:tcPr>
          <w:p>
            <w:r>
              <w:rPr>
                <w:rFonts w:ascii="宋体" w:hAnsi="宋体" w:eastAsia="宋体"/>
                <w:b w:val="0"/>
                <w:sz w:val="18"/>
              </w:rPr>
              <w:t>国密算法集成困难</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提前对接密码检测机构，选择成熟库（如Tongsuo）</w:t>
            </w:r>
          </w:p>
        </w:tc>
      </w:tr>
      <w:tr>
        <w:tc>
          <w:tcPr>
            <w:tcW w:type="dxa" w:w="2075"/>
          </w:tcPr>
          <w:p>
            <w:r>
              <w:rPr>
                <w:rFonts w:ascii="宋体" w:hAnsi="宋体" w:eastAsia="宋体"/>
                <w:b w:val="0"/>
                <w:sz w:val="18"/>
              </w:rPr>
              <w:t>标准制定进度延迟</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中</w:t>
            </w:r>
          </w:p>
        </w:tc>
        <w:tc>
          <w:tcPr>
            <w:tcW w:type="dxa" w:w="2075"/>
          </w:tcPr>
          <w:p>
            <w:r>
              <w:rPr>
                <w:rFonts w:ascii="宋体" w:hAnsi="宋体" w:eastAsia="宋体"/>
                <w:b w:val="0"/>
                <w:sz w:val="18"/>
              </w:rPr>
              <w:t>联合标准化机构，提前启动草案，分阶段推进</w:t>
            </w:r>
          </w:p>
        </w:tc>
      </w:tr>
      <w:tr>
        <w:tc>
          <w:tcPr>
            <w:tcW w:type="dxa" w:w="2075"/>
          </w:tcPr>
          <w:p>
            <w:r>
              <w:rPr>
                <w:rFonts w:ascii="宋体" w:hAnsi="宋体" w:eastAsia="宋体"/>
                <w:b w:val="0"/>
                <w:sz w:val="18"/>
              </w:rPr>
              <w:t>应用场景不足</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尽早签约合作企业，共建测试环境，提供政策激励</w:t>
            </w:r>
          </w:p>
        </w:tc>
      </w:tr>
      <w:tr>
        <w:tc>
          <w:tcPr>
            <w:tcW w:type="dxa" w:w="2075"/>
          </w:tcPr>
          <w:p>
            <w:r>
              <w:rPr>
                <w:rFonts w:ascii="宋体" w:hAnsi="宋体" w:eastAsia="宋体"/>
                <w:b w:val="0"/>
                <w:sz w:val="18"/>
              </w:rPr>
              <w:t>人才流失</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建立激励机制，提供有竞争力薪酬，加强团队建设</w:t>
            </w:r>
          </w:p>
        </w:tc>
      </w:tr>
    </w:tbl>
    <w:p>
      <w:pPr>
        <w:pStyle w:val="Heading2"/>
      </w:pPr>
      <w:r>
        <w:t>十、申报时间节点提醒</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节点</w:t>
            </w:r>
          </w:p>
        </w:tc>
        <w:tc>
          <w:tcPr>
            <w:tcW w:type="dxa" w:w="2767"/>
          </w:tcPr>
          <w:p>
            <w:pPr>
              <w:jc w:val="center"/>
            </w:pPr>
            <w:r>
              <w:rPr>
                <w:rFonts w:ascii="宋体" w:hAnsi="宋体" w:eastAsia="宋体"/>
                <w:b/>
                <w:sz w:val="18"/>
              </w:rPr>
              <w:t>时间</w:t>
            </w:r>
          </w:p>
        </w:tc>
        <w:tc>
          <w:tcPr>
            <w:tcW w:type="dxa" w:w="2767"/>
          </w:tcPr>
          <w:p>
            <w:pPr>
              <w:jc w:val="center"/>
            </w:pPr>
            <w:r>
              <w:rPr>
                <w:rFonts w:ascii="宋体" w:hAnsi="宋体" w:eastAsia="宋体"/>
                <w:b/>
                <w:sz w:val="18"/>
              </w:rPr>
              <w:t>任务</w:t>
            </w:r>
          </w:p>
        </w:tc>
      </w:tr>
      <w:tr>
        <w:tc>
          <w:tcPr>
            <w:tcW w:type="dxa" w:w="2767"/>
          </w:tcPr>
          <w:p>
            <w:r>
              <w:rPr>
                <w:rFonts w:ascii="宋体" w:hAnsi="宋体" w:eastAsia="宋体"/>
                <w:b w:val="0"/>
                <w:sz w:val="18"/>
              </w:rPr>
              <w:t>申报意向提交</w:t>
            </w:r>
          </w:p>
        </w:tc>
        <w:tc>
          <w:tcPr>
            <w:tcW w:type="dxa" w:w="2767"/>
          </w:tcPr>
          <w:p>
            <w:r>
              <w:rPr>
                <w:rFonts w:ascii="宋体" w:hAnsi="宋体" w:eastAsia="宋体"/>
                <w:b w:val="0"/>
                <w:sz w:val="18"/>
              </w:rPr>
              <w:t>7月20日前</w:t>
            </w:r>
          </w:p>
        </w:tc>
        <w:tc>
          <w:tcPr>
            <w:tcW w:type="dxa" w:w="2767"/>
          </w:tcPr>
          <w:p>
            <w:r>
              <w:rPr>
                <w:rFonts w:ascii="宋体" w:hAnsi="宋体" w:eastAsia="宋体"/>
                <w:b w:val="0"/>
                <w:sz w:val="18"/>
              </w:rPr>
              <w:t>以学院为单位提交申报名单（附件1）</w:t>
            </w:r>
          </w:p>
        </w:tc>
      </w:tr>
      <w:tr>
        <w:tc>
          <w:tcPr>
            <w:tcW w:type="dxa" w:w="2767"/>
          </w:tcPr>
          <w:p>
            <w:r>
              <w:rPr>
                <w:rFonts w:ascii="宋体" w:hAnsi="宋体" w:eastAsia="宋体"/>
                <w:b w:val="0"/>
                <w:sz w:val="18"/>
              </w:rPr>
              <w:t>系统开放</w:t>
            </w:r>
          </w:p>
        </w:tc>
        <w:tc>
          <w:tcPr>
            <w:tcW w:type="dxa" w:w="2767"/>
          </w:tcPr>
          <w:p>
            <w:r>
              <w:rPr>
                <w:rFonts w:ascii="宋体" w:hAnsi="宋体" w:eastAsia="宋体"/>
                <w:b w:val="0"/>
                <w:sz w:val="18"/>
              </w:rPr>
              <w:t>7月20日</w:t>
            </w:r>
          </w:p>
        </w:tc>
        <w:tc>
          <w:tcPr>
            <w:tcW w:type="dxa" w:w="2767"/>
          </w:tcPr>
          <w:p>
            <w:r>
              <w:rPr>
                <w:rFonts w:ascii="宋体" w:hAnsi="宋体" w:eastAsia="宋体"/>
                <w:b w:val="0"/>
                <w:sz w:val="18"/>
              </w:rPr>
              <w:t>开始正式填报</w:t>
            </w:r>
          </w:p>
        </w:tc>
      </w:tr>
      <w:tr>
        <w:tc>
          <w:tcPr>
            <w:tcW w:type="dxa" w:w="2767"/>
          </w:tcPr>
          <w:p>
            <w:r>
              <w:rPr>
                <w:rFonts w:ascii="宋体" w:hAnsi="宋体" w:eastAsia="宋体"/>
                <w:b w:val="0"/>
                <w:sz w:val="18"/>
              </w:rPr>
              <w:t>建议首次提交</w:t>
            </w:r>
          </w:p>
        </w:tc>
        <w:tc>
          <w:tcPr>
            <w:tcW w:type="dxa" w:w="2767"/>
          </w:tcPr>
          <w:p>
            <w:r>
              <w:rPr>
                <w:rFonts w:ascii="宋体" w:hAnsi="宋体" w:eastAsia="宋体"/>
                <w:b w:val="0"/>
                <w:sz w:val="18"/>
              </w:rPr>
              <w:t>8月7日前</w:t>
            </w:r>
          </w:p>
        </w:tc>
        <w:tc>
          <w:tcPr>
            <w:tcW w:type="dxa" w:w="2767"/>
          </w:tcPr>
          <w:p>
            <w:r>
              <w:rPr>
                <w:rFonts w:ascii="宋体" w:hAnsi="宋体" w:eastAsia="宋体"/>
                <w:b w:val="0"/>
                <w:sz w:val="18"/>
              </w:rPr>
              <w:t>避免临期卡顿、形审修改</w:t>
            </w:r>
          </w:p>
        </w:tc>
      </w:tr>
      <w:tr>
        <w:tc>
          <w:tcPr>
            <w:tcW w:type="dxa" w:w="2767"/>
          </w:tcPr>
          <w:p>
            <w:r>
              <w:rPr>
                <w:rFonts w:ascii="宋体" w:hAnsi="宋体" w:eastAsia="宋体"/>
                <w:b w:val="0"/>
                <w:sz w:val="18"/>
              </w:rPr>
              <w:t>系统关闭</w:t>
            </w:r>
          </w:p>
        </w:tc>
        <w:tc>
          <w:tcPr>
            <w:tcW w:type="dxa" w:w="2767"/>
          </w:tcPr>
          <w:p>
            <w:r>
              <w:rPr>
                <w:rFonts w:ascii="宋体" w:hAnsi="宋体" w:eastAsia="宋体"/>
                <w:b w:val="0"/>
                <w:sz w:val="18"/>
              </w:rPr>
              <w:t>8月10日 17:30</w:t>
            </w:r>
          </w:p>
        </w:tc>
        <w:tc>
          <w:tcPr>
            <w:tcW w:type="dxa" w:w="2767"/>
          </w:tcPr>
          <w:p>
            <w:r>
              <w:rPr>
                <w:rFonts w:ascii="宋体" w:hAnsi="宋体" w:eastAsia="宋体"/>
                <w:b w:val="0"/>
                <w:sz w:val="18"/>
              </w:rPr>
              <w:t>正式提交截止</w:t>
            </w:r>
          </w:p>
        </w:tc>
      </w:tr>
    </w:tbl>
    <w:p/>
    <w:p>
      <w:pPr>
        <w:jc w:val="both"/>
      </w:pPr>
      <w:r>
        <w:rPr>
          <w:b/>
          <w:color w:val="FF0000"/>
        </w:rPr>
        <w:t>特别注意：</w:t>
      </w:r>
      <w:r>
        <w:t>相似度30%以上（含）按形式审查不通过处理，存在科研失信行为根据有关规定予以处理。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