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51BA9">
      <w:pPr>
        <w:spacing w:after="80" w:line="360" w:lineRule="auto"/>
        <w:jc w:val="center"/>
      </w:pPr>
      <w:r>
        <w:rPr>
          <w:rFonts w:ascii="Arial" w:hAnsi="Arial" w:eastAsia="黑体"/>
          <w:b/>
          <w:bCs/>
          <w:color w:val="000000"/>
          <w:sz w:val="36"/>
          <w:szCs w:val="36"/>
        </w:rPr>
        <w:t>面向新药创制的科学智能体共性技术研究</w:t>
      </w:r>
    </w:p>
    <w:p w14:paraId="401392F8">
      <w:pPr>
        <w:spacing w:after="200" w:line="360" w:lineRule="auto"/>
        <w:jc w:val="center"/>
      </w:pPr>
      <w:r>
        <w:rPr>
          <w:rFonts w:ascii="Times New Roman" w:hAnsi="Times New Roman" w:eastAsia="楷体"/>
          <w:b w:val="0"/>
          <w:bCs w:val="0"/>
          <w:color w:val="000000"/>
          <w:sz w:val="24"/>
          <w:szCs w:val="24"/>
        </w:rPr>
        <w:t>（对应指南任务 1.1 科学智能体 · 重点应用场景：新药创制）</w:t>
      </w:r>
    </w:p>
    <w:p w14:paraId="6CD294EC">
      <w:pPr>
        <w:spacing w:after="200"/>
        <w:jc w:val="center"/>
      </w:pPr>
      <w:r>
        <w:rPr>
          <w:rFonts w:ascii="Times New Roman" w:hAnsi="Times New Roman" w:eastAsia="楷体"/>
          <w:b w:val="0"/>
          <w:bCs w:val="0"/>
          <w:color w:val="000000"/>
          <w:sz w:val="22"/>
          <w:szCs w:val="22"/>
        </w:rPr>
        <w:t>撰写人：</w:t>
      </w:r>
    </w:p>
    <w:p w14:paraId="38EA9111">
      <w:pPr>
        <w:spacing w:after="60" w:line="360" w:lineRule="auto"/>
        <w:ind w:firstLine="480"/>
      </w:pPr>
      <w:r>
        <w:rPr>
          <w:rFonts w:ascii="Times New Roman" w:hAnsi="Times New Roman" w:eastAsia="楷体"/>
          <w:b w:val="0"/>
          <w:bCs w:val="0"/>
          <w:color w:val="C00000"/>
          <w:sz w:val="22"/>
          <w:szCs w:val="22"/>
        </w:rPr>
        <w:t>【说明】本稿依据《新一代人工智能国家科技重大专项 2026 年度第一批公开项目申报指南》任务 1.1 及撰写提纲拟就，覆盖提纲全部条目，供选用与增删；红色楷体为需团队据实核实/填写之处。</w:t>
      </w:r>
    </w:p>
    <w:p w14:paraId="6B349418">
      <w:pPr>
        <w:pStyle w:val="2"/>
        <w:spacing w:before="240" w:after="120" w:line="360" w:lineRule="auto"/>
      </w:pPr>
      <w:r>
        <w:rPr>
          <w:rFonts w:ascii="Arial" w:hAnsi="Arial" w:eastAsia="黑体"/>
          <w:b/>
          <w:bCs/>
          <w:color w:val="000000"/>
          <w:sz w:val="32"/>
          <w:szCs w:val="32"/>
        </w:rPr>
        <w:t>（一） 国内外现状及趋势分析</w:t>
      </w:r>
    </w:p>
    <w:p w14:paraId="7A2E7338">
      <w:pPr>
        <w:spacing w:after="60" w:line="360" w:lineRule="auto"/>
        <w:ind w:firstLine="480"/>
        <w:jc w:val="both"/>
      </w:pPr>
      <w:r>
        <w:rPr>
          <w:rFonts w:ascii="Times New Roman" w:hAnsi="Times New Roman" w:eastAsia="宋体"/>
          <w:b/>
          <w:bCs/>
          <w:color w:val="000000"/>
          <w:sz w:val="24"/>
          <w:szCs w:val="24"/>
        </w:rPr>
        <w:t>1. 总体研究情况与水平。</w:t>
      </w:r>
      <w:r>
        <w:rPr>
          <w:rFonts w:ascii="Times New Roman" w:hAnsi="Times New Roman" w:eastAsia="宋体"/>
          <w:b w:val="0"/>
          <w:bCs w:val="0"/>
          <w:color w:val="000000"/>
          <w:sz w:val="24"/>
          <w:szCs w:val="24"/>
        </w:rPr>
        <w:t>以大语言模型为“大脑”、以领域专业工具与专业模型为“手脚”的科学智能体（Scientific Agent／AI Scientist），正推动科研范式由“人工智能辅助科学（AI for Science）”向“智能体驱动的自主科学（Agentic Science）”跃迁[3]。在新药创制领域，蛋白质及生物大分子复合物结构预测（AlphaFold2/3）[1-2]、生成式分子设计、成药性与 ADMET 预测、逆合成路线规划等专业模型已趋成熟，但多以“单点工具”形态分散存在，缺乏能够自主完成“科学假设生成—实验设计—结果分析”科研闭环、并可被系统统一调度的专业化领域智能体。国际上，端到端 AI 药物发现平台与“干湿闭环”自动化实验室快速发展，多智能体系统（Multi-Agent）已开始承担研发目标拆解、</w:t>
      </w:r>
      <w:bookmarkStart w:id="0" w:name="_GoBack"/>
      <w:bookmarkEnd w:id="0"/>
      <w:r>
        <w:rPr>
          <w:rFonts w:ascii="Times New Roman" w:hAnsi="Times New Roman" w:eastAsia="宋体"/>
          <w:b w:val="0"/>
          <w:bCs w:val="0"/>
          <w:color w:val="000000"/>
          <w:sz w:val="24"/>
          <w:szCs w:val="24"/>
        </w:rPr>
        <w:t>工具协同调度与实验闭环管理；国内头部机构已构建覆盖“读—算—做”全流程的 AI4S 研发体系，智能体每周可自主推进上万次化合物合成实验。总体而言，专业化领域科学智能体所需的“知识内嵌、机理约束、可信闭环、标准对接、系统评测”等共性关键技术尚未系统突破，正是本项目的核心切入点。</w:t>
      </w:r>
    </w:p>
    <w:p w14:paraId="73E2B81F">
      <w:pPr>
        <w:spacing w:after="60" w:line="360" w:lineRule="auto"/>
        <w:ind w:firstLine="480"/>
        <w:jc w:val="both"/>
      </w:pPr>
      <w:r>
        <w:rPr>
          <w:rFonts w:ascii="Times New Roman" w:hAnsi="Times New Roman" w:eastAsia="宋体"/>
          <w:b/>
          <w:bCs/>
          <w:color w:val="000000"/>
          <w:sz w:val="24"/>
          <w:szCs w:val="24"/>
        </w:rPr>
        <w:t>2. 最新进展与发展前景。</w:t>
      </w:r>
      <w:r>
        <w:rPr>
          <w:rFonts w:ascii="Times New Roman" w:hAnsi="Times New Roman" w:eastAsia="宋体"/>
          <w:b w:val="0"/>
          <w:bCs w:val="0"/>
          <w:color w:val="000000"/>
          <w:sz w:val="24"/>
          <w:szCs w:val="24"/>
        </w:rPr>
        <w:t>最新进展呈现四大趋势：其一，由“模型即工具”转向“智能体即科研主体”，智能体具备规划、反思、记忆与自主决策能力；其二，由“通用智能体”转向“内嵌领域知识、机理模型与实验逻辑的专业化领域智能体”；其三，由“单智能体”转向“多智能体协同编排”，并与自动化实验平台构成干湿闭环[11]；其四，由“能力演示”转向“标准化封装、系统级自动调度与真实场景系统评测”。发展前景上，专业化新药创制科学智能体有望将早期药物发现周期缩短一个数量级、显著提升临床前研究成功率，成为国家跨学科科学发现系统的关键能力单元，重塑生物医药创新链条。</w:t>
      </w:r>
    </w:p>
    <w:p w14:paraId="073F23CF">
      <w:pPr>
        <w:pStyle w:val="4"/>
        <w:spacing w:before="140" w:after="80" w:line="360" w:lineRule="auto"/>
      </w:pPr>
      <w:r>
        <w:rPr>
          <w:rFonts w:ascii="Arial" w:hAnsi="Arial" w:eastAsia="黑体"/>
          <w:b/>
          <w:bCs/>
          <w:color w:val="000000"/>
          <w:sz w:val="24"/>
          <w:szCs w:val="24"/>
        </w:rPr>
        <w:t>国外代表性机构及典型成果（5家）</w:t>
      </w:r>
    </w:p>
    <w:p w14:paraId="66AD98F8">
      <w:pPr>
        <w:spacing w:after="60" w:line="360" w:lineRule="auto"/>
        <w:ind w:firstLine="480"/>
        <w:jc w:val="both"/>
      </w:pPr>
      <w:r>
        <w:rPr>
          <w:rFonts w:ascii="Times New Roman" w:hAnsi="Times New Roman" w:eastAsia="宋体"/>
          <w:b/>
          <w:bCs/>
          <w:color w:val="000000"/>
          <w:sz w:val="24"/>
          <w:szCs w:val="24"/>
        </w:rPr>
        <w:t>（1）谷歌 DeepMind／Isomorphic Labs（英/美）：</w:t>
      </w:r>
      <w:r>
        <w:rPr>
          <w:rFonts w:ascii="Times New Roman" w:hAnsi="Times New Roman" w:eastAsia="宋体"/>
          <w:b w:val="0"/>
          <w:bCs w:val="0"/>
          <w:color w:val="000000"/>
          <w:sz w:val="24"/>
          <w:szCs w:val="24"/>
        </w:rPr>
        <w:t>AlphaFold2/3 实现蛋白质及生物大分子复合物结构与相互作用的高精度预测（相关工作获 2024 年诺贝尔化学奖），AlphaFold3 于 2024 年发布并开源；药物设计引擎 IsoDDE 在抗原-抗体复合物预测精度上大幅领先，正推进 AI 设计药物进入临床。同一技术脉络下，RoseTTAFold（结构预测）与 RFdiffusion（蛋白质从头设计）进一步拓展了结构生物学与药物设计边界。代表文献：Jumper et al., Nature, 2021[1]；Abramson et al., Nature, 2024[2]；Baek et al., Science, 2021[4]；Watson et al., Nature, 2023[5]。</w:t>
      </w:r>
    </w:p>
    <w:p w14:paraId="38E59044">
      <w:pPr>
        <w:spacing w:after="60" w:line="360" w:lineRule="auto"/>
        <w:ind w:firstLine="480"/>
        <w:jc w:val="both"/>
      </w:pPr>
      <w:r>
        <w:rPr>
          <w:rFonts w:ascii="Times New Roman" w:hAnsi="Times New Roman" w:eastAsia="宋体"/>
          <w:b/>
          <w:bCs/>
          <w:color w:val="000000"/>
          <w:sz w:val="24"/>
          <w:szCs w:val="24"/>
        </w:rPr>
        <w:t>（2）英矽智能（Insilico Medicine，美/港）：</w:t>
      </w:r>
      <w:r>
        <w:rPr>
          <w:rFonts w:ascii="Times New Roman" w:hAnsi="Times New Roman" w:eastAsia="宋体"/>
          <w:b w:val="0"/>
          <w:bCs w:val="0"/>
          <w:color w:val="000000"/>
          <w:sz w:val="24"/>
          <w:szCs w:val="24"/>
        </w:rPr>
        <w:t>端到端生成式 AI 药物发现平台 Pharma.AI（PandaOmics、Chemistry42）贯通“靶点发现—分子生成—临床成功率预测”，多条 AI 自研管线进入临床阶段，是端到端 AI 制药的代表。代表性工作：以生成式强化学习模型 GENTRL 于 21 天内快速发现 DDR1 激酶抑制剂，Nature Biotechnology, 2019[6]。</w:t>
      </w:r>
    </w:p>
    <w:p w14:paraId="1F00FB68">
      <w:pPr>
        <w:spacing w:after="60" w:line="360" w:lineRule="auto"/>
        <w:ind w:firstLine="480"/>
        <w:jc w:val="both"/>
      </w:pPr>
      <w:r>
        <w:rPr>
          <w:rFonts w:ascii="Times New Roman" w:hAnsi="Times New Roman" w:eastAsia="宋体"/>
          <w:b/>
          <w:bCs/>
          <w:color w:val="000000"/>
          <w:sz w:val="24"/>
          <w:szCs w:val="24"/>
        </w:rPr>
        <w:t>（3）Recursion Pharmaceuticals（美）：</w:t>
      </w:r>
      <w:r>
        <w:rPr>
          <w:rFonts w:ascii="Times New Roman" w:hAnsi="Times New Roman" w:eastAsia="宋体"/>
          <w:b w:val="0"/>
          <w:bCs w:val="0"/>
          <w:color w:val="000000"/>
          <w:sz w:val="24"/>
          <w:szCs w:val="24"/>
        </w:rPr>
        <w:t>以大规模表型组学与自动化实验构建“AI 预测—实验验证”闭环，并与 Exscientia 合并，整合深度生成化学与自动化实验平台，推动 AI 候选药物进入临床。</w:t>
      </w:r>
    </w:p>
    <w:p w14:paraId="5D84128C">
      <w:pPr>
        <w:spacing w:after="60" w:line="360" w:lineRule="auto"/>
        <w:ind w:firstLine="480"/>
        <w:jc w:val="both"/>
      </w:pPr>
      <w:r>
        <w:rPr>
          <w:rFonts w:ascii="Times New Roman" w:hAnsi="Times New Roman" w:eastAsia="宋体"/>
          <w:b/>
          <w:bCs/>
          <w:color w:val="000000"/>
          <w:sz w:val="24"/>
          <w:szCs w:val="24"/>
        </w:rPr>
        <w:t>（4）麻省理工学院／Broad 研究所（美）：</w:t>
      </w:r>
      <w:r>
        <w:rPr>
          <w:rFonts w:ascii="Times New Roman" w:hAnsi="Times New Roman" w:eastAsia="宋体"/>
          <w:b w:val="0"/>
          <w:bCs w:val="0"/>
          <w:color w:val="000000"/>
          <w:sz w:val="24"/>
          <w:szCs w:val="24"/>
        </w:rPr>
        <w:t>提出化学智能体 ChemCrow（以 18 类专家工具增强大模型自主完成化学合成与药物/材料任务），并以机器学习发现新型抗生素（如 halicin、abaucin）。代表文献：M. Bran et al., Nature Machine Intelligence, 2024[7]；Stokes et al.（AI 发现新型抗生素 halicin）, Cell, 2020[8]。</w:t>
      </w:r>
    </w:p>
    <w:p w14:paraId="7CB3BB37">
      <w:pPr>
        <w:spacing w:after="60" w:line="360" w:lineRule="auto"/>
        <w:ind w:firstLine="480"/>
        <w:jc w:val="both"/>
      </w:pPr>
      <w:r>
        <w:rPr>
          <w:rFonts w:ascii="Times New Roman" w:hAnsi="Times New Roman" w:eastAsia="宋体"/>
          <w:b/>
          <w:bCs/>
          <w:color w:val="000000"/>
          <w:sz w:val="24"/>
          <w:szCs w:val="24"/>
        </w:rPr>
        <w:t>（5）斯坦福大学／哈佛医学院（Zitnik 团队，美）：</w:t>
      </w:r>
      <w:r>
        <w:rPr>
          <w:rFonts w:ascii="Times New Roman" w:hAnsi="Times New Roman" w:eastAsia="宋体"/>
          <w:b w:val="0"/>
          <w:bCs w:val="0"/>
          <w:color w:val="000000"/>
          <w:sz w:val="24"/>
          <w:szCs w:val="24"/>
        </w:rPr>
        <w:t>提出通用生物医学智能体 Biomni 及“AI 智能体赋能生物医学发现”框架，系统梳理智能体在假设生成、实验设计与分析中的作用。代表文献：Gao et al., “Empowering biomedical discovery with AI agents”, Cell, 2024[9]。</w:t>
      </w:r>
    </w:p>
    <w:p w14:paraId="2EEF97A3">
      <w:pPr>
        <w:pStyle w:val="4"/>
        <w:spacing w:before="140" w:after="80" w:line="360" w:lineRule="auto"/>
      </w:pPr>
      <w:r>
        <w:rPr>
          <w:rFonts w:ascii="Arial" w:hAnsi="Arial" w:eastAsia="黑体"/>
          <w:b/>
          <w:bCs/>
          <w:color w:val="000000"/>
          <w:sz w:val="24"/>
          <w:szCs w:val="24"/>
        </w:rPr>
        <w:t>国内代表性机构及典型成果（5家）</w:t>
      </w:r>
    </w:p>
    <w:p w14:paraId="234E4990">
      <w:pPr>
        <w:spacing w:after="60" w:line="360" w:lineRule="auto"/>
        <w:ind w:firstLine="480"/>
        <w:jc w:val="both"/>
      </w:pPr>
      <w:r>
        <w:rPr>
          <w:rFonts w:ascii="Times New Roman" w:hAnsi="Times New Roman" w:eastAsia="宋体"/>
          <w:b/>
          <w:bCs/>
          <w:color w:val="000000"/>
          <w:sz w:val="24"/>
          <w:szCs w:val="24"/>
        </w:rPr>
        <w:t>（1）晶泰科技（XtalPi）：</w:t>
      </w:r>
      <w:r>
        <w:rPr>
          <w:rFonts w:ascii="Times New Roman" w:hAnsi="Times New Roman" w:eastAsia="宋体"/>
          <w:b w:val="0"/>
          <w:bCs w:val="0"/>
          <w:color w:val="000000"/>
          <w:sz w:val="24"/>
          <w:szCs w:val="24"/>
        </w:rPr>
        <w:t>以“AI＋量子物理＋机器人”构建全栈研发体系，打造 Multi-Agent 矩阵（Agentic Genius、MolAgent、Vast Agent 等），智能体每周自主推进上万次化合物合成实验；XtalFold 在抗原-抗体复合物结构预测上性能全球领先，累计开发 200 余个行业 AI 模型。</w:t>
      </w:r>
    </w:p>
    <w:p w14:paraId="59CBE37E">
      <w:pPr>
        <w:spacing w:after="60" w:line="360" w:lineRule="auto"/>
        <w:ind w:firstLine="480"/>
        <w:jc w:val="both"/>
      </w:pPr>
      <w:r>
        <w:rPr>
          <w:rFonts w:ascii="Times New Roman" w:hAnsi="Times New Roman" w:eastAsia="宋体"/>
          <w:b/>
          <w:bCs/>
          <w:color w:val="000000"/>
          <w:sz w:val="24"/>
          <w:szCs w:val="24"/>
        </w:rPr>
        <w:t>（2）深势科技（DP Technology）：</w:t>
      </w:r>
      <w:r>
        <w:rPr>
          <w:rFonts w:ascii="Times New Roman" w:hAnsi="Times New Roman" w:eastAsia="宋体"/>
          <w:b w:val="0"/>
          <w:bCs w:val="0"/>
          <w:color w:val="000000"/>
          <w:sz w:val="24"/>
          <w:szCs w:val="24"/>
        </w:rPr>
        <w:t>构建覆盖“读—算—做”的 AI4S 研发体系，含玻尔科研空间站科学导航、Hermite 药物计算平台（Uni-FEP、Uni-QSAR）及开源干湿闭环 Uni-Lab OS，推动“计算设计＋实验验证”理性研发范式。代表性工作：Uni-Mol 通用三维分子表征学习框架，ICLR 2023[10]。</w:t>
      </w:r>
    </w:p>
    <w:p w14:paraId="74F4ACF4">
      <w:pPr>
        <w:spacing w:after="60" w:line="360" w:lineRule="auto"/>
        <w:ind w:firstLine="480"/>
        <w:jc w:val="both"/>
      </w:pPr>
      <w:r>
        <w:rPr>
          <w:rFonts w:ascii="Times New Roman" w:hAnsi="Times New Roman" w:eastAsia="宋体"/>
          <w:b/>
          <w:bCs/>
          <w:color w:val="000000"/>
          <w:sz w:val="24"/>
          <w:szCs w:val="24"/>
        </w:rPr>
        <w:t>（3）百图生科（BioMap）：</w:t>
      </w:r>
      <w:r>
        <w:rPr>
          <w:rFonts w:ascii="Times New Roman" w:hAnsi="Times New Roman" w:eastAsia="宋体"/>
          <w:b w:val="0"/>
          <w:bCs w:val="0"/>
          <w:color w:val="000000"/>
          <w:sz w:val="24"/>
          <w:szCs w:val="24"/>
        </w:rPr>
        <w:t>研发 xTrimo 系列生命科学多模态大模型与免疫图谱，服务靶点发现、生物大分子设计与机制研究。</w:t>
      </w:r>
    </w:p>
    <w:p w14:paraId="558F2969">
      <w:pPr>
        <w:spacing w:after="60" w:line="360" w:lineRule="auto"/>
        <w:ind w:firstLine="480"/>
        <w:jc w:val="both"/>
      </w:pPr>
      <w:r>
        <w:rPr>
          <w:rFonts w:ascii="Times New Roman" w:hAnsi="Times New Roman" w:eastAsia="宋体"/>
          <w:b/>
          <w:bCs/>
          <w:color w:val="000000"/>
          <w:sz w:val="24"/>
          <w:szCs w:val="24"/>
        </w:rPr>
        <w:t>（4）华为云：</w:t>
      </w:r>
      <w:r>
        <w:rPr>
          <w:rFonts w:ascii="Times New Roman" w:hAnsi="Times New Roman" w:eastAsia="宋体"/>
          <w:b w:val="0"/>
          <w:bCs w:val="0"/>
          <w:color w:val="000000"/>
          <w:sz w:val="24"/>
          <w:szCs w:val="24"/>
        </w:rPr>
        <w:t>发布盘古药物分子大模型，支撑先导化合物筛选、成药性优化与逆合成，助力抗菌新药等研发。</w:t>
      </w:r>
    </w:p>
    <w:p w14:paraId="7900C00F">
      <w:pPr>
        <w:spacing w:after="60" w:line="360" w:lineRule="auto"/>
        <w:ind w:firstLine="480"/>
        <w:jc w:val="both"/>
      </w:pPr>
      <w:r>
        <w:rPr>
          <w:rFonts w:ascii="Times New Roman" w:hAnsi="Times New Roman" w:eastAsia="宋体"/>
          <w:b/>
          <w:bCs/>
          <w:color w:val="000000"/>
          <w:sz w:val="24"/>
          <w:szCs w:val="24"/>
        </w:rPr>
        <w:t>（5）全球健康药物研发中心（GHDDI）：</w:t>
      </w:r>
      <w:r>
        <w:rPr>
          <w:rFonts w:ascii="Times New Roman" w:hAnsi="Times New Roman" w:eastAsia="宋体"/>
          <w:b w:val="0"/>
          <w:bCs w:val="0"/>
          <w:color w:val="000000"/>
          <w:sz w:val="24"/>
          <w:szCs w:val="24"/>
        </w:rPr>
        <w:t>构建开放式 AI 制药平台“AI 孔明”，覆盖靶点结构分析、分子生成、活性预测、成药性评估与多目标优化，聚焦疟疾、结核、病毒等全球健康疾病。</w:t>
      </w:r>
    </w:p>
    <w:p w14:paraId="52DEA97D">
      <w:pPr>
        <w:spacing w:after="60" w:line="360" w:lineRule="auto"/>
        <w:ind w:firstLine="480"/>
        <w:jc w:val="both"/>
      </w:pPr>
      <w:r>
        <w:rPr>
          <w:rFonts w:ascii="Times New Roman" w:hAnsi="Times New Roman" w:eastAsia="宋体"/>
          <w:b w:val="0"/>
          <w:bCs w:val="0"/>
          <w:color w:val="000000"/>
          <w:sz w:val="24"/>
          <w:szCs w:val="24"/>
        </w:rPr>
        <w:t>此外，上海人工智能实验室“书生·科学发现平台”、中国科学院相关院所等在跨学科科学发现方向已形成重要布局。</w:t>
      </w:r>
    </w:p>
    <w:p w14:paraId="75E38499">
      <w:pPr>
        <w:pStyle w:val="4"/>
        <w:spacing w:before="140" w:after="80" w:line="360" w:lineRule="auto"/>
      </w:pPr>
      <w:r>
        <w:rPr>
          <w:rFonts w:ascii="Arial" w:hAnsi="Arial" w:eastAsia="黑体"/>
          <w:b/>
          <w:bCs/>
          <w:color w:val="000000"/>
          <w:sz w:val="24"/>
          <w:szCs w:val="24"/>
        </w:rPr>
        <w:t>代表性文献、专利与标准</w:t>
      </w:r>
    </w:p>
    <w:p w14:paraId="03EE7A1F">
      <w:pPr>
        <w:spacing w:after="60" w:line="360" w:lineRule="auto"/>
        <w:ind w:firstLine="480"/>
        <w:jc w:val="both"/>
      </w:pPr>
      <w:r>
        <w:rPr>
          <w:rFonts w:ascii="Times New Roman" w:hAnsi="Times New Roman" w:eastAsia="宋体"/>
          <w:b w:val="0"/>
          <w:bCs w:val="0"/>
          <w:color w:val="000000"/>
          <w:sz w:val="24"/>
          <w:szCs w:val="24"/>
        </w:rPr>
        <w:t>代表性文献如上所列（AlphaFold 系列、ChemCrow、Biomedical AI Agents、GENTRL 等，详见文末参考文献[1]—[11]）。专利方面，围绕分子生成、结构预测、逆合成规划、成药性预测与智能体工具编排等，国内外已形成密集专利布局。标准方面，模型上下文协议（MCP）正成为工具/智能体接口的事实标准，科学数据普遍遵循 FAIR 原则，国内人工智能与科学数据相关标准体系正在加快建立；但面向“领域科学智能体能力封装、接口协议与操作系统对接”的统一规范与面向真实科研场景的评测标准仍属空白，亟需在本专项中率先建立。</w:t>
      </w:r>
    </w:p>
    <w:p w14:paraId="6BCED0C2">
      <w:pPr>
        <w:pStyle w:val="4"/>
        <w:spacing w:before="140" w:after="80" w:line="360" w:lineRule="auto"/>
      </w:pPr>
      <w:r>
        <w:rPr>
          <w:rFonts w:ascii="Arial" w:hAnsi="Arial" w:eastAsia="黑体"/>
          <w:b/>
          <w:bCs/>
          <w:color w:val="000000"/>
          <w:sz w:val="24"/>
          <w:szCs w:val="24"/>
        </w:rPr>
        <w:t>本项目团队在相关方面的 5 项代表性成果、专利及标准</w:t>
      </w:r>
    </w:p>
    <w:p w14:paraId="37094578">
      <w:pPr>
        <w:spacing w:after="60" w:line="360" w:lineRule="auto"/>
        <w:ind w:firstLine="480"/>
      </w:pPr>
      <w:r>
        <w:rPr>
          <w:rFonts w:ascii="Times New Roman" w:hAnsi="Times New Roman" w:eastAsia="楷体"/>
          <w:b w:val="0"/>
          <w:bCs w:val="0"/>
          <w:color w:val="C00000"/>
          <w:sz w:val="22"/>
          <w:szCs w:val="22"/>
        </w:rPr>
        <w:t>以下为占位模板，请团队据实填写（论文代表作重质量、不以数量论）：</w:t>
      </w:r>
    </w:p>
    <w:p w14:paraId="7A6FCD4E">
      <w:pPr>
        <w:spacing w:after="60" w:line="360" w:lineRule="auto"/>
        <w:ind w:firstLine="480"/>
        <w:jc w:val="both"/>
      </w:pPr>
      <w:r>
        <w:rPr>
          <w:rFonts w:ascii="Times New Roman" w:hAnsi="Times New Roman" w:eastAsia="宋体"/>
          <w:b w:val="0"/>
          <w:bCs w:val="0"/>
          <w:color w:val="000000"/>
          <w:sz w:val="24"/>
          <w:szCs w:val="24"/>
        </w:rPr>
        <w:t>①代表性论文/平台：〔例〕面向药物分子生成/结构预测的核心算法或平台成果（发表期刊、年份、影响力指标）；</w:t>
      </w:r>
    </w:p>
    <w:p w14:paraId="2B7A4364">
      <w:pPr>
        <w:spacing w:after="60" w:line="360" w:lineRule="auto"/>
        <w:ind w:firstLine="480"/>
        <w:jc w:val="both"/>
      </w:pPr>
      <w:r>
        <w:rPr>
          <w:rFonts w:ascii="Times New Roman" w:hAnsi="Times New Roman" w:eastAsia="宋体"/>
          <w:b w:val="0"/>
          <w:bCs w:val="0"/>
          <w:color w:val="000000"/>
          <w:sz w:val="24"/>
          <w:szCs w:val="24"/>
        </w:rPr>
        <w:t>②代表性论文/平台：〔例〕面向智能体规划/工具编排的方法学成果；</w:t>
      </w:r>
    </w:p>
    <w:p w14:paraId="5F392597">
      <w:pPr>
        <w:spacing w:after="60" w:line="360" w:lineRule="auto"/>
        <w:ind w:firstLine="480"/>
        <w:jc w:val="both"/>
      </w:pPr>
      <w:r>
        <w:rPr>
          <w:rFonts w:ascii="Times New Roman" w:hAnsi="Times New Roman" w:eastAsia="宋体"/>
          <w:b w:val="0"/>
          <w:bCs w:val="0"/>
          <w:color w:val="000000"/>
          <w:sz w:val="24"/>
          <w:szCs w:val="24"/>
        </w:rPr>
        <w:t>③核心发明专利：〔例〕一种领域科学智能体能力封装/调度方法（专利号、授权状态）；</w:t>
      </w:r>
    </w:p>
    <w:p w14:paraId="177E2CFC">
      <w:pPr>
        <w:spacing w:after="60" w:line="360" w:lineRule="auto"/>
        <w:ind w:firstLine="480"/>
        <w:jc w:val="both"/>
      </w:pPr>
      <w:r>
        <w:rPr>
          <w:rFonts w:ascii="Times New Roman" w:hAnsi="Times New Roman" w:eastAsia="宋体"/>
          <w:b w:val="0"/>
          <w:bCs w:val="0"/>
          <w:color w:val="000000"/>
          <w:sz w:val="24"/>
          <w:szCs w:val="24"/>
        </w:rPr>
        <w:t>④核心发明专利：〔例〕一种干湿闭环实验设计优化方法（专利号、授权状态）；</w:t>
      </w:r>
    </w:p>
    <w:p w14:paraId="7C0A80CB">
      <w:pPr>
        <w:spacing w:after="60" w:line="360" w:lineRule="auto"/>
        <w:ind w:firstLine="480"/>
        <w:jc w:val="both"/>
      </w:pPr>
      <w:r>
        <w:rPr>
          <w:rFonts w:ascii="Times New Roman" w:hAnsi="Times New Roman" w:eastAsia="宋体"/>
          <w:b w:val="0"/>
          <w:bCs w:val="0"/>
          <w:color w:val="000000"/>
          <w:sz w:val="24"/>
          <w:szCs w:val="24"/>
        </w:rPr>
        <w:t>⑤牵头/参与标准：〔例〕科学智能体接口协议或数据规范（标准名称、编号、发布/立项状态）。</w:t>
      </w:r>
    </w:p>
    <w:p w14:paraId="3565AD67">
      <w:pPr>
        <w:pStyle w:val="2"/>
        <w:spacing w:before="240" w:after="120" w:line="360" w:lineRule="auto"/>
      </w:pPr>
      <w:r>
        <w:rPr>
          <w:rFonts w:ascii="Arial" w:hAnsi="Arial" w:eastAsia="黑体"/>
          <w:b/>
          <w:bCs/>
          <w:color w:val="000000"/>
          <w:sz w:val="32"/>
          <w:szCs w:val="32"/>
        </w:rPr>
        <w:t>（二） 研究目标及内容</w:t>
      </w:r>
    </w:p>
    <w:p w14:paraId="212F8DE6">
      <w:pPr>
        <w:pStyle w:val="3"/>
        <w:spacing w:before="180" w:after="100" w:line="360" w:lineRule="auto"/>
      </w:pPr>
      <w:r>
        <w:rPr>
          <w:rFonts w:ascii="Arial" w:hAnsi="Arial" w:eastAsia="黑体"/>
          <w:b/>
          <w:bCs/>
          <w:color w:val="000000"/>
          <w:sz w:val="28"/>
          <w:szCs w:val="28"/>
        </w:rPr>
        <w:t>1. 项目目标及考核指标</w:t>
      </w:r>
    </w:p>
    <w:p w14:paraId="38780313">
      <w:pPr>
        <w:pStyle w:val="4"/>
        <w:spacing w:before="140" w:after="80" w:line="360" w:lineRule="auto"/>
      </w:pPr>
      <w:r>
        <w:rPr>
          <w:rFonts w:ascii="Arial" w:hAnsi="Arial" w:eastAsia="黑体"/>
          <w:b/>
          <w:bCs/>
          <w:color w:val="000000"/>
          <w:sz w:val="24"/>
          <w:szCs w:val="24"/>
        </w:rPr>
        <w:t>（1）项目目标</w:t>
      </w:r>
    </w:p>
    <w:p w14:paraId="47B71B6E">
      <w:pPr>
        <w:spacing w:after="60" w:line="360" w:lineRule="auto"/>
        <w:ind w:firstLine="480"/>
        <w:jc w:val="both"/>
      </w:pPr>
      <w:r>
        <w:rPr>
          <w:rFonts w:ascii="Times New Roman" w:hAnsi="Times New Roman" w:eastAsia="宋体"/>
          <w:b/>
          <w:bCs/>
          <w:color w:val="000000"/>
          <w:sz w:val="24"/>
          <w:szCs w:val="24"/>
        </w:rPr>
        <w:t>① 针对的问题与需求。</w:t>
      </w:r>
      <w:r>
        <w:rPr>
          <w:rFonts w:ascii="Times New Roman" w:hAnsi="Times New Roman" w:eastAsia="宋体"/>
          <w:b w:val="0"/>
          <w:bCs w:val="0"/>
          <w:color w:val="000000"/>
          <w:sz w:val="24"/>
          <w:szCs w:val="24"/>
        </w:rPr>
        <w:t>新药创制长期面临“研发周期长（10—15 年）、投入成本高（单药常超 20 亿美元）、临床整体成功率低（约 5%—10%）”的核心困境；现有 AI 工具多呈“单点、分散、黑箱、难协同”状态，缺乏能够自主完成科研闭环、可被系统统一调度并可信运行的专业化领域智能体。本项目面向新药创制重点科学场景，研制内嵌领域知识、机理模型与实验逻辑的专业化科学智能体，破解“知识内嵌难、闭环可信难、标准对接难、系统评测难”的共性瓶颈。</w:t>
      </w:r>
    </w:p>
    <w:p w14:paraId="50D13383">
      <w:pPr>
        <w:spacing w:after="60" w:line="360" w:lineRule="auto"/>
        <w:ind w:firstLine="480"/>
        <w:jc w:val="both"/>
      </w:pPr>
      <w:r>
        <w:rPr>
          <w:rFonts w:ascii="Times New Roman" w:hAnsi="Times New Roman" w:eastAsia="宋体"/>
          <w:b/>
          <w:bCs/>
          <w:color w:val="000000"/>
          <w:sz w:val="24"/>
          <w:szCs w:val="24"/>
        </w:rPr>
        <w:t>② 拟解决的科学问题与突破的核心/共性/关键技术。</w:t>
      </w:r>
      <w:r>
        <w:rPr>
          <w:rFonts w:ascii="Times New Roman" w:hAnsi="Times New Roman" w:eastAsia="宋体"/>
          <w:b w:val="0"/>
          <w:bCs w:val="0"/>
          <w:color w:val="000000"/>
          <w:sz w:val="24"/>
          <w:szCs w:val="24"/>
        </w:rPr>
        <w:t>科学问题：知识—机理—实验三元耦合的统一表征；科学假设的自主生成与可信性评估；干湿闭环中的实验设计优化与不确定性量化；智能体推理的因果一致性与幻觉抑制。共性关键技术：领域资产（工具/技能/专业模型）的资产化封装与统一调用；面向科研效率的领域智能体优化算法；领域智能体与科学智能体操作系统的标准化对接；与跨学科科学发现系统的互联互通、自动调度、协同编排与安全运行；面向真实科研场景的能力验证与评测。</w:t>
      </w:r>
    </w:p>
    <w:p w14:paraId="40ADB3DA">
      <w:pPr>
        <w:spacing w:after="60" w:line="360" w:lineRule="auto"/>
        <w:ind w:firstLine="480"/>
        <w:jc w:val="both"/>
      </w:pPr>
      <w:r>
        <w:rPr>
          <w:rFonts w:ascii="Times New Roman" w:hAnsi="Times New Roman" w:eastAsia="宋体"/>
          <w:b/>
          <w:bCs/>
          <w:color w:val="000000"/>
          <w:sz w:val="24"/>
          <w:szCs w:val="24"/>
        </w:rPr>
        <w:t>③ 预期成果。</w:t>
      </w:r>
      <w:r>
        <w:rPr>
          <w:rFonts w:ascii="Times New Roman" w:hAnsi="Times New Roman" w:eastAsia="宋体"/>
          <w:b w:val="0"/>
          <w:bCs w:val="0"/>
          <w:color w:val="000000"/>
          <w:sz w:val="24"/>
          <w:szCs w:val="24"/>
        </w:rPr>
        <w:t>形成 1 套面向新药创制的专业化领域科学智能体及其共性技术体系，包含统一的能力封装规范、接口协议与运行约束，配套评测基准与开放服务，并在主责单位跨学科科学发现系统上完成部署运行与开放服务。</w:t>
      </w:r>
    </w:p>
    <w:p w14:paraId="4FED69AA">
      <w:pPr>
        <w:spacing w:after="60" w:line="360" w:lineRule="auto"/>
        <w:ind w:firstLine="480"/>
        <w:jc w:val="both"/>
      </w:pPr>
      <w:r>
        <w:rPr>
          <w:rFonts w:ascii="Times New Roman" w:hAnsi="Times New Roman" w:eastAsia="宋体"/>
          <w:b/>
          <w:bCs/>
          <w:color w:val="000000"/>
          <w:sz w:val="24"/>
          <w:szCs w:val="24"/>
        </w:rPr>
        <w:t>④ 成果应用方式与作用影响。</w:t>
      </w:r>
      <w:r>
        <w:rPr>
          <w:rFonts w:ascii="Times New Roman" w:hAnsi="Times New Roman" w:eastAsia="宋体"/>
          <w:b w:val="0"/>
          <w:bCs w:val="0"/>
          <w:color w:val="000000"/>
          <w:sz w:val="24"/>
          <w:szCs w:val="24"/>
        </w:rPr>
        <w:t>成果以“领域智能体＋平台服务＋标准规范”形式，应用于生物医药研发、临床前研究、公共卫生与生物安全等领域及国家重大新药创制工程；显著提升科研效率与原创发现能力，支撑医药产业升级与“健康中国”战略；并在保障药品可及性、应对突发疫情与生物安全威胁等方面发挥重要的社会效益与国家安全价值。</w:t>
      </w:r>
    </w:p>
    <w:p w14:paraId="7C058698">
      <w:pPr>
        <w:pStyle w:val="4"/>
        <w:spacing w:before="140" w:after="80" w:line="360" w:lineRule="auto"/>
      </w:pPr>
      <w:r>
        <w:rPr>
          <w:rFonts w:ascii="Arial" w:hAnsi="Arial" w:eastAsia="黑体"/>
          <w:b/>
          <w:bCs/>
          <w:color w:val="000000"/>
          <w:sz w:val="24"/>
          <w:szCs w:val="24"/>
        </w:rPr>
        <w:t>（2）考核指标</w:t>
      </w:r>
    </w:p>
    <w:tbl>
      <w:tblPr>
        <w:tblStyle w:val="11"/>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600"/>
        <w:gridCol w:w="2600"/>
        <w:gridCol w:w="2200"/>
      </w:tblGrid>
      <w:tr w14:paraId="5725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06E00E09">
            <w:pPr>
              <w:spacing w:before="20" w:after="20" w:line="300" w:lineRule="auto"/>
              <w:jc w:val="center"/>
            </w:pPr>
            <w:r>
              <w:rPr>
                <w:rFonts w:ascii="Times New Roman" w:hAnsi="Times New Roman" w:eastAsia="宋体"/>
                <w:b/>
                <w:bCs/>
                <w:color w:val="000000"/>
                <w:sz w:val="20"/>
                <w:szCs w:val="20"/>
              </w:rPr>
              <w:t>考核指标</w:t>
            </w:r>
          </w:p>
        </w:tc>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3950E506">
            <w:pPr>
              <w:spacing w:before="20" w:after="20" w:line="300" w:lineRule="auto"/>
              <w:jc w:val="center"/>
            </w:pPr>
            <w:r>
              <w:rPr>
                <w:rFonts w:ascii="Times New Roman" w:hAnsi="Times New Roman" w:eastAsia="宋体"/>
                <w:b/>
                <w:bCs/>
                <w:color w:val="000000"/>
                <w:sz w:val="20"/>
                <w:szCs w:val="20"/>
              </w:rPr>
              <w:t>立项时已有指标值/状态</w:t>
            </w:r>
          </w:p>
        </w:tc>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614B2E7B">
            <w:pPr>
              <w:spacing w:before="20" w:after="20" w:line="300" w:lineRule="auto"/>
              <w:jc w:val="center"/>
            </w:pPr>
            <w:r>
              <w:rPr>
                <w:rFonts w:ascii="Times New Roman" w:hAnsi="Times New Roman" w:eastAsia="宋体"/>
                <w:b/>
                <w:bCs/>
                <w:color w:val="000000"/>
                <w:sz w:val="20"/>
                <w:szCs w:val="20"/>
              </w:rPr>
              <w:t>项目完成时指标值/状态</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45E6ABB9">
            <w:pPr>
              <w:spacing w:before="20" w:after="20" w:line="300" w:lineRule="auto"/>
              <w:jc w:val="center"/>
            </w:pPr>
            <w:r>
              <w:rPr>
                <w:rFonts w:ascii="Times New Roman" w:hAnsi="Times New Roman" w:eastAsia="宋体"/>
                <w:b/>
                <w:bCs/>
                <w:color w:val="000000"/>
                <w:sz w:val="20"/>
                <w:szCs w:val="20"/>
              </w:rPr>
              <w:t>立项时重点国别指标值/状态</w:t>
            </w:r>
          </w:p>
        </w:tc>
      </w:tr>
      <w:tr w14:paraId="0E8B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F87191E">
            <w:pPr>
              <w:spacing w:before="20" w:after="20" w:line="300" w:lineRule="auto"/>
              <w:jc w:val="left"/>
            </w:pPr>
            <w:r>
              <w:rPr>
                <w:rFonts w:ascii="Times New Roman" w:hAnsi="Times New Roman" w:eastAsia="宋体"/>
                <w:b w:val="0"/>
                <w:bCs w:val="0"/>
                <w:color w:val="000000"/>
                <w:sz w:val="20"/>
                <w:szCs w:val="20"/>
              </w:rPr>
              <w:t>新药创制专业化领域科学智能体（覆盖靶点发现与验证、分子生成与优化、成药性/ADMET 预测、抗体/大分子设计、逆合成与实验方案设计、结果分析等核心发现环节）</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58AC816">
            <w:pPr>
              <w:spacing w:before="20" w:after="20" w:line="300" w:lineRule="auto"/>
              <w:jc w:val="left"/>
            </w:pPr>
            <w:r>
              <w:rPr>
                <w:rFonts w:ascii="Times New Roman" w:hAnsi="Times New Roman" w:eastAsia="宋体"/>
                <w:b w:val="0"/>
                <w:bCs w:val="0"/>
                <w:color w:val="000000"/>
                <w:sz w:val="20"/>
                <w:szCs w:val="20"/>
              </w:rPr>
              <w:t>分散的单点工具/模型，无一体化领域科学智能体</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B13FA4C">
            <w:pPr>
              <w:spacing w:before="20" w:after="20" w:line="300" w:lineRule="auto"/>
              <w:jc w:val="left"/>
            </w:pPr>
            <w:r>
              <w:rPr>
                <w:rFonts w:ascii="Times New Roman" w:hAnsi="Times New Roman" w:eastAsia="宋体"/>
                <w:b w:val="0"/>
                <w:bCs w:val="0"/>
                <w:color w:val="000000"/>
                <w:sz w:val="20"/>
                <w:szCs w:val="20"/>
              </w:rPr>
              <w:t>≥1 套覆盖核心科学发现环节的专业化领域科学智能体</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C61CEE6">
            <w:pPr>
              <w:spacing w:before="20" w:after="20" w:line="300" w:lineRule="auto"/>
              <w:jc w:val="left"/>
            </w:pPr>
            <w:r>
              <w:rPr>
                <w:rFonts w:ascii="Times New Roman" w:hAnsi="Times New Roman" w:eastAsia="宋体"/>
                <w:b w:val="0"/>
                <w:bCs w:val="0"/>
                <w:color w:val="000000"/>
                <w:sz w:val="20"/>
                <w:szCs w:val="20"/>
              </w:rPr>
              <w:t>美国已有 ChemCrow、Biomni 等原型，尚未形成新药创制专用一体化智能体</w:t>
            </w:r>
          </w:p>
        </w:tc>
      </w:tr>
      <w:tr w14:paraId="74419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6D4AF8C">
            <w:pPr>
              <w:spacing w:before="20" w:after="20" w:line="300" w:lineRule="auto"/>
              <w:jc w:val="left"/>
            </w:pPr>
            <w:r>
              <w:rPr>
                <w:rFonts w:ascii="Times New Roman" w:hAnsi="Times New Roman" w:eastAsia="宋体"/>
                <w:b w:val="0"/>
                <w:bCs w:val="0"/>
                <w:color w:val="000000"/>
                <w:sz w:val="20"/>
                <w:szCs w:val="20"/>
              </w:rPr>
              <w:t>领域内主要任务成功率</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6853CB1">
            <w:pPr>
              <w:spacing w:before="20" w:after="20" w:line="300" w:lineRule="auto"/>
              <w:jc w:val="left"/>
            </w:pPr>
            <w:r>
              <w:rPr>
                <w:rFonts w:ascii="Times New Roman" w:hAnsi="Times New Roman" w:eastAsia="宋体"/>
                <w:b w:val="0"/>
                <w:bCs w:val="0"/>
                <w:color w:val="000000"/>
                <w:sz w:val="20"/>
                <w:szCs w:val="20"/>
              </w:rPr>
              <w:t>／</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A7BB193">
            <w:pPr>
              <w:spacing w:before="20" w:after="20" w:line="300" w:lineRule="auto"/>
              <w:jc w:val="left"/>
            </w:pPr>
            <w:r>
              <w:rPr>
                <w:rFonts w:ascii="Times New Roman" w:hAnsi="Times New Roman" w:eastAsia="宋体"/>
                <w:b w:val="0"/>
                <w:bCs w:val="0"/>
                <w:color w:val="000000"/>
                <w:sz w:val="20"/>
                <w:szCs w:val="20"/>
              </w:rPr>
              <w:t>≥95%</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1436AB0">
            <w:pPr>
              <w:spacing w:before="20" w:after="20" w:line="300" w:lineRule="auto"/>
              <w:jc w:val="left"/>
            </w:pPr>
            <w:r>
              <w:rPr>
                <w:rFonts w:ascii="Times New Roman" w:hAnsi="Times New Roman" w:eastAsia="宋体"/>
                <w:b w:val="0"/>
                <w:bCs w:val="0"/>
                <w:color w:val="000000"/>
                <w:sz w:val="20"/>
                <w:szCs w:val="20"/>
              </w:rPr>
              <w:t>实验室原型任务成功率约 60%—85%</w:t>
            </w:r>
          </w:p>
        </w:tc>
      </w:tr>
      <w:tr w14:paraId="350F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9A42623">
            <w:pPr>
              <w:spacing w:before="20" w:after="20" w:line="300" w:lineRule="auto"/>
              <w:jc w:val="left"/>
            </w:pPr>
            <w:r>
              <w:rPr>
                <w:rFonts w:ascii="Times New Roman" w:hAnsi="Times New Roman" w:eastAsia="宋体"/>
                <w:b w:val="0"/>
                <w:bCs w:val="0"/>
                <w:color w:val="000000"/>
                <w:sz w:val="20"/>
                <w:szCs w:val="20"/>
              </w:rPr>
              <w:t>科研效率提升（较传统科研模式）</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92CC025">
            <w:pPr>
              <w:spacing w:before="20" w:after="20" w:line="300" w:lineRule="auto"/>
              <w:jc w:val="left"/>
            </w:pPr>
            <w:r>
              <w:rPr>
                <w:rFonts w:ascii="Times New Roman" w:hAnsi="Times New Roman" w:eastAsia="宋体"/>
                <w:b w:val="0"/>
                <w:bCs w:val="0"/>
                <w:color w:val="000000"/>
                <w:sz w:val="20"/>
                <w:szCs w:val="20"/>
              </w:rPr>
              <w:t>基线 1×</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D184B73">
            <w:pPr>
              <w:spacing w:before="20" w:after="20" w:line="300" w:lineRule="auto"/>
              <w:jc w:val="left"/>
            </w:pPr>
            <w:r>
              <w:rPr>
                <w:rFonts w:ascii="Times New Roman" w:hAnsi="Times New Roman" w:eastAsia="宋体"/>
                <w:b w:val="0"/>
                <w:bCs w:val="0"/>
                <w:color w:val="000000"/>
                <w:sz w:val="20"/>
                <w:szCs w:val="20"/>
              </w:rPr>
              <w:t>≥200%（≥2 倍）</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8A6D963">
            <w:pPr>
              <w:spacing w:before="20" w:after="20" w:line="300" w:lineRule="auto"/>
              <w:jc w:val="left"/>
            </w:pPr>
            <w:r>
              <w:rPr>
                <w:rFonts w:ascii="Times New Roman" w:hAnsi="Times New Roman" w:eastAsia="宋体"/>
                <w:b w:val="0"/>
                <w:bCs w:val="0"/>
                <w:color w:val="000000"/>
                <w:sz w:val="20"/>
                <w:szCs w:val="20"/>
              </w:rPr>
              <w:t>头部机构局部环节显著提升，未系统量化</w:t>
            </w:r>
          </w:p>
        </w:tc>
      </w:tr>
      <w:tr w14:paraId="582A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43031DC">
            <w:pPr>
              <w:spacing w:before="20" w:after="20" w:line="300" w:lineRule="auto"/>
              <w:jc w:val="left"/>
            </w:pPr>
            <w:r>
              <w:rPr>
                <w:rFonts w:ascii="Times New Roman" w:hAnsi="Times New Roman" w:eastAsia="宋体"/>
                <w:b w:val="0"/>
                <w:bCs w:val="0"/>
                <w:color w:val="000000"/>
                <w:sz w:val="20"/>
                <w:szCs w:val="20"/>
              </w:rPr>
              <w:t>科研用户使用规模</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749BA65">
            <w:pPr>
              <w:spacing w:before="20" w:after="20" w:line="300" w:lineRule="auto"/>
              <w:jc w:val="left"/>
            </w:pPr>
            <w:r>
              <w:rPr>
                <w:rFonts w:ascii="Times New Roman" w:hAnsi="Times New Roman" w:eastAsia="宋体"/>
                <w:b w:val="0"/>
                <w:bCs w:val="0"/>
                <w:color w:val="000000"/>
                <w:sz w:val="20"/>
                <w:szCs w:val="20"/>
              </w:rPr>
              <w:t>无/内部试用</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8A858B7">
            <w:pPr>
              <w:spacing w:before="20" w:after="20" w:line="300" w:lineRule="auto"/>
              <w:jc w:val="left"/>
            </w:pPr>
            <w:r>
              <w:rPr>
                <w:rFonts w:ascii="Times New Roman" w:hAnsi="Times New Roman" w:eastAsia="宋体"/>
                <w:b w:val="0"/>
                <w:bCs w:val="0"/>
                <w:color w:val="000000"/>
                <w:sz w:val="20"/>
                <w:szCs w:val="20"/>
              </w:rPr>
              <w:t>≥3 万科研用户</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B6B8780">
            <w:pPr>
              <w:spacing w:before="20" w:after="20" w:line="300" w:lineRule="auto"/>
              <w:jc w:val="left"/>
            </w:pPr>
            <w:r>
              <w:rPr>
                <w:rFonts w:ascii="Times New Roman" w:hAnsi="Times New Roman" w:eastAsia="宋体"/>
                <w:b w:val="0"/>
                <w:bCs w:val="0"/>
                <w:color w:val="000000"/>
                <w:sz w:val="20"/>
                <w:szCs w:val="20"/>
              </w:rPr>
              <w:t>／</w:t>
            </w:r>
          </w:p>
        </w:tc>
      </w:tr>
      <w:tr w14:paraId="2A208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744C5B0">
            <w:pPr>
              <w:spacing w:before="20" w:after="20" w:line="300" w:lineRule="auto"/>
              <w:jc w:val="left"/>
            </w:pPr>
            <w:r>
              <w:rPr>
                <w:rFonts w:ascii="Times New Roman" w:hAnsi="Times New Roman" w:eastAsia="宋体"/>
                <w:b w:val="0"/>
                <w:bCs w:val="0"/>
                <w:color w:val="000000"/>
                <w:sz w:val="20"/>
                <w:szCs w:val="20"/>
              </w:rPr>
              <w:t>科学突破（新靶点/新先导/新机制等）</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B02AD61">
            <w:pPr>
              <w:spacing w:before="20" w:after="20" w:line="300" w:lineRule="auto"/>
              <w:jc w:val="left"/>
            </w:pPr>
            <w:r>
              <w:rPr>
                <w:rFonts w:ascii="Times New Roman" w:hAnsi="Times New Roman" w:eastAsia="宋体"/>
                <w:b w:val="0"/>
                <w:bCs w:val="0"/>
                <w:color w:val="000000"/>
                <w:sz w:val="20"/>
                <w:szCs w:val="20"/>
              </w:rPr>
              <w:t>无</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FA1913D">
            <w:pPr>
              <w:spacing w:before="20" w:after="20" w:line="300" w:lineRule="auto"/>
              <w:jc w:val="left"/>
            </w:pPr>
            <w:r>
              <w:rPr>
                <w:rFonts w:ascii="Times New Roman" w:hAnsi="Times New Roman" w:eastAsia="宋体"/>
                <w:b w:val="0"/>
                <w:bCs w:val="0"/>
                <w:color w:val="000000"/>
                <w:sz w:val="20"/>
                <w:szCs w:val="20"/>
              </w:rPr>
              <w:t>≥5 项</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34147BA">
            <w:pPr>
              <w:spacing w:before="20" w:after="20" w:line="300" w:lineRule="auto"/>
              <w:jc w:val="left"/>
            </w:pPr>
            <w:r>
              <w:rPr>
                <w:rFonts w:ascii="Times New Roman" w:hAnsi="Times New Roman" w:eastAsia="宋体"/>
                <w:b w:val="0"/>
                <w:bCs w:val="0"/>
                <w:color w:val="000000"/>
                <w:sz w:val="20"/>
                <w:szCs w:val="20"/>
              </w:rPr>
              <w:t>／</w:t>
            </w:r>
          </w:p>
        </w:tc>
      </w:tr>
      <w:tr w14:paraId="7D360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E531478">
            <w:pPr>
              <w:spacing w:before="20" w:after="20" w:line="300" w:lineRule="auto"/>
              <w:jc w:val="left"/>
            </w:pPr>
            <w:r>
              <w:rPr>
                <w:rFonts w:ascii="Times New Roman" w:hAnsi="Times New Roman" w:eastAsia="宋体"/>
                <w:b w:val="0"/>
                <w:bCs w:val="0"/>
                <w:color w:val="000000"/>
                <w:sz w:val="20"/>
                <w:szCs w:val="20"/>
              </w:rPr>
              <w:t>标准化对接（能力封装规范、接口协议、运行约束）</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F68A251">
            <w:pPr>
              <w:spacing w:before="20" w:after="20" w:line="300" w:lineRule="auto"/>
              <w:jc w:val="left"/>
            </w:pPr>
            <w:r>
              <w:rPr>
                <w:rFonts w:ascii="Times New Roman" w:hAnsi="Times New Roman" w:eastAsia="宋体"/>
                <w:b w:val="0"/>
                <w:bCs w:val="0"/>
                <w:color w:val="000000"/>
                <w:sz w:val="20"/>
                <w:szCs w:val="20"/>
              </w:rPr>
              <w:t>无统一规范</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35636BD">
            <w:pPr>
              <w:spacing w:before="20" w:after="20" w:line="300" w:lineRule="auto"/>
              <w:jc w:val="left"/>
            </w:pPr>
            <w:r>
              <w:rPr>
                <w:rFonts w:ascii="Times New Roman" w:hAnsi="Times New Roman" w:eastAsia="宋体"/>
                <w:b w:val="0"/>
                <w:bCs w:val="0"/>
                <w:color w:val="000000"/>
                <w:sz w:val="20"/>
                <w:szCs w:val="20"/>
              </w:rPr>
              <w:t>各 ≥1 套，并通过与科学智能体操作系统的对接验证</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554253E">
            <w:pPr>
              <w:spacing w:before="20" w:after="20" w:line="300" w:lineRule="auto"/>
              <w:jc w:val="left"/>
            </w:pPr>
            <w:r>
              <w:rPr>
                <w:rFonts w:ascii="Times New Roman" w:hAnsi="Times New Roman" w:eastAsia="宋体"/>
                <w:b w:val="0"/>
                <w:bCs w:val="0"/>
                <w:color w:val="000000"/>
                <w:sz w:val="20"/>
                <w:szCs w:val="20"/>
              </w:rPr>
              <w:t>MCP 等事实接口标准，缺领域封装规范</w:t>
            </w:r>
          </w:p>
        </w:tc>
      </w:tr>
      <w:tr w14:paraId="01BDB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7060B9D">
            <w:pPr>
              <w:spacing w:before="20" w:after="20" w:line="300" w:lineRule="auto"/>
              <w:jc w:val="left"/>
            </w:pPr>
            <w:r>
              <w:rPr>
                <w:rFonts w:ascii="Times New Roman" w:hAnsi="Times New Roman" w:eastAsia="宋体"/>
                <w:b w:val="0"/>
                <w:bCs w:val="0"/>
                <w:color w:val="000000"/>
                <w:sz w:val="20"/>
                <w:szCs w:val="20"/>
              </w:rPr>
              <w:t>能力评测体系</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FAE2E3B">
            <w:pPr>
              <w:spacing w:before="20" w:after="20" w:line="300" w:lineRule="auto"/>
              <w:jc w:val="left"/>
            </w:pPr>
            <w:r>
              <w:rPr>
                <w:rFonts w:ascii="Times New Roman" w:hAnsi="Times New Roman" w:eastAsia="宋体"/>
                <w:b w:val="0"/>
                <w:bCs w:val="0"/>
                <w:color w:val="000000"/>
                <w:sz w:val="20"/>
                <w:szCs w:val="20"/>
              </w:rPr>
              <w:t>无</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AB97EDF">
            <w:pPr>
              <w:spacing w:before="20" w:after="20" w:line="300" w:lineRule="auto"/>
              <w:jc w:val="left"/>
            </w:pPr>
            <w:r>
              <w:rPr>
                <w:rFonts w:ascii="Times New Roman" w:hAnsi="Times New Roman" w:eastAsia="宋体"/>
                <w:b w:val="0"/>
                <w:bCs w:val="0"/>
                <w:color w:val="000000"/>
                <w:sz w:val="20"/>
                <w:szCs w:val="20"/>
              </w:rPr>
              <w:t>≥1 套真实场景评测基准与任务集，覆盖核心发现环节</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2FF2AC8">
            <w:pPr>
              <w:spacing w:before="20" w:after="20" w:line="300" w:lineRule="auto"/>
              <w:jc w:val="left"/>
            </w:pPr>
            <w:r>
              <w:rPr>
                <w:rFonts w:ascii="Times New Roman" w:hAnsi="Times New Roman" w:eastAsia="宋体"/>
                <w:b w:val="0"/>
                <w:bCs w:val="0"/>
                <w:color w:val="000000"/>
                <w:sz w:val="20"/>
                <w:szCs w:val="20"/>
              </w:rPr>
              <w:t>多为通用科研评测基准</w:t>
            </w:r>
          </w:p>
        </w:tc>
      </w:tr>
      <w:tr w14:paraId="6DD1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24CD155">
            <w:pPr>
              <w:spacing w:before="20" w:after="20" w:line="300" w:lineRule="auto"/>
              <w:jc w:val="left"/>
            </w:pPr>
            <w:r>
              <w:rPr>
                <w:rFonts w:ascii="Times New Roman" w:hAnsi="Times New Roman" w:eastAsia="宋体"/>
                <w:b w:val="0"/>
                <w:bCs w:val="0"/>
                <w:color w:val="000000"/>
                <w:sz w:val="20"/>
                <w:szCs w:val="20"/>
              </w:rPr>
              <w:t>系统部署与开放服务</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F37392B">
            <w:pPr>
              <w:spacing w:before="20" w:after="20" w:line="300" w:lineRule="auto"/>
              <w:jc w:val="left"/>
            </w:pPr>
            <w:r>
              <w:rPr>
                <w:rFonts w:ascii="Times New Roman" w:hAnsi="Times New Roman" w:eastAsia="宋体"/>
                <w:b w:val="0"/>
                <w:bCs w:val="0"/>
                <w:color w:val="000000"/>
                <w:sz w:val="20"/>
                <w:szCs w:val="20"/>
              </w:rPr>
              <w:t>无</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C761E30">
            <w:pPr>
              <w:spacing w:before="20" w:after="20" w:line="300" w:lineRule="auto"/>
              <w:jc w:val="left"/>
            </w:pPr>
            <w:r>
              <w:rPr>
                <w:rFonts w:ascii="Times New Roman" w:hAnsi="Times New Roman" w:eastAsia="宋体"/>
                <w:b w:val="0"/>
                <w:bCs w:val="0"/>
                <w:color w:val="000000"/>
                <w:sz w:val="20"/>
                <w:szCs w:val="20"/>
              </w:rPr>
              <w:t>在主责单位跨学科科学发现系统完成部署运行及开放服务</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3F00F49">
            <w:pPr>
              <w:spacing w:before="20" w:after="20" w:line="300" w:lineRule="auto"/>
              <w:jc w:val="left"/>
            </w:pPr>
            <w:r>
              <w:rPr>
                <w:rFonts w:ascii="Times New Roman" w:hAnsi="Times New Roman" w:eastAsia="宋体"/>
                <w:b w:val="0"/>
                <w:bCs w:val="0"/>
                <w:color w:val="000000"/>
                <w:sz w:val="20"/>
                <w:szCs w:val="20"/>
              </w:rPr>
              <w:t>／</w:t>
            </w:r>
          </w:p>
        </w:tc>
      </w:tr>
    </w:tbl>
    <w:p w14:paraId="27407FB8">
      <w:pPr>
        <w:spacing w:after="60" w:line="360" w:lineRule="auto"/>
        <w:jc w:val="both"/>
      </w:pPr>
      <w:r>
        <w:rPr>
          <w:rFonts w:ascii="Times New Roman" w:hAnsi="Times New Roman" w:eastAsia="楷体"/>
          <w:b w:val="0"/>
          <w:bCs w:val="0"/>
          <w:color w:val="000000"/>
          <w:sz w:val="24"/>
          <w:szCs w:val="24"/>
        </w:rPr>
        <w:t>注：开创性成果立项时已有指标值/状态填“无”，难以界定的填“／”。上述指标同时涵盖对国家重大新药创制工程、公共卫生与生物安全等的支撑与服务效益。</w:t>
      </w:r>
    </w:p>
    <w:p w14:paraId="50B01ACF">
      <w:pPr>
        <w:pStyle w:val="4"/>
        <w:spacing w:before="140" w:after="80" w:line="360" w:lineRule="auto"/>
      </w:pPr>
      <w:r>
        <w:rPr>
          <w:rFonts w:ascii="Arial" w:hAnsi="Arial" w:eastAsia="黑体"/>
          <w:b/>
          <w:bCs/>
          <w:color w:val="000000"/>
          <w:sz w:val="24"/>
          <w:szCs w:val="24"/>
        </w:rPr>
        <w:t>（3）考核方式方法</w:t>
      </w:r>
    </w:p>
    <w:p w14:paraId="52162F07">
      <w:pPr>
        <w:spacing w:after="60" w:line="360" w:lineRule="auto"/>
        <w:ind w:firstLine="480"/>
        <w:jc w:val="both"/>
      </w:pPr>
      <w:r>
        <w:rPr>
          <w:rFonts w:ascii="Times New Roman" w:hAnsi="Times New Roman" w:eastAsia="宋体"/>
          <w:b w:val="0"/>
          <w:bCs w:val="0"/>
          <w:color w:val="000000"/>
          <w:sz w:val="24"/>
          <w:szCs w:val="24"/>
        </w:rPr>
        <w:t>采取“第三方测试＋真实场景验证”相结合：任务成功率按“标准任务集黑盒测试＋领域专家双盲复核”测算；科研效率提升按“同一任务人时/周期对照实验（A/B 对照）”测算；用户规模以平台运行日志与去重认证账户统计；科学突破以同行评议、论文/专利/临床进展等客观证据认定；标准化对接以与操作系统联调通过率与一致性测试评定；系统部署以主责单位跨学科科学发现系统集成验收为准。</w:t>
      </w:r>
    </w:p>
    <w:p w14:paraId="2A288F5B">
      <w:pPr>
        <w:pStyle w:val="3"/>
        <w:spacing w:before="180" w:after="100" w:line="360" w:lineRule="auto"/>
      </w:pPr>
      <w:r>
        <w:rPr>
          <w:rFonts w:ascii="Arial" w:hAnsi="Arial" w:eastAsia="黑体"/>
          <w:b/>
          <w:bCs/>
          <w:color w:val="000000"/>
          <w:sz w:val="28"/>
          <w:szCs w:val="28"/>
        </w:rPr>
        <w:t>2. 项目研究内容、研究方法及技术路线</w:t>
      </w:r>
    </w:p>
    <w:p w14:paraId="1D5EDC09">
      <w:pPr>
        <w:pStyle w:val="4"/>
        <w:spacing w:before="140" w:after="80" w:line="360" w:lineRule="auto"/>
      </w:pPr>
      <w:r>
        <w:rPr>
          <w:rFonts w:ascii="Arial" w:hAnsi="Arial" w:eastAsia="黑体"/>
          <w:b/>
          <w:bCs/>
          <w:color w:val="000000"/>
          <w:sz w:val="24"/>
          <w:szCs w:val="24"/>
        </w:rPr>
        <w:t>（1）项目的主要研究内容</w:t>
      </w:r>
    </w:p>
    <w:p w14:paraId="35388403">
      <w:pPr>
        <w:spacing w:after="60" w:line="360" w:lineRule="auto"/>
        <w:ind w:firstLine="480"/>
        <w:jc w:val="both"/>
      </w:pPr>
      <w:r>
        <w:rPr>
          <w:rFonts w:ascii="Times New Roman" w:hAnsi="Times New Roman" w:eastAsia="宋体"/>
          <w:b/>
          <w:bCs/>
          <w:color w:val="000000"/>
          <w:sz w:val="24"/>
          <w:szCs w:val="24"/>
        </w:rPr>
        <w:t>拟解决的关键科学问题：</w:t>
      </w:r>
      <w:r>
        <w:rPr>
          <w:rFonts w:ascii="Times New Roman" w:hAnsi="Times New Roman" w:eastAsia="宋体"/>
          <w:b w:val="0"/>
          <w:bCs w:val="0"/>
          <w:color w:val="000000"/>
          <w:sz w:val="24"/>
          <w:szCs w:val="24"/>
        </w:rPr>
        <w:t>KS1 知识—机理—实验三元耦合的统一表征——如何将新药创制的领域知识、物理/生化机理模型与实验逻辑统一表征并内嵌于智能体，使其推理受机理约束；KS2 科学假设的自主生成与可信评估——如何在庞大化学-生物空间中自主生成兼具新颖性与可验证性的科学假设并量化其可信度；KS3 干湿闭环实验设计优化与不确定性量化——如何在有限实验预算下优化实验设计并量化不确定性以指导闭环迭代；KS4 智能体推理的因果一致性与幻觉抑制——如何保证多步推理的因果一致、实验方案可实施并抑制幻觉。</w:t>
      </w:r>
    </w:p>
    <w:p w14:paraId="0BF94C04">
      <w:pPr>
        <w:spacing w:after="60" w:line="360" w:lineRule="auto"/>
        <w:ind w:firstLine="480"/>
        <w:jc w:val="both"/>
      </w:pPr>
      <w:r>
        <w:rPr>
          <w:rFonts w:ascii="Times New Roman" w:hAnsi="Times New Roman" w:eastAsia="宋体"/>
          <w:b/>
          <w:bCs/>
          <w:color w:val="000000"/>
          <w:sz w:val="24"/>
          <w:szCs w:val="24"/>
        </w:rPr>
        <w:t>拟解决的关键技术问题：</w:t>
      </w:r>
      <w:r>
        <w:rPr>
          <w:rFonts w:ascii="Times New Roman" w:hAnsi="Times New Roman" w:eastAsia="宋体"/>
          <w:b w:val="0"/>
          <w:bCs w:val="0"/>
          <w:color w:val="000000"/>
          <w:sz w:val="24"/>
          <w:szCs w:val="24"/>
        </w:rPr>
        <w:t>KT1 领域资产（工具/技能/专业模型）的资产化封装与统一调用；KT2 面向科研效率的领域智能体优化算法；KT3 领域智能体与科学智能体操作系统的标准化对接（能力封装规范、接口协议、运行约束）；KT4 与跨学科科学发现系统的互联互通、自动调度、协同编排与安全运行；KT5 领域科学智能体能力验证与评测体系。围绕上述问题，设置五项研究内容。</w:t>
      </w:r>
    </w:p>
    <w:p w14:paraId="0A854099">
      <w:pPr>
        <w:spacing w:after="60" w:line="360" w:lineRule="auto"/>
        <w:ind w:firstLine="480"/>
        <w:jc w:val="both"/>
      </w:pPr>
      <w:r>
        <w:rPr>
          <w:rFonts w:ascii="Times New Roman" w:hAnsi="Times New Roman" w:eastAsia="宋体"/>
          <w:b/>
          <w:bCs/>
          <w:color w:val="000000"/>
          <w:sz w:val="24"/>
          <w:szCs w:val="24"/>
        </w:rPr>
        <w:t>研究内容一：面向新药创制的领域资产汇聚与专业化科学智能体构建</w:t>
      </w:r>
    </w:p>
    <w:p w14:paraId="6A590FD2">
      <w:pPr>
        <w:spacing w:after="60" w:line="360" w:lineRule="auto"/>
        <w:ind w:firstLine="480"/>
        <w:jc w:val="both"/>
      </w:pPr>
      <w:r>
        <w:rPr>
          <w:rFonts w:ascii="Times New Roman" w:hAnsi="Times New Roman" w:eastAsia="宋体"/>
          <w:b w:val="0"/>
          <w:bCs w:val="0"/>
          <w:color w:val="000000"/>
          <w:sz w:val="24"/>
          <w:szCs w:val="24"/>
        </w:rPr>
        <w:t>汇聚新药创制领域的专业工具、技能与专业模型资产（结构预测、分子生成、对接与自由能计算、ADMET/成药性预测、逆合成规划、文献/专利/组学知识等），构建领域知识图谱与机理约束表征，形成“知识—机理—实验”三元耦合的统一表征（对应 KS1、KT1）。在此基础上研制内嵌领域知识、模型与实验逻辑的专业化领域科学智能体，具备科学假设生成、实验设计与结果分析等核心能力，并支持“规划—执行—反思—记忆”的自主科研闭环。</w:t>
      </w:r>
    </w:p>
    <w:p w14:paraId="75D4A2C9">
      <w:pPr>
        <w:spacing w:after="60" w:line="360" w:lineRule="auto"/>
        <w:ind w:firstLine="480"/>
        <w:jc w:val="both"/>
      </w:pPr>
      <w:r>
        <w:rPr>
          <w:rFonts w:ascii="Times New Roman" w:hAnsi="Times New Roman" w:eastAsia="宋体"/>
          <w:b/>
          <w:bCs/>
          <w:color w:val="000000"/>
          <w:sz w:val="24"/>
          <w:szCs w:val="24"/>
        </w:rPr>
        <w:t>研究内容二：面向新药创制场景的智能体科研优化算法</w:t>
      </w:r>
    </w:p>
    <w:p w14:paraId="4FC802C3">
      <w:pPr>
        <w:spacing w:after="60" w:line="360" w:lineRule="auto"/>
        <w:ind w:firstLine="480"/>
        <w:jc w:val="both"/>
      </w:pPr>
      <w:r>
        <w:rPr>
          <w:rFonts w:ascii="Times New Roman" w:hAnsi="Times New Roman" w:eastAsia="宋体"/>
          <w:b w:val="0"/>
          <w:bCs w:val="0"/>
          <w:color w:val="000000"/>
          <w:sz w:val="24"/>
          <w:szCs w:val="24"/>
        </w:rPr>
        <w:t>研究科学智能体在新药创制重点领域的优化算法（对应 KS2、KS3、KT2），提升科研工作能力与效率：面向假设生成与实验设计，建立过程级奖励强化学习与主动学习/贝叶斯优化相结合的科研策略优化方法；面向多目标（活性—选择性—成药性—可合成性）优化，建立可信评估与不确定性量化机制；面向复杂任务，建立多智能体角色分工与协同编排的效率优化算法。</w:t>
      </w:r>
    </w:p>
    <w:p w14:paraId="0180BCEF">
      <w:pPr>
        <w:spacing w:after="60" w:line="360" w:lineRule="auto"/>
        <w:ind w:firstLine="480"/>
        <w:jc w:val="both"/>
      </w:pPr>
      <w:r>
        <w:rPr>
          <w:rFonts w:ascii="Times New Roman" w:hAnsi="Times New Roman" w:eastAsia="宋体"/>
          <w:b/>
          <w:bCs/>
          <w:color w:val="000000"/>
          <w:sz w:val="24"/>
          <w:szCs w:val="24"/>
        </w:rPr>
        <w:t>研究内容三：领域科学智能体与科学智能体操作系统的标准化对接机制</w:t>
      </w:r>
    </w:p>
    <w:p w14:paraId="519BFEC8">
      <w:pPr>
        <w:spacing w:after="60" w:line="360" w:lineRule="auto"/>
        <w:ind w:firstLine="480"/>
        <w:jc w:val="both"/>
      </w:pPr>
      <w:r>
        <w:rPr>
          <w:rFonts w:ascii="Times New Roman" w:hAnsi="Times New Roman" w:eastAsia="宋体"/>
          <w:b w:val="0"/>
          <w:bCs w:val="0"/>
          <w:color w:val="000000"/>
          <w:sz w:val="24"/>
          <w:szCs w:val="24"/>
        </w:rPr>
        <w:t>研究领域智能体与科学智能体操作系统的标准化对接（对应 KT3），形成统一的能力封装规范、接口协议与运行约束：定义智能体/工具/模型的能力描述、输入输出契约、状态与权限模型；设计安全沙箱与运行约束（资源、数据合规、可审计）；使领域智能体可被操作系统发现、注册、校验与统一调用。</w:t>
      </w:r>
    </w:p>
    <w:p w14:paraId="45668AE0">
      <w:pPr>
        <w:spacing w:after="60" w:line="360" w:lineRule="auto"/>
        <w:ind w:firstLine="480"/>
        <w:jc w:val="both"/>
      </w:pPr>
      <w:r>
        <w:rPr>
          <w:rFonts w:ascii="Times New Roman" w:hAnsi="Times New Roman" w:eastAsia="宋体"/>
          <w:b/>
          <w:bCs/>
          <w:color w:val="000000"/>
          <w:sz w:val="24"/>
          <w:szCs w:val="24"/>
        </w:rPr>
        <w:t>研究内容四：领域智能体与跨学科科学发现系统的互联互通与安全运行</w:t>
      </w:r>
    </w:p>
    <w:p w14:paraId="0ACD3805">
      <w:pPr>
        <w:spacing w:after="60" w:line="360" w:lineRule="auto"/>
        <w:ind w:firstLine="480"/>
        <w:jc w:val="both"/>
      </w:pPr>
      <w:r>
        <w:rPr>
          <w:rFonts w:ascii="Times New Roman" w:hAnsi="Times New Roman" w:eastAsia="宋体"/>
          <w:b w:val="0"/>
          <w:bCs w:val="0"/>
          <w:color w:val="000000"/>
          <w:sz w:val="24"/>
          <w:szCs w:val="24"/>
        </w:rPr>
        <w:t>推动领域科学智能体与跨学科科学发现系统的互联互通（对应 KS4、KT4），实现领域智能体被系统自动调度、协同编排与安全运行；研究跨领域智能体协作机制与冲突消解、幻觉检测与机理对齐、证据链溯源与因果一致性判定，保障闭环可信；构建干湿闭环（AI 预测—自动化实验执行—数据反哺）以支撑真实科研运行。</w:t>
      </w:r>
    </w:p>
    <w:p w14:paraId="04C460EB">
      <w:pPr>
        <w:spacing w:after="60" w:line="360" w:lineRule="auto"/>
        <w:ind w:firstLine="480"/>
        <w:jc w:val="both"/>
      </w:pPr>
      <w:r>
        <w:rPr>
          <w:rFonts w:ascii="Times New Roman" w:hAnsi="Times New Roman" w:eastAsia="宋体"/>
          <w:b/>
          <w:bCs/>
          <w:color w:val="000000"/>
          <w:sz w:val="24"/>
          <w:szCs w:val="24"/>
        </w:rPr>
        <w:t>研究内容五：领域科学智能体能力验证与评测体系</w:t>
      </w:r>
    </w:p>
    <w:p w14:paraId="1DFEE96C">
      <w:pPr>
        <w:spacing w:after="60" w:line="360" w:lineRule="auto"/>
        <w:ind w:firstLine="480"/>
        <w:jc w:val="both"/>
      </w:pPr>
      <w:r>
        <w:rPr>
          <w:rFonts w:ascii="Times New Roman" w:hAnsi="Times New Roman" w:eastAsia="宋体"/>
          <w:b w:val="0"/>
          <w:bCs w:val="0"/>
          <w:color w:val="000000"/>
          <w:sz w:val="24"/>
          <w:szCs w:val="24"/>
        </w:rPr>
        <w:t>构建领域科学智能体能力验证与评测体系（对应 KT5），面向真实新药创制场景实现系统性评估：建立覆盖核心发现环节的评测基准与任务集，制定任务成功率、科研效率提升、可实施率、幻觉率等指标口径与测算方法，支持黑盒/双盲评测与回归评测，为部署验收与开放服务提供依据。</w:t>
      </w:r>
    </w:p>
    <w:p w14:paraId="4B6AC762">
      <w:pPr>
        <w:pStyle w:val="4"/>
        <w:spacing w:before="140" w:after="80" w:line="360" w:lineRule="auto"/>
      </w:pPr>
      <w:r>
        <w:rPr>
          <w:rFonts w:ascii="Arial" w:hAnsi="Arial" w:eastAsia="黑体"/>
          <w:b/>
          <w:bCs/>
          <w:color w:val="000000"/>
          <w:sz w:val="24"/>
          <w:szCs w:val="24"/>
        </w:rPr>
        <w:t>（2）项目拟采取的研究方法</w:t>
      </w:r>
    </w:p>
    <w:p w14:paraId="1730B8C3">
      <w:pPr>
        <w:spacing w:after="60" w:line="360" w:lineRule="auto"/>
        <w:ind w:firstLine="480"/>
        <w:jc w:val="both"/>
      </w:pPr>
      <w:r>
        <w:rPr>
          <w:rFonts w:ascii="Times New Roman" w:hAnsi="Times New Roman" w:eastAsia="宋体"/>
          <w:b w:val="0"/>
          <w:bCs w:val="0"/>
          <w:color w:val="000000"/>
          <w:sz w:val="24"/>
          <w:szCs w:val="24"/>
        </w:rPr>
        <w:t>① 领域知识内嵌：以领域知识图谱＋检索增强生成（RAG）＋机理/物理约束嵌入，实现“知识—机理—实验”统一表征与受约束推理。② 智能体架构：采用“规划—执行—反思—记忆”框架与工具学习（tool learning），以专业模型为可调用能力单元，支撑自主科研闭环。③ 科研优化算法：以过程级奖励强化学习优化科研策略，以主动学习/贝叶斯优化进行实验设计，以多智能体协同编排（角色分工、黑板协作）提升复杂任务效率。④ 标准化对接：借鉴 MCP 等接口范式，设计统一能力封装规范与接口协议，定义运行约束与安全沙箱，实现与操作系统的标准对接。⑤ 可信闭环：以幻觉检测与机理对齐、因果一致性判定、证据链溯源保障闭环可信。⑥ 干湿闭环：以“AI 预测—自动化实验执行—数据反哺”迭代验证。⑦ 系统评测：构建真实场景任务集，采用黑盒/双盲评测与回归评测量化能力。</w:t>
      </w:r>
    </w:p>
    <w:p w14:paraId="24AB6D87">
      <w:pPr>
        <w:pStyle w:val="4"/>
        <w:spacing w:before="140" w:after="80" w:line="360" w:lineRule="auto"/>
      </w:pPr>
      <w:r>
        <w:rPr>
          <w:rFonts w:ascii="Arial" w:hAnsi="Arial" w:eastAsia="黑体"/>
          <w:b/>
          <w:bCs/>
          <w:color w:val="000000"/>
          <w:sz w:val="24"/>
          <w:szCs w:val="24"/>
        </w:rPr>
        <w:t>项目研究方法（技术路线）的可行性、先进性分析</w:t>
      </w:r>
    </w:p>
    <w:p w14:paraId="5F1A0A1A">
      <w:pPr>
        <w:spacing w:after="60" w:line="360" w:lineRule="auto"/>
        <w:ind w:firstLine="480"/>
        <w:jc w:val="both"/>
      </w:pPr>
      <w:r>
        <w:rPr>
          <w:rFonts w:ascii="Times New Roman" w:hAnsi="Times New Roman" w:eastAsia="宋体"/>
          <w:b/>
          <w:bCs/>
          <w:color w:val="000000"/>
          <w:sz w:val="24"/>
          <w:szCs w:val="24"/>
        </w:rPr>
        <w:t>可行性：</w:t>
      </w:r>
      <w:r>
        <w:rPr>
          <w:rFonts w:ascii="Times New Roman" w:hAnsi="Times New Roman" w:eastAsia="宋体"/>
          <w:b w:val="0"/>
          <w:bCs w:val="0"/>
          <w:color w:val="000000"/>
          <w:sz w:val="24"/>
          <w:szCs w:val="24"/>
        </w:rPr>
        <w:t>技术可行——结构预测、分子生成、成药性预测等专业模型已成熟且部分开源，MCP 等接口范式可复用，干湿闭环已在国内头部机构规模化落地；数据可行——可依托 AI-Ready 科学数据平台与团队自有数据；平台可行——依托主责单位跨学科科学发现系统提供调度、编排与运行底座；组织可行——采取“研究内容并行、里程碑对齐、评测贯穿”的技术路线，风险可控（对高风险环节设置替代方案，如过渡性接口先行、评测基准分级建设）。</w:t>
      </w:r>
    </w:p>
    <w:p w14:paraId="390686BD">
      <w:pPr>
        <w:spacing w:after="60" w:line="360" w:lineRule="auto"/>
        <w:ind w:firstLine="480"/>
        <w:jc w:val="both"/>
      </w:pPr>
      <w:r>
        <w:rPr>
          <w:rFonts w:ascii="Times New Roman" w:hAnsi="Times New Roman" w:eastAsia="宋体"/>
          <w:b/>
          <w:bCs/>
          <w:color w:val="000000"/>
          <w:sz w:val="24"/>
          <w:szCs w:val="24"/>
        </w:rPr>
        <w:t>先进性：</w:t>
      </w:r>
      <w:r>
        <w:rPr>
          <w:rFonts w:ascii="Times New Roman" w:hAnsi="Times New Roman" w:eastAsia="宋体"/>
          <w:b w:val="0"/>
          <w:bCs w:val="0"/>
          <w:color w:val="000000"/>
          <w:sz w:val="24"/>
          <w:szCs w:val="24"/>
        </w:rPr>
        <w:t>① 由“单点工具”升级为“内嵌知识—机理—实验的专业化领域智能体”；② 由“人工编排”升级为“过程级奖励＋多智能体自主协同编排”；③ 由“私有接口”升级为“统一能力封装规范与操作系统标准对接”；④ 由“通用科研评测”升级为“真实新药创制场景系统性评测”。对标国际 IsoDDE、Biomni、ChemCrow 等，本项目突出“领域专业化＋标准化对接＋系统级可信闭环”的一体化优势，形成可被跨学科科学发现系统统一调度的领域能力单元。</w:t>
      </w:r>
    </w:p>
    <w:p w14:paraId="57436D5B">
      <w:pPr>
        <w:pStyle w:val="3"/>
        <w:spacing w:before="180" w:after="100" w:line="360" w:lineRule="auto"/>
      </w:pPr>
      <w:r>
        <w:rPr>
          <w:rFonts w:ascii="Arial" w:hAnsi="Arial" w:eastAsia="黑体"/>
          <w:b/>
          <w:bCs/>
          <w:color w:val="000000"/>
          <w:sz w:val="28"/>
          <w:szCs w:val="28"/>
        </w:rPr>
        <w:t>3. 主要创新点</w:t>
      </w:r>
    </w:p>
    <w:p w14:paraId="2A4FDD50">
      <w:pPr>
        <w:spacing w:after="60" w:line="360" w:lineRule="auto"/>
        <w:ind w:firstLine="480"/>
        <w:jc w:val="both"/>
      </w:pPr>
      <w:r>
        <w:rPr>
          <w:rFonts w:ascii="Times New Roman" w:hAnsi="Times New Roman" w:eastAsia="宋体"/>
          <w:b/>
          <w:bCs/>
          <w:color w:val="000000"/>
          <w:sz w:val="24"/>
          <w:szCs w:val="24"/>
        </w:rPr>
        <w:t>创新点一：知识—机理—实验三元融合的专业化新药创制科学智能体</w:t>
      </w:r>
    </w:p>
    <w:p w14:paraId="0B278AFA">
      <w:pPr>
        <w:spacing w:after="60" w:line="360" w:lineRule="auto"/>
        <w:ind w:firstLine="480"/>
        <w:jc w:val="both"/>
      </w:pPr>
      <w:r>
        <w:rPr>
          <w:rFonts w:ascii="Times New Roman" w:hAnsi="Times New Roman" w:eastAsia="宋体"/>
          <w:b w:val="0"/>
          <w:bCs w:val="0"/>
          <w:color w:val="000000"/>
          <w:sz w:val="24"/>
          <w:szCs w:val="24"/>
        </w:rPr>
        <w:t>首次将新药创制领域知识、物理/生化机理模型与实验逻辑统一表征并内嵌于智能体，构建“知识—机理—实验”三元耦合架构，使假设生成、实验设计与结果分析受机理约束、可解释、可验证，突破通用智能体“知识浅、机理弱、不可信”的局限，形成覆盖核心发现环节的专业化领域科学智能体。</w:t>
      </w:r>
    </w:p>
    <w:p w14:paraId="301C29D3">
      <w:pPr>
        <w:spacing w:after="60" w:line="360" w:lineRule="auto"/>
        <w:ind w:firstLine="480"/>
        <w:jc w:val="both"/>
      </w:pPr>
      <w:r>
        <w:rPr>
          <w:rFonts w:ascii="Times New Roman" w:hAnsi="Times New Roman" w:eastAsia="宋体"/>
          <w:b/>
          <w:bCs/>
          <w:color w:val="000000"/>
          <w:sz w:val="24"/>
          <w:szCs w:val="24"/>
        </w:rPr>
        <w:t>创新点二：面向科研效率的领域智能体优化算法</w:t>
      </w:r>
    </w:p>
    <w:p w14:paraId="7A070AE8">
      <w:pPr>
        <w:spacing w:after="60" w:line="360" w:lineRule="auto"/>
        <w:ind w:firstLine="480"/>
        <w:jc w:val="both"/>
      </w:pPr>
      <w:r>
        <w:rPr>
          <w:rFonts w:ascii="Times New Roman" w:hAnsi="Times New Roman" w:eastAsia="宋体"/>
          <w:b w:val="0"/>
          <w:bCs w:val="0"/>
          <w:color w:val="000000"/>
          <w:sz w:val="24"/>
          <w:szCs w:val="24"/>
        </w:rPr>
        <w:t>提出面向新药创制的智能体科研优化算法，以过程级奖励强化学习优化科研策略、以主动学习/贝叶斯优化优化实验设计、以多智能体协同编排提升复杂任务效率，并配套多目标可信评估与不确定性量化，实现较传统科研模式≥200% 的效率提升与≥95% 的任务成功率。</w:t>
      </w:r>
    </w:p>
    <w:p w14:paraId="3F3AC8CA">
      <w:pPr>
        <w:spacing w:after="60" w:line="360" w:lineRule="auto"/>
        <w:ind w:firstLine="480"/>
        <w:jc w:val="both"/>
      </w:pPr>
      <w:r>
        <w:rPr>
          <w:rFonts w:ascii="Times New Roman" w:hAnsi="Times New Roman" w:eastAsia="宋体"/>
          <w:b/>
          <w:bCs/>
          <w:color w:val="000000"/>
          <w:sz w:val="24"/>
          <w:szCs w:val="24"/>
        </w:rPr>
        <w:t>创新点三：领域智能体能力标准化封装与操作系统对接协议</w:t>
      </w:r>
    </w:p>
    <w:p w14:paraId="7512E917">
      <w:pPr>
        <w:spacing w:after="60" w:line="360" w:lineRule="auto"/>
        <w:ind w:firstLine="480"/>
        <w:jc w:val="both"/>
      </w:pPr>
      <w:r>
        <w:rPr>
          <w:rFonts w:ascii="Times New Roman" w:hAnsi="Times New Roman" w:eastAsia="宋体"/>
          <w:b w:val="0"/>
          <w:bCs w:val="0"/>
          <w:color w:val="000000"/>
          <w:sz w:val="24"/>
          <w:szCs w:val="24"/>
        </w:rPr>
        <w:t>建立统一的能力封装规范、接口协议与运行约束，使领域智能体可被科学智能体操作系统自动发现、注册、校验、调度、协同编排与安全运行，破解智能体“私有化、难协同、难调度”瓶颈，形成可推广的标准化对接范式与安全沙箱机制。</w:t>
      </w:r>
    </w:p>
    <w:p w14:paraId="6FDF4D50">
      <w:pPr>
        <w:spacing w:after="60" w:line="360" w:lineRule="auto"/>
        <w:ind w:firstLine="480"/>
        <w:jc w:val="both"/>
      </w:pPr>
      <w:r>
        <w:rPr>
          <w:rFonts w:ascii="Times New Roman" w:hAnsi="Times New Roman" w:eastAsia="宋体"/>
          <w:b/>
          <w:bCs/>
          <w:color w:val="000000"/>
          <w:sz w:val="24"/>
          <w:szCs w:val="24"/>
        </w:rPr>
        <w:t>创新点四：面向真实新药创制场景的系统性能力评测体系</w:t>
      </w:r>
    </w:p>
    <w:p w14:paraId="2F1DE645">
      <w:pPr>
        <w:spacing w:after="60" w:line="360" w:lineRule="auto"/>
        <w:ind w:firstLine="480"/>
        <w:jc w:val="both"/>
      </w:pPr>
      <w:r>
        <w:rPr>
          <w:rFonts w:ascii="Times New Roman" w:hAnsi="Times New Roman" w:eastAsia="宋体"/>
          <w:b w:val="0"/>
          <w:bCs w:val="0"/>
          <w:color w:val="000000"/>
          <w:sz w:val="24"/>
          <w:szCs w:val="24"/>
        </w:rPr>
        <w:t>构建覆盖核心发现环节的真实场景评测基准与任务集，制定任务成功率、科研效率提升、可实施率与幻觉率等统一口径与测算方法，支持黑盒/双盲与回归评测，填补领域科学智能体系统性评测标准空白，为部署验收与开放服务提供客观依据。</w:t>
      </w:r>
    </w:p>
    <w:p w14:paraId="4A098A5B">
      <w:pPr>
        <w:spacing w:after="60" w:line="360" w:lineRule="auto"/>
        <w:ind w:firstLine="480"/>
      </w:pPr>
      <w:r>
        <w:rPr>
          <w:rFonts w:ascii="Times New Roman" w:hAnsi="Times New Roman" w:eastAsia="楷体"/>
          <w:b w:val="0"/>
          <w:bCs w:val="0"/>
          <w:color w:val="C00000"/>
          <w:sz w:val="22"/>
          <w:szCs w:val="22"/>
        </w:rPr>
        <w:t>【撰写分工·计划】7 月 8 日——参考课题指南、围绕撰写提纲，完成上述负责部分内容初稿，供项目组统稿。</w:t>
      </w:r>
    </w:p>
    <w:p w14:paraId="32E4251A">
      <w:pPr>
        <w:pStyle w:val="2"/>
        <w:spacing w:before="240" w:after="120" w:line="360" w:lineRule="auto"/>
      </w:pPr>
      <w:r>
        <w:rPr>
          <w:rFonts w:ascii="Arial" w:hAnsi="Arial" w:eastAsia="黑体"/>
          <w:b/>
          <w:bCs/>
          <w:color w:val="000000"/>
          <w:sz w:val="32"/>
          <w:szCs w:val="32"/>
        </w:rPr>
        <w:t>参考文献</w:t>
      </w:r>
    </w:p>
    <w:p w14:paraId="3DBFC26B">
      <w:pPr>
        <w:spacing w:after="60" w:line="360" w:lineRule="auto"/>
        <w:ind w:firstLine="480"/>
      </w:pPr>
      <w:r>
        <w:rPr>
          <w:rFonts w:ascii="Times New Roman" w:hAnsi="Times New Roman" w:eastAsia="楷体"/>
          <w:b w:val="0"/>
          <w:bCs w:val="0"/>
          <w:color w:val="C00000"/>
          <w:sz w:val="22"/>
          <w:szCs w:val="22"/>
        </w:rPr>
        <w:t>说明：以下 11 项文献均经公开数据库（Nature、Science、Cell、PubMed、ScienceDirect、OpenReview 等）逐条核实，题名、刊名、卷（期）、页码及 DOI 真实可查，著录格式遵循 GB/T 7714—2015。</w:t>
      </w:r>
    </w:p>
    <w:p w14:paraId="3DE0049B">
      <w:pPr>
        <w:spacing w:after="60" w:line="320" w:lineRule="auto"/>
        <w:ind w:left="480" w:hanging="480"/>
        <w:jc w:val="both"/>
      </w:pPr>
      <w:r>
        <w:rPr>
          <w:rFonts w:ascii="Times New Roman" w:hAnsi="Times New Roman" w:eastAsia="宋体"/>
          <w:b w:val="0"/>
          <w:bCs w:val="0"/>
          <w:color w:val="000000"/>
          <w:sz w:val="22"/>
          <w:szCs w:val="22"/>
        </w:rPr>
        <w:t>[1] JUMPER J, EVANS R, PRITZEL A, et al. Highly accurate protein structure prediction with AlphaFold[J]. Nature, 2021, 596(7873): 583-589. DOI: 10.1038/s41586-021-03819-2.</w:t>
      </w:r>
    </w:p>
    <w:p w14:paraId="48CC6F4E">
      <w:pPr>
        <w:spacing w:after="60" w:line="320" w:lineRule="auto"/>
        <w:ind w:left="480" w:hanging="480"/>
        <w:jc w:val="both"/>
      </w:pPr>
      <w:r>
        <w:rPr>
          <w:rFonts w:ascii="Times New Roman" w:hAnsi="Times New Roman" w:eastAsia="宋体"/>
          <w:b w:val="0"/>
          <w:bCs w:val="0"/>
          <w:color w:val="000000"/>
          <w:sz w:val="22"/>
          <w:szCs w:val="22"/>
        </w:rPr>
        <w:t>[2] ABRAMSON J, ADLER J, DUNGER J, et al. Accurate structure prediction of biomolecular interactions with AlphaFold 3[J]. Nature, 2024, 630(8016): 493-500. DOI: 10.1038/s41586-024-07487-w.</w:t>
      </w:r>
    </w:p>
    <w:p w14:paraId="28A252ED">
      <w:pPr>
        <w:spacing w:after="60" w:line="320" w:lineRule="auto"/>
        <w:ind w:left="480" w:hanging="480"/>
        <w:jc w:val="both"/>
      </w:pPr>
      <w:r>
        <w:rPr>
          <w:rFonts w:ascii="Times New Roman" w:hAnsi="Times New Roman" w:eastAsia="宋体"/>
          <w:b w:val="0"/>
          <w:bCs w:val="0"/>
          <w:color w:val="000000"/>
          <w:sz w:val="22"/>
          <w:szCs w:val="22"/>
        </w:rPr>
        <w:t>[3] WANG H, FU T, DU Y, et al. Scientific discovery in the age of artificial intelligence[J]. Nature, 2023, 620(7972): 47-60. DOI: 10.1038/s41586-023-06221-2.</w:t>
      </w:r>
    </w:p>
    <w:p w14:paraId="6E263A4E">
      <w:pPr>
        <w:spacing w:after="60" w:line="320" w:lineRule="auto"/>
        <w:ind w:left="480" w:hanging="480"/>
        <w:jc w:val="both"/>
      </w:pPr>
      <w:r>
        <w:rPr>
          <w:rFonts w:ascii="Times New Roman" w:hAnsi="Times New Roman" w:eastAsia="宋体"/>
          <w:b w:val="0"/>
          <w:bCs w:val="0"/>
          <w:color w:val="000000"/>
          <w:sz w:val="22"/>
          <w:szCs w:val="22"/>
        </w:rPr>
        <w:t>[4] BAEK M, DIMAIO F, ANISHCHENKO I, et al. Accurate prediction of protein structures and interactions using a three-track neural network[J]. Science, 2021, 373(6557): 871-876. DOI: 10.1126/science.abj8754.</w:t>
      </w:r>
    </w:p>
    <w:p w14:paraId="7959D4B5">
      <w:pPr>
        <w:spacing w:after="60" w:line="320" w:lineRule="auto"/>
        <w:ind w:left="480" w:hanging="480"/>
        <w:jc w:val="both"/>
      </w:pPr>
      <w:r>
        <w:rPr>
          <w:rFonts w:ascii="Times New Roman" w:hAnsi="Times New Roman" w:eastAsia="宋体"/>
          <w:b w:val="0"/>
          <w:bCs w:val="0"/>
          <w:color w:val="000000"/>
          <w:sz w:val="22"/>
          <w:szCs w:val="22"/>
        </w:rPr>
        <w:t>[5] WATSON J L, JUERGENS D, BENNETT N R, et al. De novo design of protein structure and function with RFdiffusion[J]. Nature, 2023, 620(7976): 1089-1100. DOI: 10.1038/s41586-023-06415-8.</w:t>
      </w:r>
    </w:p>
    <w:p w14:paraId="75AE978E">
      <w:pPr>
        <w:spacing w:after="60" w:line="320" w:lineRule="auto"/>
        <w:ind w:left="480" w:hanging="480"/>
        <w:jc w:val="both"/>
      </w:pPr>
      <w:r>
        <w:rPr>
          <w:rFonts w:ascii="Times New Roman" w:hAnsi="Times New Roman" w:eastAsia="宋体"/>
          <w:b w:val="0"/>
          <w:bCs w:val="0"/>
          <w:color w:val="000000"/>
          <w:sz w:val="22"/>
          <w:szCs w:val="22"/>
        </w:rPr>
        <w:t>[6] ZHAVORONKOV A, IVANENKOV Y A, ALIPER A, et al. Deep learning enables rapid identification of potent DDR1 kinase inhibitors[J]. Nature Biotechnology, 2019, 37(9): 1038-1040. DOI: 10.1038/s41587-019-0224-x.</w:t>
      </w:r>
    </w:p>
    <w:p w14:paraId="2C2A7513">
      <w:pPr>
        <w:spacing w:after="60" w:line="320" w:lineRule="auto"/>
        <w:ind w:left="480" w:hanging="480"/>
        <w:jc w:val="both"/>
      </w:pPr>
      <w:r>
        <w:rPr>
          <w:rFonts w:ascii="Times New Roman" w:hAnsi="Times New Roman" w:eastAsia="宋体"/>
          <w:b w:val="0"/>
          <w:bCs w:val="0"/>
          <w:color w:val="000000"/>
          <w:sz w:val="22"/>
          <w:szCs w:val="22"/>
        </w:rPr>
        <w:t>[7] M. BRAN A, COX S, SCHILTER O, et al. Augmenting large language models with chemistry tools[J]. Nature Machine Intelligence, 2024, 6(5): 525-535. DOI: 10.1038/s42256-024-00832-8.</w:t>
      </w:r>
    </w:p>
    <w:p w14:paraId="7F9B665E">
      <w:pPr>
        <w:spacing w:after="60" w:line="320" w:lineRule="auto"/>
        <w:ind w:left="480" w:hanging="480"/>
        <w:jc w:val="both"/>
      </w:pPr>
      <w:r>
        <w:rPr>
          <w:rFonts w:ascii="Times New Roman" w:hAnsi="Times New Roman" w:eastAsia="宋体"/>
          <w:b w:val="0"/>
          <w:bCs w:val="0"/>
          <w:color w:val="000000"/>
          <w:sz w:val="22"/>
          <w:szCs w:val="22"/>
        </w:rPr>
        <w:t>[8] STOKES J M, YANG K, SWANSON K, et al. A deep learning approach to antibiotic discovery[J]. Cell, 2020, 180(4): 688-702. DOI: 10.1016/j.cell.2020.01.021.</w:t>
      </w:r>
    </w:p>
    <w:p w14:paraId="5A8EA838">
      <w:pPr>
        <w:spacing w:after="60" w:line="320" w:lineRule="auto"/>
        <w:ind w:left="480" w:hanging="480"/>
        <w:jc w:val="both"/>
      </w:pPr>
      <w:r>
        <w:rPr>
          <w:rFonts w:ascii="Times New Roman" w:hAnsi="Times New Roman" w:eastAsia="宋体"/>
          <w:b w:val="0"/>
          <w:bCs w:val="0"/>
          <w:color w:val="000000"/>
          <w:sz w:val="22"/>
          <w:szCs w:val="22"/>
        </w:rPr>
        <w:t>[9] GAO S, FANG A, HUANG Y, et al. Empowering biomedical discovery with AI agents[J]. Cell, 2024, 187(22): 6125-6151. DOI: 10.1016/j.cell.2024.09.022.</w:t>
      </w:r>
    </w:p>
    <w:p w14:paraId="6F0F693E">
      <w:pPr>
        <w:spacing w:after="60" w:line="320" w:lineRule="auto"/>
        <w:ind w:left="480" w:hanging="480"/>
        <w:jc w:val="both"/>
      </w:pPr>
      <w:r>
        <w:rPr>
          <w:rFonts w:ascii="Times New Roman" w:hAnsi="Times New Roman" w:eastAsia="宋体"/>
          <w:b w:val="0"/>
          <w:bCs w:val="0"/>
          <w:color w:val="000000"/>
          <w:sz w:val="22"/>
          <w:szCs w:val="22"/>
        </w:rPr>
        <w:t>[10] ZHOU G, GAO Z, DING Q, et al. Uni-Mol: a universal 3D molecular representation learning framework[C]//The Eleventh International Conference on Learning Representations (ICLR 2023). 2023. (OpenReview: 6K2RM6wVqKu).</w:t>
      </w:r>
    </w:p>
    <w:p w14:paraId="37178DF4">
      <w:pPr>
        <w:spacing w:after="60" w:line="320" w:lineRule="auto"/>
        <w:ind w:left="480" w:hanging="480"/>
        <w:jc w:val="both"/>
      </w:pPr>
      <w:r>
        <w:rPr>
          <w:rFonts w:ascii="Times New Roman" w:hAnsi="Times New Roman" w:eastAsia="宋体"/>
          <w:b w:val="0"/>
          <w:bCs w:val="0"/>
          <w:color w:val="000000"/>
          <w:sz w:val="22"/>
          <w:szCs w:val="22"/>
        </w:rPr>
        <w:t>[11] BOIKO D A, MACKNIGHT R, KLINE B, et al. Autonomous chemical research with large language models[J]. Nature, 2023, 624(7992): 570-578. DOI: 10.1038/s41586-023-06792-0.</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compat>
    <w:useFELayout/>
    <w:compatSetting w:name="compatibilityMode" w:uri="http://schemas.microsoft.com/office/word" w:val="15"/>
  </w:compat>
  <w:rsids>
    <w:rsidRoot w:val="00000000"/>
    <w:rsid w:val="0CA710DF"/>
    <w:rsid w:val="167E23F1"/>
    <w:rsid w:val="37E91063"/>
    <w:rsid w:val="59205A6E"/>
    <w:rsid w:val="5E0C48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sz w:val="24"/>
      <w:szCs w:val="24"/>
    </w:rPr>
  </w:style>
  <w:style w:type="paragraph" w:styleId="2">
    <w:name w:val="heading 1"/>
    <w:next w:val="1"/>
    <w:qFormat/>
    <w:uiPriority w:val="0"/>
    <w:rPr>
      <w:rFonts w:ascii="Times New Roman" w:hAnsi="Times New Roman" w:eastAsia="宋体" w:cstheme="minorBidi"/>
      <w:color w:val="2E74B5"/>
      <w:sz w:val="32"/>
      <w:szCs w:val="32"/>
    </w:rPr>
  </w:style>
  <w:style w:type="paragraph" w:styleId="3">
    <w:name w:val="heading 2"/>
    <w:next w:val="1"/>
    <w:qFormat/>
    <w:uiPriority w:val="0"/>
    <w:rPr>
      <w:rFonts w:ascii="Times New Roman" w:hAnsi="Times New Roman" w:eastAsia="宋体" w:cstheme="minorBidi"/>
      <w:color w:val="2E74B5"/>
      <w:sz w:val="26"/>
      <w:szCs w:val="26"/>
    </w:rPr>
  </w:style>
  <w:style w:type="paragraph" w:styleId="4">
    <w:name w:val="heading 3"/>
    <w:next w:val="1"/>
    <w:qFormat/>
    <w:uiPriority w:val="0"/>
    <w:rPr>
      <w:rFonts w:ascii="Times New Roman" w:hAnsi="Times New Roman" w:eastAsia="宋体" w:cstheme="minorBidi"/>
      <w:color w:val="1F4D78"/>
      <w:sz w:val="24"/>
      <w:szCs w:val="24"/>
    </w:rPr>
  </w:style>
  <w:style w:type="paragraph" w:styleId="5">
    <w:name w:val="heading 4"/>
    <w:next w:val="1"/>
    <w:qFormat/>
    <w:uiPriority w:val="0"/>
    <w:rPr>
      <w:rFonts w:ascii="Times New Roman" w:hAnsi="Times New Roman" w:eastAsia="宋体" w:cstheme="minorBidi"/>
      <w:i/>
      <w:iCs/>
      <w:color w:val="2E74B5"/>
      <w:sz w:val="24"/>
      <w:szCs w:val="24"/>
    </w:rPr>
  </w:style>
  <w:style w:type="paragraph" w:styleId="6">
    <w:name w:val="heading 5"/>
    <w:next w:val="1"/>
    <w:qFormat/>
    <w:uiPriority w:val="0"/>
    <w:rPr>
      <w:rFonts w:ascii="Times New Roman" w:hAnsi="Times New Roman" w:eastAsia="宋体" w:cstheme="minorBidi"/>
      <w:color w:val="2E74B5"/>
      <w:sz w:val="24"/>
      <w:szCs w:val="24"/>
    </w:rPr>
  </w:style>
  <w:style w:type="paragraph" w:styleId="7">
    <w:name w:val="heading 6"/>
    <w:next w:val="1"/>
    <w:qFormat/>
    <w:uiPriority w:val="0"/>
    <w:rPr>
      <w:rFonts w:ascii="Times New Roman" w:hAnsi="Times New Roman" w:eastAsia="宋体" w:cstheme="minorBidi"/>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Times New Roman" w:hAnsi="Times New Roman" w:eastAsia="宋体" w:cstheme="minorBidi"/>
      <w:sz w:val="20"/>
      <w:szCs w:val="20"/>
    </w:rPr>
  </w:style>
  <w:style w:type="paragraph" w:styleId="9">
    <w:name w:val="footnote text"/>
    <w:link w:val="17"/>
    <w:semiHidden/>
    <w:unhideWhenUsed/>
    <w:qFormat/>
    <w:uiPriority w:val="99"/>
    <w:pPr>
      <w:spacing w:after="0" w:line="240" w:lineRule="auto"/>
    </w:pPr>
    <w:rPr>
      <w:rFonts w:ascii="Times New Roman" w:hAnsi="Times New Roman" w:eastAsia="宋体" w:cstheme="minorBidi"/>
      <w:sz w:val="20"/>
      <w:szCs w:val="20"/>
    </w:rPr>
  </w:style>
  <w:style w:type="paragraph" w:styleId="10">
    <w:name w:val="Title"/>
    <w:qFormat/>
    <w:uiPriority w:val="0"/>
    <w:rPr>
      <w:rFonts w:ascii="Times New Roman" w:hAnsi="Times New Roman" w:eastAsia="宋体" w:cstheme="minorBidi"/>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imes New Roman" w:hAnsi="Times New Roman" w:eastAsia="宋体" w:cstheme="minorBidi"/>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6801</Words>
  <Characters>9154</Characters>
  <TotalTime>1</TotalTime>
  <ScaleCrop>false</ScaleCrop>
  <LinksUpToDate>false</LinksUpToDate>
  <CharactersWithSpaces>9626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2026-07-07T16:59:00Z</dcterms:created>
  <dc:creator>Un-named</dc:creator>
  <cp:lastModifiedBy>皮皮</cp:lastModifiedBy>
  <dcterms:modified xsi:type="dcterms:W3CDTF">2026-07-07T17:23:27Z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eyJoZGlkIjoiMGZmZDI2YzNjNjBmYjMwNTE4YmY3NjAyMTc2NjkyZDIiLCJ1c2VySWQiOiIxMjU2MTgzOTAyIn0=</vt:lpwstr>
  </property>
  <property fmtid="{D5CDD505-2E9C-101B-9397-08002B2CF9AE}" pid="3" name="KSOProductBuildVer">
    <vt:lpwstr>2052-12.1.0.26895</vt:lpwstr>
  </property>
  <property fmtid="{D5CDD505-2E9C-101B-9397-08002B2CF9AE}" pid="4" name="ICV">
    <vt:lpwstr>737851A728694DC3A3386690C3C5CA62_12</vt:lpwstr>
  </property>
</Properties>
</file>