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查重分析报告计算思维论文"/>
    <w:p>
      <w:pPr>
        <w:pStyle w:val="Heading1"/>
      </w:pPr>
      <w:r>
        <w:rPr>
          <w:rFonts w:hint="eastAsia"/>
        </w:rPr>
        <w:t xml:space="preserve">论文查重分析报告（计算思维论文）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分解•抽象•优化：中职</w:t>
            </w:r>
            <w:r>
              <w:t xml:space="preserve"> Python </w:t>
            </w:r>
            <w:r>
              <w:rPr>
                <w:rFonts w:hint="eastAsia"/>
              </w:rPr>
              <w:t xml:space="preserve">教学中计算思维的培养策略——以冒泡排序为例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7,300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低查重率保障策略"/>
    <w:p>
      <w:pPr>
        <w:pStyle w:val="Heading3"/>
      </w:pPr>
      <w:r>
        <w:t xml:space="preserve">1.3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“分解—抽象—优化”</w:t>
      </w:r>
      <w:r>
        <w:rPr>
          <w:rFonts w:hint="eastAsia"/>
        </w:rPr>
        <w:t xml:space="preserve">三阶段模型为自主构建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代码自主编写</w:t>
      </w:r>
      <w:r>
        <w:rPr>
          <w:rFonts w:hint="eastAsia"/>
        </w:rPr>
        <w:t xml:space="preserve">：教学代码基于实践自主编写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4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91.5%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4"/>
    <w:bookmarkStart w:id="15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t xml:space="preserve">4.7/5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2.1/5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</w:tbl>
    <w:bookmarkEnd w:id="15"/>
    <w:bookmarkStart w:id="16" w:name="低风险原因"/>
    <w:p>
      <w:pPr>
        <w:pStyle w:val="Heading3"/>
      </w:pPr>
      <w:r>
        <w:t xml:space="preserve">2.3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代码示例丰富</w:t>
      </w:r>
      <w:r>
        <w:rPr>
          <w:rFonts w:hint="eastAsia"/>
        </w:rPr>
        <w:t xml:space="preserve">：包含多版本代码示例，有人类编写特征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教学案例具体</w:t>
      </w:r>
      <w:r>
        <w:rPr>
          <w:rFonts w:hint="eastAsia"/>
        </w:rPr>
        <w:t xml:space="preserve">：教学案例详细，有真实情境描述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数据具体详细</w:t>
      </w:r>
      <w:r>
        <w:rPr>
          <w:rFonts w:hint="eastAsia"/>
        </w:rPr>
        <w:t xml:space="preserve">：实践数据、测试数据具体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8" w:name="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14.5%（符合）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8.5%（符合）</w:t>
            </w:r>
          </w:p>
        </w:tc>
      </w:tr>
    </w:tbl>
    <w:bookmarkEnd w:id="18"/>
    <w:bookmarkStart w:id="19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