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5"/>
        <w:tblW w:w="89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9"/>
        <w:gridCol w:w="81"/>
        <w:gridCol w:w="1251"/>
        <w:gridCol w:w="2101"/>
        <w:gridCol w:w="302"/>
        <w:gridCol w:w="1800"/>
        <w:gridCol w:w="1092"/>
        <w:gridCol w:w="1162"/>
      </w:tblGrid>
      <w:tr w14:paraId="648FC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3" w:hRule="atLeast"/>
          <w:jc w:val="center"/>
        </w:trPr>
        <w:tc>
          <w:tcPr>
            <w:tcW w:w="1129" w:type="dxa"/>
            <w:tcBorders>
              <w:top w:val="nil"/>
              <w:left w:val="nil"/>
              <w:bottom w:val="nil"/>
              <w:right w:val="nil"/>
            </w:tcBorders>
            <w:vAlign w:val="bottom"/>
          </w:tcPr>
          <w:p w14:paraId="6B311789">
            <w:r>
              <w:rPr>
                <w:rFonts w:hint="eastAsia"/>
                <w:b/>
                <w:bCs/>
                <w:sz w:val="30"/>
              </w:rPr>
              <w:br w:type="page"/>
            </w:r>
            <w:r>
              <w:rPr>
                <w:rFonts w:hint="eastAsia"/>
              </w:rPr>
              <w:t>分类号</w:t>
            </w:r>
          </w:p>
        </w:tc>
        <w:tc>
          <w:tcPr>
            <w:tcW w:w="1332" w:type="dxa"/>
            <w:gridSpan w:val="2"/>
            <w:tcBorders>
              <w:top w:val="nil"/>
              <w:left w:val="nil"/>
              <w:bottom w:val="dashSmallGap" w:color="auto" w:sz="4" w:space="0"/>
              <w:right w:val="nil"/>
            </w:tcBorders>
            <w:vAlign w:val="bottom"/>
          </w:tcPr>
          <w:p w14:paraId="7466D2E5">
            <w:pPr>
              <w:pStyle w:val="168"/>
              <w:rPr>
                <w:b/>
                <w:bCs/>
              </w:rPr>
            </w:pPr>
          </w:p>
        </w:tc>
        <w:tc>
          <w:tcPr>
            <w:tcW w:w="4203" w:type="dxa"/>
            <w:gridSpan w:val="3"/>
            <w:tcBorders>
              <w:top w:val="nil"/>
              <w:left w:val="nil"/>
              <w:bottom w:val="nil"/>
              <w:right w:val="nil"/>
            </w:tcBorders>
            <w:vAlign w:val="bottom"/>
          </w:tcPr>
          <w:p w14:paraId="27B57F39">
            <w:pPr>
              <w:pStyle w:val="168"/>
            </w:pPr>
            <w:bookmarkStart w:id="0" w:name="_GoBack"/>
            <w:bookmarkEnd w:id="0"/>
          </w:p>
        </w:tc>
        <w:tc>
          <w:tcPr>
            <w:tcW w:w="1092" w:type="dxa"/>
            <w:tcBorders>
              <w:top w:val="nil"/>
              <w:left w:val="nil"/>
              <w:bottom w:val="nil"/>
              <w:right w:val="nil"/>
            </w:tcBorders>
            <w:vAlign w:val="bottom"/>
          </w:tcPr>
          <w:p w14:paraId="78DE7410">
            <w:pPr>
              <w:pStyle w:val="168"/>
            </w:pPr>
            <w:r>
              <w:rPr>
                <w:rFonts w:hint="eastAsia"/>
              </w:rPr>
              <w:t>密 级</w:t>
            </w:r>
          </w:p>
        </w:tc>
        <w:tc>
          <w:tcPr>
            <w:tcW w:w="1162" w:type="dxa"/>
            <w:tcBorders>
              <w:top w:val="nil"/>
              <w:left w:val="nil"/>
              <w:bottom w:val="dashSmallGap" w:color="auto" w:sz="4" w:space="0"/>
              <w:right w:val="nil"/>
            </w:tcBorders>
            <w:vAlign w:val="bottom"/>
          </w:tcPr>
          <w:p w14:paraId="09177929">
            <w:pPr>
              <w:pStyle w:val="168"/>
            </w:pPr>
          </w:p>
        </w:tc>
      </w:tr>
      <w:tr w14:paraId="03249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2" w:hRule="atLeast"/>
          <w:jc w:val="center"/>
        </w:trPr>
        <w:tc>
          <w:tcPr>
            <w:tcW w:w="1129" w:type="dxa"/>
            <w:tcBorders>
              <w:top w:val="nil"/>
              <w:left w:val="nil"/>
              <w:bottom w:val="nil"/>
              <w:right w:val="nil"/>
            </w:tcBorders>
            <w:vAlign w:val="bottom"/>
          </w:tcPr>
          <w:p w14:paraId="7B538C5A">
            <w:pPr>
              <w:pStyle w:val="168"/>
            </w:pPr>
            <w:r>
              <w:rPr>
                <w:rFonts w:hint="eastAsia"/>
              </w:rPr>
              <w:t>U D C</w:t>
            </w:r>
          </w:p>
        </w:tc>
        <w:tc>
          <w:tcPr>
            <w:tcW w:w="1332" w:type="dxa"/>
            <w:gridSpan w:val="2"/>
            <w:tcBorders>
              <w:top w:val="dashSmallGap" w:color="auto" w:sz="4" w:space="0"/>
              <w:left w:val="nil"/>
              <w:bottom w:val="dashSmallGap" w:color="auto" w:sz="4" w:space="0"/>
              <w:right w:val="nil"/>
            </w:tcBorders>
            <w:vAlign w:val="bottom"/>
          </w:tcPr>
          <w:p w14:paraId="4F3C63D6">
            <w:pPr>
              <w:pStyle w:val="168"/>
            </w:pPr>
          </w:p>
        </w:tc>
        <w:tc>
          <w:tcPr>
            <w:tcW w:w="4203" w:type="dxa"/>
            <w:gridSpan w:val="3"/>
            <w:tcBorders>
              <w:top w:val="nil"/>
              <w:left w:val="nil"/>
              <w:bottom w:val="nil"/>
              <w:right w:val="nil"/>
            </w:tcBorders>
            <w:vAlign w:val="bottom"/>
          </w:tcPr>
          <w:p w14:paraId="5ACEEE6B">
            <w:pPr>
              <w:pStyle w:val="168"/>
            </w:pPr>
          </w:p>
        </w:tc>
        <w:tc>
          <w:tcPr>
            <w:tcW w:w="1092" w:type="dxa"/>
            <w:tcBorders>
              <w:top w:val="nil"/>
              <w:left w:val="nil"/>
              <w:bottom w:val="nil"/>
              <w:right w:val="nil"/>
            </w:tcBorders>
            <w:vAlign w:val="bottom"/>
          </w:tcPr>
          <w:p w14:paraId="4F9D6B5E">
            <w:pPr>
              <w:pStyle w:val="168"/>
            </w:pPr>
            <w:r>
              <w:rPr>
                <w:rFonts w:hint="eastAsia"/>
              </w:rPr>
              <w:t>编 号</w:t>
            </w:r>
          </w:p>
        </w:tc>
        <w:tc>
          <w:tcPr>
            <w:tcW w:w="1162" w:type="dxa"/>
            <w:tcBorders>
              <w:top w:val="dashSmallGap" w:color="auto" w:sz="4" w:space="0"/>
              <w:left w:val="nil"/>
              <w:bottom w:val="dashSmallGap" w:color="auto" w:sz="4" w:space="0"/>
              <w:right w:val="nil"/>
            </w:tcBorders>
            <w:vAlign w:val="bottom"/>
          </w:tcPr>
          <w:p w14:paraId="652CCF96">
            <w:pPr>
              <w:pStyle w:val="168"/>
              <w:rPr>
                <w:lang w:eastAsia="zh-CN"/>
              </w:rPr>
            </w:pPr>
          </w:p>
        </w:tc>
      </w:tr>
      <w:tr w14:paraId="2373F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4" w:hRule="atLeast"/>
          <w:jc w:val="center"/>
        </w:trPr>
        <w:tc>
          <w:tcPr>
            <w:tcW w:w="8918" w:type="dxa"/>
            <w:gridSpan w:val="8"/>
            <w:tcBorders>
              <w:top w:val="nil"/>
              <w:left w:val="nil"/>
              <w:bottom w:val="nil"/>
              <w:right w:val="nil"/>
            </w:tcBorders>
          </w:tcPr>
          <w:p w14:paraId="2CCA29A5">
            <w:pPr>
              <w:pStyle w:val="168"/>
              <w:rPr>
                <w:sz w:val="44"/>
              </w:rPr>
            </w:pPr>
            <w:r>
              <w:rPr>
                <w:rFonts w:hint="eastAsia" w:eastAsia="宋体"/>
                <w:color w:val="000000"/>
                <w:sz w:val="44"/>
                <w:lang w:eastAsia="zh-CN"/>
              </w:rPr>
              <w:drawing>
                <wp:anchor distT="0" distB="0" distL="114300" distR="114300" simplePos="0" relativeHeight="251659264" behindDoc="0" locked="0" layoutInCell="1" allowOverlap="1">
                  <wp:simplePos x="0" y="0"/>
                  <wp:positionH relativeFrom="column">
                    <wp:posOffset>674370</wp:posOffset>
                  </wp:positionH>
                  <wp:positionV relativeFrom="paragraph">
                    <wp:posOffset>65405</wp:posOffset>
                  </wp:positionV>
                  <wp:extent cx="4199890" cy="1118870"/>
                  <wp:effectExtent l="0" t="0" r="3810" b="11430"/>
                  <wp:wrapNone/>
                  <wp:docPr id="3" name="图片 3" descr="3652458d-3c92-49c1-b98a-6be4e69428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652458d-3c92-49c1-b98a-6be4e694287c"/>
                          <pic:cNvPicPr>
                            <a:picLocks noChangeAspect="1"/>
                          </pic:cNvPicPr>
                        </pic:nvPicPr>
                        <pic:blipFill>
                          <a:blip r:embed="rId6"/>
                          <a:srcRect t="18409" b="14924"/>
                          <a:stretch>
                            <a:fillRect/>
                          </a:stretch>
                        </pic:blipFill>
                        <pic:spPr>
                          <a:xfrm>
                            <a:off x="0" y="0"/>
                            <a:ext cx="4199890" cy="1118870"/>
                          </a:xfrm>
                          <a:prstGeom prst="rect">
                            <a:avLst/>
                          </a:prstGeom>
                        </pic:spPr>
                      </pic:pic>
                    </a:graphicData>
                  </a:graphic>
                </wp:anchor>
              </w:drawing>
            </w:r>
          </w:p>
          <w:p w14:paraId="62AC702A">
            <w:pPr>
              <w:pStyle w:val="168"/>
              <w:jc w:val="center"/>
              <w:rPr>
                <w:sz w:val="44"/>
                <w:lang w:eastAsia="zh-CN"/>
              </w:rPr>
            </w:pPr>
          </w:p>
          <w:p w14:paraId="0C57E835">
            <w:pPr>
              <w:pStyle w:val="168"/>
              <w:jc w:val="center"/>
              <w:rPr>
                <w:sz w:val="44"/>
                <w:lang w:eastAsia="zh-CN"/>
              </w:rPr>
            </w:pPr>
          </w:p>
        </w:tc>
      </w:tr>
      <w:tr w14:paraId="2C9CD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6" w:hRule="atLeast"/>
          <w:jc w:val="center"/>
        </w:trPr>
        <w:tc>
          <w:tcPr>
            <w:tcW w:w="8918" w:type="dxa"/>
            <w:gridSpan w:val="8"/>
            <w:tcBorders>
              <w:top w:val="nil"/>
              <w:left w:val="nil"/>
              <w:bottom w:val="nil"/>
              <w:right w:val="nil"/>
            </w:tcBorders>
          </w:tcPr>
          <w:p w14:paraId="31E8CC9F">
            <w:pPr>
              <w:pStyle w:val="169"/>
              <w:rPr>
                <w:rFonts w:hint="eastAsia" w:ascii="微软雅黑" w:hAnsi="微软雅黑" w:eastAsia="微软雅黑" w:cs="微软雅黑"/>
                <w:b/>
                <w:color w:val="000000"/>
                <w:sz w:val="36"/>
                <w:szCs w:val="36"/>
                <w:lang w:eastAsia="zh-CN"/>
              </w:rPr>
            </w:pPr>
            <w:r>
              <w:rPr>
                <w:rFonts w:hint="eastAsia" w:ascii="微软雅黑" w:hAnsi="微软雅黑" w:eastAsia="微软雅黑" w:cs="微软雅黑"/>
                <w:b/>
                <w:color w:val="000000"/>
                <w:sz w:val="36"/>
                <w:szCs w:val="36"/>
                <w:lang w:eastAsia="zh-CN"/>
              </w:rPr>
              <w:t>浙江省宗教界“双通”人才研修班</w:t>
            </w:r>
          </w:p>
          <w:p w14:paraId="4AFED0CB">
            <w:pPr>
              <w:pStyle w:val="169"/>
              <w:rPr>
                <w:b/>
                <w:color w:val="000000"/>
              </w:rPr>
            </w:pPr>
            <w:r>
              <w:rPr>
                <w:rFonts w:hint="eastAsia" w:ascii="微软雅黑" w:hAnsi="微软雅黑" w:eastAsia="微软雅黑" w:cs="微软雅黑"/>
                <w:b/>
                <w:color w:val="000000"/>
                <w:sz w:val="48"/>
                <w:szCs w:val="48"/>
                <w:lang w:eastAsia="zh-CN"/>
              </w:rPr>
              <w:t>毕业论文</w:t>
            </w:r>
          </w:p>
        </w:tc>
      </w:tr>
      <w:tr w14:paraId="2E4EC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68" w:hRule="atLeast"/>
          <w:jc w:val="center"/>
        </w:trPr>
        <w:tc>
          <w:tcPr>
            <w:tcW w:w="8918" w:type="dxa"/>
            <w:gridSpan w:val="8"/>
            <w:tcBorders>
              <w:top w:val="nil"/>
              <w:left w:val="nil"/>
              <w:bottom w:val="nil"/>
              <w:right w:val="nil"/>
            </w:tcBorders>
          </w:tcPr>
          <w:p w14:paraId="19053E4B">
            <w:pPr>
              <w:adjustRightInd w:val="0"/>
              <w:snapToGrid w:val="0"/>
              <w:jc w:val="center"/>
              <w:rPr>
                <w:rFonts w:hint="eastAsia" w:ascii="黑体" w:hAnsi="黑体" w:eastAsia="黑体" w:cs="黑体"/>
                <w:b/>
                <w:bCs/>
                <w:color w:val="000000"/>
                <w:sz w:val="32"/>
                <w:szCs w:val="32"/>
                <w:lang w:eastAsia="zh-CN"/>
              </w:rPr>
            </w:pPr>
          </w:p>
          <w:p w14:paraId="79338F12">
            <w:pPr>
              <w:adjustRightInd w:val="0"/>
              <w:snapToGrid w:val="0"/>
              <w:jc w:val="center"/>
              <w:rPr>
                <w:rFonts w:hint="eastAsia" w:ascii="黑体" w:hAnsi="黑体" w:eastAsia="黑体" w:cs="黑体"/>
                <w:b/>
                <w:bCs/>
                <w:color w:val="000000"/>
                <w:sz w:val="30"/>
                <w:szCs w:val="30"/>
                <w:lang w:eastAsia="zh-CN"/>
              </w:rPr>
            </w:pPr>
            <w:r>
              <w:rPr>
                <w:rFonts w:hint="eastAsia" w:ascii="黑体" w:hAnsi="黑体" w:eastAsia="黑体"/>
                <w:b/>
                <w:sz w:val="30"/>
                <w:szCs w:val="30"/>
                <w:lang w:eastAsia="zh-CN"/>
              </w:rPr>
              <w:t>利玛窦的译名实践——</w:t>
            </w:r>
            <w:r>
              <w:rPr>
                <w:rFonts w:ascii="黑体" w:hAnsi="黑体" w:eastAsia="黑体"/>
                <w:b/>
                <w:sz w:val="30"/>
                <w:szCs w:val="30"/>
                <w:lang w:eastAsia="zh-CN"/>
              </w:rPr>
              <w:t>从“太极”“理”的诠释看耶儒思想的碰撞与调适</w:t>
            </w:r>
          </w:p>
          <w:p w14:paraId="4A049ED9">
            <w:pPr>
              <w:adjustRightInd w:val="0"/>
              <w:snapToGrid w:val="0"/>
              <w:jc w:val="center"/>
              <w:rPr>
                <w:rFonts w:eastAsia="宋体"/>
                <w:color w:val="000000"/>
                <w:sz w:val="44"/>
                <w:lang w:eastAsia="zh-CN"/>
              </w:rPr>
            </w:pPr>
          </w:p>
        </w:tc>
      </w:tr>
      <w:tr w14:paraId="2C347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jc w:val="center"/>
        </w:trPr>
        <w:tc>
          <w:tcPr>
            <w:tcW w:w="8918" w:type="dxa"/>
            <w:gridSpan w:val="8"/>
            <w:tcBorders>
              <w:top w:val="nil"/>
              <w:left w:val="nil"/>
              <w:bottom w:val="nil"/>
              <w:right w:val="nil"/>
            </w:tcBorders>
          </w:tcPr>
          <w:p w14:paraId="1F4EC6FC">
            <w:pPr>
              <w:pStyle w:val="32"/>
              <w:spacing w:before="0" w:beforeAutospacing="0" w:after="0" w:afterAutospacing="0" w:line="260" w:lineRule="atLeast"/>
              <w:jc w:val="both"/>
              <w:rPr>
                <w:lang w:eastAsia="zh-CN"/>
              </w:rPr>
            </w:pPr>
          </w:p>
        </w:tc>
      </w:tr>
      <w:tr w14:paraId="422D6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71" w:hRule="atLeast"/>
          <w:jc w:val="center"/>
        </w:trPr>
        <w:tc>
          <w:tcPr>
            <w:tcW w:w="1210" w:type="dxa"/>
            <w:gridSpan w:val="2"/>
            <w:vMerge w:val="restart"/>
            <w:tcBorders>
              <w:top w:val="nil"/>
              <w:left w:val="nil"/>
              <w:bottom w:val="nil"/>
              <w:right w:val="nil"/>
            </w:tcBorders>
            <w:vAlign w:val="center"/>
          </w:tcPr>
          <w:p w14:paraId="750DFB11">
            <w:pPr>
              <w:adjustRightInd w:val="0"/>
              <w:snapToGrid w:val="0"/>
              <w:rPr>
                <w:rFonts w:eastAsia="楷体_GB2312"/>
                <w:color w:val="000000"/>
                <w:sz w:val="52"/>
                <w:lang w:eastAsia="zh-CN"/>
              </w:rPr>
            </w:pPr>
          </w:p>
        </w:tc>
        <w:tc>
          <w:tcPr>
            <w:tcW w:w="3352" w:type="dxa"/>
            <w:gridSpan w:val="2"/>
            <w:tcBorders>
              <w:top w:val="nil"/>
              <w:left w:val="nil"/>
              <w:bottom w:val="nil"/>
              <w:right w:val="nil"/>
            </w:tcBorders>
            <w:vAlign w:val="center"/>
          </w:tcPr>
          <w:p w14:paraId="3465B9E1">
            <w:pPr>
              <w:pStyle w:val="170"/>
              <w:ind w:firstLine="280" w:firstLineChars="100"/>
              <w:rPr>
                <w:b/>
                <w:bCs/>
              </w:rPr>
            </w:pPr>
            <w:r>
              <w:rPr>
                <w:rFonts w:hint="eastAsia"/>
                <w:b/>
                <w:bCs/>
                <w:lang w:eastAsia="zh-CN"/>
              </w:rPr>
              <w:t>作   者</w:t>
            </w:r>
            <w:r>
              <w:rPr>
                <w:rFonts w:hint="eastAsia"/>
                <w:b/>
                <w:bCs/>
              </w:rPr>
              <w:t xml:space="preserve"> </w:t>
            </w:r>
            <w:r>
              <w:rPr>
                <w:rFonts w:hint="eastAsia"/>
                <w:b/>
                <w:bCs/>
                <w:lang w:eastAsia="zh-CN"/>
              </w:rPr>
              <w:t xml:space="preserve">  </w:t>
            </w:r>
            <w:r>
              <w:rPr>
                <w:rFonts w:hint="eastAsia"/>
                <w:b/>
                <w:bCs/>
              </w:rPr>
              <w:t xml:space="preserve">姓 </w:t>
            </w:r>
            <w:r>
              <w:rPr>
                <w:rFonts w:hint="eastAsia"/>
                <w:b/>
                <w:bCs/>
                <w:lang w:eastAsia="zh-CN"/>
              </w:rPr>
              <w:t xml:space="preserve">  </w:t>
            </w:r>
            <w:r>
              <w:rPr>
                <w:rFonts w:hint="eastAsia"/>
                <w:b/>
                <w:bCs/>
              </w:rPr>
              <w:t xml:space="preserve"> 名：</w:t>
            </w:r>
          </w:p>
        </w:tc>
        <w:tc>
          <w:tcPr>
            <w:tcW w:w="302" w:type="dxa"/>
            <w:tcBorders>
              <w:top w:val="nil"/>
              <w:left w:val="nil"/>
              <w:bottom w:val="nil"/>
              <w:right w:val="nil"/>
            </w:tcBorders>
            <w:vAlign w:val="center"/>
          </w:tcPr>
          <w:p w14:paraId="3D98CC92">
            <w:pPr>
              <w:pStyle w:val="170"/>
              <w:ind w:firstLine="1968"/>
              <w:rPr>
                <w:b/>
                <w:bCs/>
              </w:rPr>
            </w:pPr>
            <w:r>
              <w:rPr>
                <w:rFonts w:hint="eastAsia"/>
                <w:b/>
                <w:bCs/>
              </w:rPr>
              <w:t>：</w:t>
            </w:r>
          </w:p>
        </w:tc>
        <w:tc>
          <w:tcPr>
            <w:tcW w:w="2892" w:type="dxa"/>
            <w:gridSpan w:val="2"/>
            <w:tcBorders>
              <w:top w:val="nil"/>
              <w:left w:val="nil"/>
              <w:bottom w:val="nil"/>
              <w:right w:val="nil"/>
            </w:tcBorders>
            <w:vAlign w:val="center"/>
          </w:tcPr>
          <w:p w14:paraId="29ECE318">
            <w:pPr>
              <w:pStyle w:val="170"/>
              <w:ind w:firstLine="0" w:firstLineChars="0"/>
              <w:jc w:val="center"/>
              <w:rPr>
                <w:rFonts w:eastAsia="宋体"/>
                <w:b/>
                <w:bCs/>
                <w:spacing w:val="20"/>
                <w:lang w:eastAsia="zh-CN"/>
              </w:rPr>
            </w:pPr>
            <w:r>
              <w:rPr>
                <w:rFonts w:hint="eastAsia" w:eastAsia="宋体"/>
                <w:b/>
                <w:bCs/>
                <w:spacing w:val="20"/>
                <w:lang w:eastAsia="zh-CN"/>
              </w:rPr>
              <w:t>全方明</w:t>
            </w:r>
          </w:p>
        </w:tc>
        <w:tc>
          <w:tcPr>
            <w:tcW w:w="1162" w:type="dxa"/>
            <w:vMerge w:val="restart"/>
            <w:tcBorders>
              <w:top w:val="nil"/>
              <w:left w:val="nil"/>
              <w:bottom w:val="nil"/>
              <w:right w:val="nil"/>
            </w:tcBorders>
            <w:vAlign w:val="center"/>
          </w:tcPr>
          <w:p w14:paraId="7FD0D254">
            <w:pPr>
              <w:adjustRightInd w:val="0"/>
              <w:snapToGrid w:val="0"/>
              <w:rPr>
                <w:rFonts w:eastAsia="楷体_GB2312"/>
                <w:color w:val="000000"/>
                <w:sz w:val="52"/>
              </w:rPr>
            </w:pPr>
          </w:p>
          <w:p w14:paraId="0921CCB7">
            <w:pPr>
              <w:adjustRightInd w:val="0"/>
              <w:snapToGrid w:val="0"/>
              <w:rPr>
                <w:rFonts w:eastAsia="楷体_GB2312"/>
                <w:color w:val="000000"/>
                <w:sz w:val="52"/>
              </w:rPr>
            </w:pPr>
          </w:p>
          <w:p w14:paraId="70B7470B">
            <w:pPr>
              <w:adjustRightInd w:val="0"/>
              <w:snapToGrid w:val="0"/>
              <w:rPr>
                <w:rFonts w:eastAsia="楷体_GB2312"/>
                <w:color w:val="000000"/>
                <w:sz w:val="52"/>
              </w:rPr>
            </w:pPr>
          </w:p>
        </w:tc>
      </w:tr>
      <w:tr w14:paraId="401BB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8" w:hRule="atLeast"/>
          <w:jc w:val="center"/>
        </w:trPr>
        <w:tc>
          <w:tcPr>
            <w:tcW w:w="1210" w:type="dxa"/>
            <w:gridSpan w:val="2"/>
            <w:vMerge w:val="continue"/>
            <w:tcBorders>
              <w:top w:val="nil"/>
              <w:left w:val="nil"/>
              <w:bottom w:val="nil"/>
              <w:right w:val="nil"/>
            </w:tcBorders>
            <w:vAlign w:val="center"/>
          </w:tcPr>
          <w:p w14:paraId="6276B934">
            <w:pPr>
              <w:rPr>
                <w:rFonts w:eastAsia="楷体_GB2312"/>
                <w:color w:val="000000"/>
                <w:sz w:val="52"/>
              </w:rPr>
            </w:pPr>
          </w:p>
        </w:tc>
        <w:tc>
          <w:tcPr>
            <w:tcW w:w="3352" w:type="dxa"/>
            <w:gridSpan w:val="2"/>
            <w:tcBorders>
              <w:top w:val="nil"/>
              <w:left w:val="nil"/>
              <w:bottom w:val="nil"/>
              <w:right w:val="nil"/>
            </w:tcBorders>
            <w:vAlign w:val="center"/>
          </w:tcPr>
          <w:p w14:paraId="7FABED22">
            <w:pPr>
              <w:pStyle w:val="170"/>
              <w:ind w:firstLine="280" w:firstLineChars="100"/>
              <w:rPr>
                <w:b/>
                <w:bCs/>
              </w:rPr>
            </w:pPr>
            <w:r>
              <w:rPr>
                <w:rFonts w:hint="eastAsia"/>
                <w:b/>
                <w:bCs/>
              </w:rPr>
              <w:t xml:space="preserve">学            </w:t>
            </w:r>
            <w:r>
              <w:rPr>
                <w:b/>
                <w:bCs/>
              </w:rPr>
              <w:t xml:space="preserve"> </w:t>
            </w:r>
            <w:r>
              <w:rPr>
                <w:rFonts w:hint="eastAsia"/>
                <w:b/>
                <w:bCs/>
              </w:rPr>
              <w:t xml:space="preserve"> 号：</w:t>
            </w:r>
          </w:p>
        </w:tc>
        <w:tc>
          <w:tcPr>
            <w:tcW w:w="302" w:type="dxa"/>
            <w:tcBorders>
              <w:top w:val="nil"/>
              <w:left w:val="nil"/>
              <w:bottom w:val="nil"/>
              <w:right w:val="nil"/>
            </w:tcBorders>
            <w:vAlign w:val="center"/>
          </w:tcPr>
          <w:p w14:paraId="01B52B1D">
            <w:pPr>
              <w:pStyle w:val="170"/>
              <w:ind w:firstLine="1968"/>
              <w:rPr>
                <w:b/>
                <w:bCs/>
              </w:rPr>
            </w:pPr>
            <w:r>
              <w:rPr>
                <w:rFonts w:hint="eastAsia"/>
                <w:b/>
                <w:bCs/>
              </w:rPr>
              <w:t>：</w:t>
            </w:r>
          </w:p>
        </w:tc>
        <w:tc>
          <w:tcPr>
            <w:tcW w:w="2892" w:type="dxa"/>
            <w:gridSpan w:val="2"/>
            <w:tcBorders>
              <w:top w:val="nil"/>
              <w:left w:val="nil"/>
              <w:bottom w:val="nil"/>
              <w:right w:val="nil"/>
            </w:tcBorders>
            <w:vAlign w:val="center"/>
          </w:tcPr>
          <w:p w14:paraId="1E43B175">
            <w:pPr>
              <w:pStyle w:val="170"/>
              <w:ind w:firstLine="0" w:firstLineChars="0"/>
              <w:jc w:val="center"/>
              <w:rPr>
                <w:rFonts w:eastAsia="宋体"/>
                <w:b/>
                <w:bCs/>
                <w:lang w:eastAsia="zh-CN"/>
              </w:rPr>
            </w:pPr>
          </w:p>
        </w:tc>
        <w:tc>
          <w:tcPr>
            <w:tcW w:w="1162" w:type="dxa"/>
            <w:vMerge w:val="continue"/>
            <w:tcBorders>
              <w:top w:val="nil"/>
              <w:left w:val="nil"/>
              <w:bottom w:val="nil"/>
              <w:right w:val="nil"/>
            </w:tcBorders>
            <w:vAlign w:val="center"/>
          </w:tcPr>
          <w:p w14:paraId="25FB98A5">
            <w:pPr>
              <w:jc w:val="distribute"/>
              <w:rPr>
                <w:rFonts w:eastAsia="楷体_GB2312"/>
                <w:color w:val="000000"/>
                <w:sz w:val="52"/>
              </w:rPr>
            </w:pPr>
          </w:p>
        </w:tc>
      </w:tr>
      <w:tr w14:paraId="483D8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4" w:hRule="atLeast"/>
          <w:jc w:val="center"/>
        </w:trPr>
        <w:tc>
          <w:tcPr>
            <w:tcW w:w="1210" w:type="dxa"/>
            <w:gridSpan w:val="2"/>
            <w:vMerge w:val="continue"/>
            <w:tcBorders>
              <w:top w:val="nil"/>
              <w:left w:val="nil"/>
              <w:bottom w:val="nil"/>
              <w:right w:val="nil"/>
            </w:tcBorders>
            <w:vAlign w:val="center"/>
          </w:tcPr>
          <w:p w14:paraId="01A85466">
            <w:pPr>
              <w:rPr>
                <w:rFonts w:eastAsia="楷体_GB2312"/>
                <w:color w:val="000000"/>
                <w:sz w:val="52"/>
              </w:rPr>
            </w:pPr>
          </w:p>
        </w:tc>
        <w:tc>
          <w:tcPr>
            <w:tcW w:w="3352" w:type="dxa"/>
            <w:gridSpan w:val="2"/>
            <w:tcBorders>
              <w:top w:val="nil"/>
              <w:left w:val="nil"/>
              <w:bottom w:val="nil"/>
              <w:right w:val="nil"/>
            </w:tcBorders>
            <w:vAlign w:val="center"/>
          </w:tcPr>
          <w:p w14:paraId="31BA7751">
            <w:pPr>
              <w:pStyle w:val="170"/>
              <w:ind w:firstLine="280" w:firstLineChars="100"/>
              <w:rPr>
                <w:b/>
                <w:bCs/>
              </w:rPr>
            </w:pPr>
            <w:r>
              <w:rPr>
                <w:rFonts w:hint="eastAsia"/>
                <w:b/>
                <w:bCs/>
              </w:rPr>
              <w:t>指</w:t>
            </w:r>
            <w:r>
              <w:rPr>
                <w:rFonts w:hint="eastAsia"/>
                <w:b/>
                <w:bCs/>
                <w:lang w:eastAsia="zh-CN"/>
              </w:rPr>
              <w:t xml:space="preserve">   </w:t>
            </w:r>
            <w:r>
              <w:rPr>
                <w:rFonts w:hint="eastAsia"/>
                <w:b/>
                <w:bCs/>
              </w:rPr>
              <w:t>导</w:t>
            </w:r>
            <w:r>
              <w:rPr>
                <w:rFonts w:hint="eastAsia"/>
                <w:b/>
                <w:bCs/>
                <w:lang w:eastAsia="zh-CN"/>
              </w:rPr>
              <w:t xml:space="preserve">   </w:t>
            </w:r>
            <w:r>
              <w:rPr>
                <w:rFonts w:hint="eastAsia"/>
                <w:b/>
                <w:bCs/>
              </w:rPr>
              <w:t>教</w:t>
            </w:r>
            <w:r>
              <w:rPr>
                <w:rFonts w:hint="eastAsia"/>
                <w:b/>
                <w:bCs/>
                <w:lang w:eastAsia="zh-CN"/>
              </w:rPr>
              <w:t xml:space="preserve">    </w:t>
            </w:r>
            <w:r>
              <w:rPr>
                <w:rFonts w:hint="eastAsia"/>
                <w:b/>
                <w:bCs/>
              </w:rPr>
              <w:t>师：</w:t>
            </w:r>
          </w:p>
        </w:tc>
        <w:tc>
          <w:tcPr>
            <w:tcW w:w="302" w:type="dxa"/>
            <w:tcBorders>
              <w:top w:val="nil"/>
              <w:left w:val="nil"/>
              <w:bottom w:val="nil"/>
              <w:right w:val="nil"/>
            </w:tcBorders>
            <w:vAlign w:val="center"/>
          </w:tcPr>
          <w:p w14:paraId="598022FC">
            <w:pPr>
              <w:pStyle w:val="170"/>
              <w:ind w:firstLine="1968"/>
              <w:rPr>
                <w:b/>
                <w:bCs/>
              </w:rPr>
            </w:pPr>
            <w:r>
              <w:rPr>
                <w:rFonts w:hint="eastAsia"/>
                <w:b/>
                <w:bCs/>
              </w:rPr>
              <w:t>：</w:t>
            </w:r>
          </w:p>
        </w:tc>
        <w:tc>
          <w:tcPr>
            <w:tcW w:w="2892" w:type="dxa"/>
            <w:gridSpan w:val="2"/>
            <w:tcBorders>
              <w:top w:val="nil"/>
              <w:left w:val="nil"/>
              <w:bottom w:val="nil"/>
              <w:right w:val="nil"/>
            </w:tcBorders>
            <w:vAlign w:val="center"/>
          </w:tcPr>
          <w:p w14:paraId="23CB0A9B">
            <w:pPr>
              <w:pStyle w:val="170"/>
              <w:ind w:firstLine="0" w:firstLineChars="0"/>
              <w:jc w:val="center"/>
              <w:rPr>
                <w:rFonts w:eastAsia="宋体"/>
                <w:b/>
                <w:bCs/>
                <w:lang w:eastAsia="zh-CN"/>
              </w:rPr>
            </w:pPr>
            <w:r>
              <w:rPr>
                <w:rFonts w:hint="eastAsia" w:eastAsia="宋体"/>
                <w:b/>
                <w:bCs/>
                <w:lang w:eastAsia="zh-CN"/>
              </w:rPr>
              <w:t>王绪琴</w:t>
            </w:r>
          </w:p>
        </w:tc>
        <w:tc>
          <w:tcPr>
            <w:tcW w:w="1162" w:type="dxa"/>
            <w:vMerge w:val="continue"/>
            <w:tcBorders>
              <w:top w:val="nil"/>
              <w:left w:val="nil"/>
              <w:bottom w:val="nil"/>
              <w:right w:val="nil"/>
            </w:tcBorders>
            <w:vAlign w:val="center"/>
          </w:tcPr>
          <w:p w14:paraId="3F62B16D">
            <w:pPr>
              <w:jc w:val="distribute"/>
              <w:rPr>
                <w:rFonts w:eastAsia="楷体_GB2312"/>
                <w:color w:val="000000"/>
                <w:sz w:val="52"/>
              </w:rPr>
            </w:pPr>
          </w:p>
        </w:tc>
      </w:tr>
      <w:tr w14:paraId="36AF9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8" w:hRule="atLeast"/>
          <w:jc w:val="center"/>
        </w:trPr>
        <w:tc>
          <w:tcPr>
            <w:tcW w:w="1210" w:type="dxa"/>
            <w:gridSpan w:val="2"/>
            <w:vMerge w:val="continue"/>
            <w:tcBorders>
              <w:top w:val="nil"/>
              <w:left w:val="nil"/>
              <w:bottom w:val="nil"/>
              <w:right w:val="nil"/>
            </w:tcBorders>
            <w:vAlign w:val="center"/>
          </w:tcPr>
          <w:p w14:paraId="7BD58F98">
            <w:pPr>
              <w:rPr>
                <w:rFonts w:eastAsia="楷体_GB2312"/>
                <w:color w:val="000000"/>
                <w:sz w:val="52"/>
              </w:rPr>
            </w:pPr>
          </w:p>
        </w:tc>
        <w:tc>
          <w:tcPr>
            <w:tcW w:w="3352" w:type="dxa"/>
            <w:gridSpan w:val="2"/>
            <w:tcBorders>
              <w:top w:val="nil"/>
              <w:left w:val="nil"/>
              <w:bottom w:val="nil"/>
              <w:right w:val="nil"/>
            </w:tcBorders>
            <w:vAlign w:val="center"/>
          </w:tcPr>
          <w:p w14:paraId="4AF2BD91">
            <w:pPr>
              <w:pStyle w:val="170"/>
              <w:ind w:firstLine="280" w:firstLineChars="100"/>
              <w:rPr>
                <w:b/>
                <w:bCs/>
              </w:rPr>
            </w:pPr>
            <w:r>
              <w:rPr>
                <w:rFonts w:hint="eastAsia"/>
                <w:b/>
                <w:bCs/>
              </w:rPr>
              <w:t xml:space="preserve">研   究   方  </w:t>
            </w:r>
            <w:r>
              <w:rPr>
                <w:b/>
                <w:bCs/>
              </w:rPr>
              <w:t xml:space="preserve"> </w:t>
            </w:r>
            <w:r>
              <w:rPr>
                <w:rFonts w:hint="eastAsia"/>
                <w:b/>
                <w:bCs/>
              </w:rPr>
              <w:t xml:space="preserve"> 向：</w:t>
            </w:r>
          </w:p>
        </w:tc>
        <w:tc>
          <w:tcPr>
            <w:tcW w:w="302" w:type="dxa"/>
            <w:tcBorders>
              <w:top w:val="nil"/>
              <w:left w:val="nil"/>
              <w:bottom w:val="nil"/>
              <w:right w:val="nil"/>
            </w:tcBorders>
            <w:vAlign w:val="center"/>
          </w:tcPr>
          <w:p w14:paraId="5D5F4D8C">
            <w:pPr>
              <w:pStyle w:val="170"/>
              <w:ind w:firstLine="1968"/>
              <w:rPr>
                <w:b/>
                <w:bCs/>
              </w:rPr>
            </w:pPr>
            <w:r>
              <w:rPr>
                <w:rFonts w:hint="eastAsia"/>
                <w:b/>
                <w:bCs/>
              </w:rPr>
              <w:t>：</w:t>
            </w:r>
          </w:p>
        </w:tc>
        <w:tc>
          <w:tcPr>
            <w:tcW w:w="2892" w:type="dxa"/>
            <w:gridSpan w:val="2"/>
            <w:tcBorders>
              <w:top w:val="nil"/>
              <w:left w:val="nil"/>
              <w:bottom w:val="nil"/>
              <w:right w:val="nil"/>
            </w:tcBorders>
            <w:vAlign w:val="center"/>
          </w:tcPr>
          <w:p w14:paraId="2C2EE6F3">
            <w:pPr>
              <w:pStyle w:val="170"/>
              <w:ind w:firstLine="0" w:firstLineChars="0"/>
              <w:jc w:val="both"/>
              <w:rPr>
                <w:rFonts w:eastAsia="宋体"/>
                <w:b/>
                <w:bCs/>
                <w:lang w:eastAsia="zh-CN"/>
              </w:rPr>
            </w:pPr>
            <w:r>
              <w:rPr>
                <w:rFonts w:hint="eastAsia" w:eastAsia="宋体"/>
                <w:b/>
                <w:bCs/>
                <w:lang w:eastAsia="zh-CN"/>
              </w:rPr>
              <w:t>明清中西文化交流史</w:t>
            </w:r>
          </w:p>
        </w:tc>
        <w:tc>
          <w:tcPr>
            <w:tcW w:w="1162" w:type="dxa"/>
            <w:vMerge w:val="continue"/>
            <w:tcBorders>
              <w:top w:val="nil"/>
              <w:left w:val="nil"/>
              <w:bottom w:val="nil"/>
              <w:right w:val="nil"/>
            </w:tcBorders>
            <w:vAlign w:val="center"/>
          </w:tcPr>
          <w:p w14:paraId="1E5ED21E">
            <w:pPr>
              <w:jc w:val="distribute"/>
              <w:rPr>
                <w:rFonts w:eastAsia="楷体_GB2312"/>
                <w:color w:val="000000"/>
                <w:sz w:val="52"/>
              </w:rPr>
            </w:pPr>
          </w:p>
        </w:tc>
      </w:tr>
      <w:tr w14:paraId="18E8C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jc w:val="center"/>
        </w:trPr>
        <w:tc>
          <w:tcPr>
            <w:tcW w:w="8918" w:type="dxa"/>
            <w:gridSpan w:val="8"/>
            <w:tcBorders>
              <w:top w:val="nil"/>
              <w:left w:val="nil"/>
              <w:bottom w:val="nil"/>
              <w:right w:val="nil"/>
            </w:tcBorders>
          </w:tcPr>
          <w:p w14:paraId="09C9AC6F">
            <w:pPr>
              <w:pStyle w:val="171"/>
              <w:ind w:firstLine="5600" w:firstLineChars="2000"/>
              <w:jc w:val="both"/>
              <w:rPr>
                <w:lang w:eastAsia="zh-CN"/>
              </w:rPr>
            </w:pPr>
            <w:r>
              <w:rPr>
                <w:rFonts w:hint="eastAsia"/>
                <w:sz w:val="28"/>
                <w:szCs w:val="28"/>
                <w:lang w:eastAsia="zh-CN"/>
              </w:rPr>
              <w:t xml:space="preserve">2026 </w:t>
            </w:r>
            <w:r>
              <w:rPr>
                <w:rFonts w:hint="eastAsia"/>
                <w:sz w:val="28"/>
                <w:szCs w:val="28"/>
              </w:rPr>
              <w:t xml:space="preserve">年 </w:t>
            </w:r>
            <w:r>
              <w:rPr>
                <w:rFonts w:hint="eastAsia"/>
                <w:sz w:val="28"/>
                <w:szCs w:val="28"/>
                <w:lang w:eastAsia="zh-CN"/>
              </w:rPr>
              <w:t>6</w:t>
            </w:r>
            <w:r>
              <w:rPr>
                <w:rFonts w:hint="eastAsia"/>
                <w:sz w:val="28"/>
                <w:szCs w:val="28"/>
              </w:rPr>
              <w:t>月</w:t>
            </w:r>
            <w:r>
              <w:rPr>
                <w:rFonts w:hint="eastAsia"/>
                <w:sz w:val="28"/>
                <w:szCs w:val="28"/>
                <w:lang w:eastAsia="zh-CN"/>
              </w:rPr>
              <w:t xml:space="preserve"> 1 日</w:t>
            </w:r>
          </w:p>
        </w:tc>
      </w:tr>
    </w:tbl>
    <w:p w14:paraId="3507EB31">
      <w:pPr>
        <w:spacing w:after="36064" w:line="360" w:lineRule="auto"/>
      </w:pPr>
      <w:r>
        <w:rPr>
          <w:rFonts w:hint="eastAsia" w:eastAsia="楷体_GB2312"/>
          <w:b/>
          <w:sz w:val="32"/>
          <w:szCs w:val="32"/>
        </w:rPr>
        <w:br w:type="page"/>
      </w:r>
    </w:p>
    <w:p w14:paraId="0BD682C8">
      <w:pPr>
        <w:tabs>
          <w:tab w:val="left" w:pos="4400"/>
        </w:tabs>
        <w:wordWrap w:val="0"/>
        <w:spacing w:before="31680" w:after="31680" w:line="360" w:lineRule="auto"/>
        <w:ind w:firstLine="4160" w:firstLineChars="1300"/>
        <w:jc w:val="both"/>
        <w:rPr>
          <w:rFonts w:ascii="宋体" w:hAnsi="宋体" w:eastAsia="宋体"/>
          <w:sz w:val="24"/>
          <w:lang w:eastAsia="zh-CN"/>
        </w:rPr>
      </w:pPr>
      <w:r>
        <w:rPr>
          <w:rFonts w:hint="eastAsia" w:ascii="宋体" w:hAnsi="宋体" w:eastAsia="宋体"/>
          <w:sz w:val="32"/>
          <w:lang w:eastAsia="zh-CN"/>
        </w:rPr>
        <w:t>摘要</w:t>
      </w:r>
      <w:r>
        <w:rPr>
          <w:rFonts w:hint="eastAsia" w:ascii="宋体" w:hAnsi="宋体" w:eastAsia="宋体"/>
          <w:sz w:val="24"/>
          <w:lang w:eastAsia="zh-CN"/>
        </w:rPr>
        <w:t xml:space="preserve">                                       </w:t>
      </w:r>
      <w:r>
        <w:rPr>
          <w:rFonts w:ascii="宋体" w:hAnsi="宋体" w:eastAsia="宋体"/>
          <w:sz w:val="24"/>
          <w:lang w:eastAsia="zh-CN"/>
        </w:rPr>
        <w:t>16世纪末，耶稣会士利玛窦进入中国内陆，在传教策略上面临一个根本性难题：如何用儒家话语表达基督教神学，同时又不至于使教义被儒学框架所完全消化。本文以利玛窦对宋明理学核心范畴“理”与“太极”的处理为中心，考察跨文化对话中“概念挪用与改造”的具体机制，并评估其对耶儒关系的长期影响。全文以“策略—接受—意义”为主线：首先分析利玛窦在《天主实义》中采用的“釜底抽薪”与“借壳上市”两种修辞策略；其次考察明清士大夫（徐光启、李贽、黄宗羲等）对利玛窦理论的接受与变异，展示“创造性误解”在跨文化传播中的关键作用；再次揭示“以西格中”的概念化过程，即用阿奎那式的“存有”层级学说改造宋儒的“理—气—太极”体系；最后从比较哲学、历史学与社会学三个维度反思这一案例对当代文明互鉴的启示。研究表明，利玛窦的“适应策略”并非简单的表面妥协，而是一次有理论自觉的“概念嫁接术”；其成败得失，深刻揭示了跨文化理解中“意义迁移”的内在规律。</w:t>
      </w:r>
      <w:r>
        <w:rPr>
          <w:rFonts w:hint="eastAsia" w:ascii="宋体" w:hAnsi="宋体" w:eastAsia="宋体"/>
          <w:sz w:val="24"/>
          <w:lang w:eastAsia="zh-CN"/>
        </w:rPr>
        <w:t xml:space="preserve">                                                                      </w:t>
      </w:r>
      <w:r>
        <w:rPr>
          <w:rFonts w:ascii="黑体" w:hAnsi="黑体" w:eastAsia="黑体"/>
          <w:b/>
          <w:sz w:val="24"/>
          <w:lang w:eastAsia="zh-CN"/>
        </w:rPr>
        <w:t>关键词：</w:t>
      </w:r>
      <w:r>
        <w:rPr>
          <w:rFonts w:ascii="宋体" w:hAnsi="宋体" w:eastAsia="宋体"/>
          <w:sz w:val="24"/>
          <w:lang w:eastAsia="zh-CN"/>
        </w:rPr>
        <w:t>利玛窦；《天主实义》；理与太极；耶儒对话；概念挪用</w:t>
      </w:r>
    </w:p>
    <w:p w14:paraId="3F63ED2D">
      <w:pPr>
        <w:spacing w:before="2" w:after="2" w:line="240" w:lineRule="auto"/>
        <w:ind w:hanging="170"/>
        <w:jc w:val="center"/>
        <w:rPr>
          <w:rFonts w:hint="eastAsia" w:ascii="宋体" w:hAnsi="宋体" w:eastAsia="宋体"/>
          <w:b/>
          <w:sz w:val="32"/>
          <w:szCs w:val="32"/>
          <w:lang w:eastAsia="zh-CN"/>
        </w:rPr>
      </w:pPr>
      <w:r>
        <w:rPr>
          <w:rFonts w:hint="eastAsia" w:ascii="宋体" w:hAnsi="宋体" w:eastAsia="宋体"/>
          <w:b/>
          <w:sz w:val="32"/>
          <w:szCs w:val="32"/>
          <w:lang w:eastAsia="zh-CN"/>
        </w:rPr>
        <w:t>目录</w:t>
      </w:r>
    </w:p>
    <w:p w14:paraId="778EABDD">
      <w:pPr>
        <w:spacing w:before="2" w:after="2" w:line="240" w:lineRule="auto"/>
        <w:ind w:hanging="170"/>
        <w:rPr>
          <w:lang w:eastAsia="zh-CN"/>
        </w:rPr>
      </w:pPr>
      <w:r>
        <w:rPr>
          <w:rFonts w:ascii="宋体" w:hAnsi="宋体" w:eastAsia="宋体"/>
          <w:b/>
          <w:sz w:val="24"/>
          <w:lang w:eastAsia="zh-CN"/>
        </w:rPr>
        <w:t>引  言</w:t>
      </w:r>
    </w:p>
    <w:p w14:paraId="3764394B">
      <w:pPr>
        <w:spacing w:before="2" w:after="2" w:line="240" w:lineRule="auto"/>
        <w:ind w:left="283" w:hanging="170"/>
        <w:rPr>
          <w:lang w:eastAsia="zh-CN"/>
        </w:rPr>
      </w:pPr>
      <w:r>
        <w:rPr>
          <w:rFonts w:ascii="宋体" w:hAnsi="宋体" w:eastAsia="宋体"/>
          <w:b/>
          <w:sz w:val="24"/>
          <w:lang w:eastAsia="zh-CN"/>
        </w:rPr>
        <w:t>一、问题缘起</w:t>
      </w:r>
    </w:p>
    <w:p w14:paraId="1AF6BD67">
      <w:pPr>
        <w:spacing w:before="2" w:after="2" w:line="240" w:lineRule="auto"/>
        <w:ind w:left="283" w:hanging="170"/>
        <w:rPr>
          <w:lang w:eastAsia="zh-CN"/>
        </w:rPr>
      </w:pPr>
      <w:r>
        <w:rPr>
          <w:rFonts w:ascii="宋体" w:hAnsi="宋体" w:eastAsia="宋体"/>
          <w:b/>
          <w:sz w:val="24"/>
          <w:lang w:eastAsia="zh-CN"/>
        </w:rPr>
        <w:t>二、研究现状</w:t>
      </w:r>
    </w:p>
    <w:p w14:paraId="06CCD304">
      <w:pPr>
        <w:spacing w:before="2" w:after="2" w:line="240" w:lineRule="auto"/>
        <w:ind w:left="283" w:hanging="170"/>
        <w:rPr>
          <w:lang w:eastAsia="zh-CN"/>
        </w:rPr>
      </w:pPr>
      <w:r>
        <w:rPr>
          <w:rFonts w:ascii="宋体" w:hAnsi="宋体" w:eastAsia="宋体"/>
          <w:b/>
          <w:sz w:val="24"/>
          <w:lang w:eastAsia="zh-CN"/>
        </w:rPr>
        <w:t>三、方法与主线</w:t>
      </w:r>
    </w:p>
    <w:p w14:paraId="7AC7F593">
      <w:pPr>
        <w:spacing w:before="2" w:after="2" w:line="240" w:lineRule="auto"/>
        <w:ind w:left="283" w:hanging="170"/>
        <w:rPr>
          <w:lang w:eastAsia="zh-CN"/>
        </w:rPr>
      </w:pPr>
      <w:r>
        <w:rPr>
          <w:rFonts w:ascii="宋体" w:hAnsi="宋体" w:eastAsia="宋体"/>
          <w:b/>
          <w:sz w:val="24"/>
          <w:lang w:eastAsia="zh-CN"/>
        </w:rPr>
        <w:t>四、译名实践的思想史意义</w:t>
      </w:r>
    </w:p>
    <w:p w14:paraId="64250049">
      <w:pPr>
        <w:spacing w:before="2" w:after="2" w:line="240" w:lineRule="auto"/>
        <w:ind w:hanging="170"/>
        <w:rPr>
          <w:lang w:eastAsia="zh-CN"/>
        </w:rPr>
      </w:pPr>
      <w:r>
        <w:rPr>
          <w:rFonts w:ascii="宋体" w:hAnsi="宋体" w:eastAsia="宋体"/>
          <w:b/>
          <w:sz w:val="24"/>
          <w:lang w:eastAsia="zh-CN"/>
        </w:rPr>
        <w:t>第一章 利玛窦面对的“理—太极”困境</w:t>
      </w:r>
    </w:p>
    <w:p w14:paraId="7A88E255">
      <w:pPr>
        <w:spacing w:before="2" w:after="2" w:line="240" w:lineRule="auto"/>
        <w:ind w:left="283" w:hanging="170"/>
        <w:rPr>
          <w:lang w:eastAsia="zh-CN"/>
        </w:rPr>
      </w:pPr>
      <w:r>
        <w:rPr>
          <w:rFonts w:ascii="宋体" w:hAnsi="宋体" w:eastAsia="宋体"/>
          <w:b/>
          <w:sz w:val="24"/>
          <w:lang w:eastAsia="zh-CN"/>
        </w:rPr>
        <w:t>第一节 宋儒体系中的“理”与“太极”</w:t>
      </w:r>
    </w:p>
    <w:p w14:paraId="705FD3B5">
      <w:pPr>
        <w:spacing w:before="2" w:after="2" w:line="240" w:lineRule="auto"/>
        <w:ind w:left="567" w:hanging="170"/>
        <w:rPr>
          <w:lang w:eastAsia="zh-CN"/>
        </w:rPr>
      </w:pPr>
      <w:r>
        <w:rPr>
          <w:rFonts w:ascii="宋体" w:hAnsi="宋体" w:eastAsia="宋体"/>
          <w:sz w:val="24"/>
          <w:lang w:eastAsia="zh-CN"/>
        </w:rPr>
        <w:t>一、“太极”的词源与哲学化过程</w:t>
      </w:r>
    </w:p>
    <w:p w14:paraId="2749B846">
      <w:pPr>
        <w:spacing w:before="2" w:after="2" w:line="240" w:lineRule="auto"/>
        <w:ind w:left="567" w:hanging="170"/>
        <w:rPr>
          <w:lang w:eastAsia="zh-CN"/>
        </w:rPr>
      </w:pPr>
      <w:r>
        <w:rPr>
          <w:rFonts w:ascii="宋体" w:hAnsi="宋体" w:eastAsia="宋体"/>
          <w:sz w:val="24"/>
          <w:lang w:eastAsia="zh-CN"/>
        </w:rPr>
        <w:t>二、“理”的多重含义</w:t>
      </w:r>
    </w:p>
    <w:p w14:paraId="522F1019">
      <w:pPr>
        <w:spacing w:before="2" w:after="2" w:line="240" w:lineRule="auto"/>
        <w:ind w:left="567" w:hanging="170"/>
        <w:rPr>
          <w:lang w:eastAsia="zh-CN"/>
        </w:rPr>
      </w:pPr>
      <w:r>
        <w:rPr>
          <w:rFonts w:ascii="宋体" w:hAnsi="宋体" w:eastAsia="宋体"/>
          <w:sz w:val="24"/>
          <w:lang w:eastAsia="zh-CN"/>
        </w:rPr>
        <w:t>三、“太极即理”的理论张力</w:t>
      </w:r>
    </w:p>
    <w:p w14:paraId="72897189">
      <w:pPr>
        <w:spacing w:before="2" w:after="2" w:line="240" w:lineRule="auto"/>
        <w:ind w:left="283" w:hanging="170"/>
        <w:rPr>
          <w:lang w:eastAsia="zh-CN"/>
        </w:rPr>
      </w:pPr>
      <w:r>
        <w:rPr>
          <w:rFonts w:ascii="宋体" w:hAnsi="宋体" w:eastAsia="宋体"/>
          <w:b/>
          <w:sz w:val="24"/>
          <w:lang w:eastAsia="zh-CN"/>
        </w:rPr>
        <w:t>第二节 《天主实义》的文本结构与论辩策略</w:t>
      </w:r>
    </w:p>
    <w:p w14:paraId="1DD58889">
      <w:pPr>
        <w:spacing w:before="2" w:after="2" w:line="240" w:lineRule="auto"/>
        <w:ind w:left="567" w:hanging="170"/>
        <w:rPr>
          <w:lang w:eastAsia="zh-CN"/>
        </w:rPr>
      </w:pPr>
      <w:r>
        <w:rPr>
          <w:rFonts w:ascii="宋体" w:hAnsi="宋体" w:eastAsia="宋体"/>
          <w:sz w:val="24"/>
          <w:lang w:eastAsia="zh-CN"/>
        </w:rPr>
        <w:t>一、“中士”与“西士”的对话形式</w:t>
      </w:r>
    </w:p>
    <w:p w14:paraId="23E3BBAD">
      <w:pPr>
        <w:spacing w:before="2" w:after="2" w:line="240" w:lineRule="auto"/>
        <w:ind w:left="567" w:hanging="170"/>
        <w:rPr>
          <w:lang w:eastAsia="zh-CN"/>
        </w:rPr>
      </w:pPr>
      <w:r>
        <w:rPr>
          <w:rFonts w:ascii="宋体" w:hAnsi="宋体" w:eastAsia="宋体"/>
          <w:sz w:val="24"/>
          <w:lang w:eastAsia="zh-CN"/>
        </w:rPr>
        <w:t>二、利玛窦对“太极”的批判</w:t>
      </w:r>
    </w:p>
    <w:p w14:paraId="72A38F65">
      <w:pPr>
        <w:spacing w:before="2" w:after="2" w:line="240" w:lineRule="auto"/>
        <w:ind w:left="567" w:hanging="170"/>
        <w:rPr>
          <w:lang w:eastAsia="zh-CN"/>
        </w:rPr>
      </w:pPr>
      <w:r>
        <w:rPr>
          <w:rFonts w:ascii="宋体" w:hAnsi="宋体" w:eastAsia="宋体"/>
          <w:sz w:val="24"/>
          <w:lang w:eastAsia="zh-CN"/>
        </w:rPr>
        <w:t>三、将“理”判定为“依赖者”</w:t>
      </w:r>
    </w:p>
    <w:p w14:paraId="07C114B3">
      <w:pPr>
        <w:spacing w:before="2" w:after="2" w:line="240" w:lineRule="auto"/>
        <w:ind w:left="283" w:hanging="170"/>
        <w:rPr>
          <w:lang w:eastAsia="zh-CN"/>
        </w:rPr>
      </w:pPr>
      <w:r>
        <w:rPr>
          <w:rFonts w:ascii="宋体" w:hAnsi="宋体" w:eastAsia="宋体"/>
          <w:b/>
          <w:sz w:val="24"/>
          <w:lang w:eastAsia="zh-CN"/>
        </w:rPr>
        <w:t>第三节 两种本体论路径的相遇与错位</w:t>
      </w:r>
    </w:p>
    <w:p w14:paraId="1543C603">
      <w:pPr>
        <w:spacing w:before="2" w:after="2" w:line="240" w:lineRule="auto"/>
        <w:ind w:left="567" w:hanging="170"/>
        <w:rPr>
          <w:lang w:eastAsia="zh-CN"/>
        </w:rPr>
      </w:pPr>
      <w:r>
        <w:rPr>
          <w:rFonts w:ascii="宋体" w:hAnsi="宋体" w:eastAsia="宋体"/>
          <w:sz w:val="24"/>
          <w:lang w:eastAsia="zh-CN"/>
        </w:rPr>
        <w:t>一、从“理”与“上帝”的错位看跨文化对话的困境</w:t>
      </w:r>
    </w:p>
    <w:p w14:paraId="6410104B">
      <w:pPr>
        <w:spacing w:before="2" w:after="2" w:line="240" w:lineRule="auto"/>
        <w:ind w:left="567" w:hanging="170"/>
        <w:rPr>
          <w:lang w:eastAsia="zh-CN"/>
        </w:rPr>
      </w:pPr>
      <w:r>
        <w:rPr>
          <w:rFonts w:ascii="宋体" w:hAnsi="宋体" w:eastAsia="宋体"/>
          <w:sz w:val="24"/>
          <w:lang w:eastAsia="zh-CN"/>
        </w:rPr>
        <w:t>二、谁误解了谁？</w:t>
      </w:r>
    </w:p>
    <w:p w14:paraId="574DF7B8">
      <w:pPr>
        <w:spacing w:before="2" w:after="2" w:line="240" w:lineRule="auto"/>
        <w:ind w:left="283" w:hanging="170"/>
        <w:rPr>
          <w:lang w:eastAsia="zh-CN"/>
        </w:rPr>
      </w:pPr>
      <w:r>
        <w:rPr>
          <w:rFonts w:ascii="宋体" w:hAnsi="宋体" w:eastAsia="宋体"/>
          <w:b/>
          <w:sz w:val="24"/>
          <w:lang w:eastAsia="zh-CN"/>
        </w:rPr>
        <w:t>本章小结</w:t>
      </w:r>
    </w:p>
    <w:p w14:paraId="65252BF4">
      <w:pPr>
        <w:spacing w:before="2" w:after="2" w:line="240" w:lineRule="auto"/>
        <w:ind w:hanging="170"/>
        <w:rPr>
          <w:lang w:eastAsia="zh-CN"/>
        </w:rPr>
      </w:pPr>
      <w:r>
        <w:rPr>
          <w:rFonts w:ascii="宋体" w:hAnsi="宋体" w:eastAsia="宋体"/>
          <w:b/>
          <w:sz w:val="24"/>
          <w:lang w:eastAsia="zh-CN"/>
        </w:rPr>
        <w:t>第二章 概念挪用与改造</w:t>
      </w:r>
    </w:p>
    <w:p w14:paraId="5E140EDF">
      <w:pPr>
        <w:spacing w:before="2" w:after="2" w:line="240" w:lineRule="auto"/>
        <w:ind w:left="283" w:hanging="170"/>
        <w:rPr>
          <w:lang w:eastAsia="zh-CN"/>
        </w:rPr>
      </w:pPr>
      <w:r>
        <w:rPr>
          <w:rFonts w:ascii="宋体" w:hAnsi="宋体" w:eastAsia="宋体"/>
          <w:b/>
          <w:sz w:val="24"/>
          <w:lang w:eastAsia="zh-CN"/>
        </w:rPr>
        <w:t>第一节 “釜底抽薪”：拆解“理”与“太极”的本体论地位</w:t>
      </w:r>
    </w:p>
    <w:p w14:paraId="428B7C0B">
      <w:pPr>
        <w:spacing w:before="2" w:after="2" w:line="240" w:lineRule="auto"/>
        <w:ind w:left="567" w:hanging="170"/>
        <w:rPr>
          <w:lang w:eastAsia="zh-CN"/>
        </w:rPr>
      </w:pPr>
      <w:r>
        <w:rPr>
          <w:rFonts w:ascii="宋体" w:hAnsi="宋体" w:eastAsia="宋体"/>
          <w:sz w:val="24"/>
          <w:lang w:eastAsia="zh-CN"/>
        </w:rPr>
        <w:t>一、概念层级的下移</w:t>
      </w:r>
    </w:p>
    <w:p w14:paraId="7C229593">
      <w:pPr>
        <w:spacing w:before="2" w:after="2" w:line="240" w:lineRule="auto"/>
        <w:ind w:left="567" w:hanging="170"/>
        <w:rPr>
          <w:lang w:eastAsia="zh-CN"/>
        </w:rPr>
      </w:pPr>
      <w:r>
        <w:rPr>
          <w:rFonts w:ascii="宋体" w:hAnsi="宋体" w:eastAsia="宋体"/>
          <w:sz w:val="24"/>
          <w:lang w:eastAsia="zh-CN"/>
        </w:rPr>
        <w:t>二、功能属性的剥离</w:t>
      </w:r>
    </w:p>
    <w:p w14:paraId="55D1119A">
      <w:pPr>
        <w:spacing w:before="2" w:after="2" w:line="240" w:lineRule="auto"/>
        <w:ind w:left="567" w:hanging="170"/>
        <w:rPr>
          <w:lang w:eastAsia="zh-CN"/>
        </w:rPr>
      </w:pPr>
      <w:r>
        <w:rPr>
          <w:rFonts w:ascii="宋体" w:hAnsi="宋体" w:eastAsia="宋体"/>
          <w:sz w:val="24"/>
          <w:lang w:eastAsia="zh-CN"/>
        </w:rPr>
        <w:t>三、经典权威的反转</w:t>
      </w:r>
    </w:p>
    <w:p w14:paraId="509D1BAF">
      <w:pPr>
        <w:spacing w:before="2" w:after="2" w:line="240" w:lineRule="auto"/>
        <w:ind w:left="283" w:hanging="170"/>
        <w:rPr>
          <w:lang w:eastAsia="zh-CN"/>
        </w:rPr>
      </w:pPr>
      <w:r>
        <w:rPr>
          <w:rFonts w:ascii="宋体" w:hAnsi="宋体" w:eastAsia="宋体"/>
          <w:b/>
          <w:sz w:val="24"/>
          <w:lang w:eastAsia="zh-CN"/>
        </w:rPr>
        <w:t>第二节 “借壳上市”：重塑“上帝”概念的权威性</w:t>
      </w:r>
    </w:p>
    <w:p w14:paraId="363BE124">
      <w:pPr>
        <w:spacing w:before="2" w:after="2" w:line="240" w:lineRule="auto"/>
        <w:ind w:left="567" w:hanging="170"/>
        <w:rPr>
          <w:lang w:eastAsia="zh-CN"/>
        </w:rPr>
      </w:pPr>
      <w:r>
        <w:rPr>
          <w:rFonts w:ascii="宋体" w:hAnsi="宋体" w:eastAsia="宋体"/>
          <w:sz w:val="24"/>
          <w:lang w:eastAsia="zh-CN"/>
        </w:rPr>
        <w:t>一、重新定义“上帝”</w:t>
      </w:r>
    </w:p>
    <w:p w14:paraId="3238F061">
      <w:pPr>
        <w:spacing w:before="2" w:after="2" w:line="240" w:lineRule="auto"/>
        <w:ind w:left="567" w:hanging="170"/>
        <w:rPr>
          <w:lang w:eastAsia="zh-CN"/>
        </w:rPr>
      </w:pPr>
      <w:r>
        <w:rPr>
          <w:rFonts w:ascii="宋体" w:hAnsi="宋体" w:eastAsia="宋体"/>
          <w:sz w:val="24"/>
          <w:lang w:eastAsia="zh-CN"/>
        </w:rPr>
        <w:t>二、经典证据的拼合</w:t>
      </w:r>
    </w:p>
    <w:p w14:paraId="4D6A8BF5">
      <w:pPr>
        <w:spacing w:before="2" w:after="2" w:line="240" w:lineRule="auto"/>
        <w:ind w:left="567" w:hanging="170"/>
        <w:rPr>
          <w:lang w:eastAsia="zh-CN"/>
        </w:rPr>
      </w:pPr>
      <w:r>
        <w:rPr>
          <w:rFonts w:ascii="宋体" w:hAnsi="宋体" w:eastAsia="宋体"/>
          <w:sz w:val="24"/>
          <w:lang w:eastAsia="zh-CN"/>
        </w:rPr>
        <w:t>三、“借壳”还是“换核”？</w:t>
      </w:r>
    </w:p>
    <w:p w14:paraId="0B88243A">
      <w:pPr>
        <w:spacing w:before="2" w:after="2" w:line="240" w:lineRule="auto"/>
        <w:ind w:left="283" w:hanging="170"/>
        <w:rPr>
          <w:lang w:eastAsia="zh-CN"/>
        </w:rPr>
      </w:pPr>
      <w:r>
        <w:rPr>
          <w:rFonts w:ascii="宋体" w:hAnsi="宋体" w:eastAsia="宋体"/>
          <w:b/>
          <w:sz w:val="24"/>
          <w:lang w:eastAsia="zh-CN"/>
        </w:rPr>
        <w:t>第三节 两种策略的内在关联与张力</w:t>
      </w:r>
    </w:p>
    <w:p w14:paraId="00E27FF8">
      <w:pPr>
        <w:spacing w:before="2" w:after="2" w:line="240" w:lineRule="auto"/>
        <w:ind w:left="567" w:hanging="170"/>
        <w:rPr>
          <w:lang w:eastAsia="zh-CN"/>
        </w:rPr>
      </w:pPr>
      <w:r>
        <w:rPr>
          <w:rFonts w:ascii="宋体" w:hAnsi="宋体" w:eastAsia="宋体"/>
          <w:sz w:val="24"/>
          <w:lang w:eastAsia="zh-CN"/>
        </w:rPr>
        <w:t>一、策略的内在统一</w:t>
      </w:r>
    </w:p>
    <w:p w14:paraId="0C53F7BB">
      <w:pPr>
        <w:spacing w:before="2" w:after="2" w:line="240" w:lineRule="auto"/>
        <w:ind w:left="567" w:hanging="170"/>
        <w:rPr>
          <w:lang w:eastAsia="zh-CN"/>
        </w:rPr>
      </w:pPr>
      <w:r>
        <w:rPr>
          <w:rFonts w:ascii="宋体" w:hAnsi="宋体" w:eastAsia="宋体"/>
          <w:sz w:val="24"/>
          <w:lang w:eastAsia="zh-CN"/>
        </w:rPr>
        <w:t>二、策略的内在张力</w:t>
      </w:r>
    </w:p>
    <w:p w14:paraId="0C5381FA">
      <w:pPr>
        <w:spacing w:before="2" w:after="2" w:line="240" w:lineRule="auto"/>
        <w:ind w:left="567" w:hanging="170"/>
        <w:rPr>
          <w:lang w:eastAsia="zh-CN"/>
        </w:rPr>
      </w:pPr>
      <w:r>
        <w:rPr>
          <w:rFonts w:ascii="宋体" w:hAnsi="宋体" w:eastAsia="宋体"/>
          <w:sz w:val="24"/>
          <w:lang w:eastAsia="zh-CN"/>
        </w:rPr>
        <w:t>三、概念挪用的深层本质</w:t>
      </w:r>
    </w:p>
    <w:p w14:paraId="7AAE05E8">
      <w:pPr>
        <w:spacing w:before="2" w:after="2" w:line="240" w:lineRule="auto"/>
        <w:ind w:left="283" w:hanging="170"/>
        <w:rPr>
          <w:lang w:eastAsia="zh-CN"/>
        </w:rPr>
      </w:pPr>
      <w:r>
        <w:rPr>
          <w:rFonts w:ascii="宋体" w:hAnsi="宋体" w:eastAsia="宋体"/>
          <w:b/>
          <w:sz w:val="24"/>
          <w:lang w:eastAsia="zh-CN"/>
        </w:rPr>
        <w:t>本章小结</w:t>
      </w:r>
    </w:p>
    <w:p w14:paraId="012592AE">
      <w:pPr>
        <w:spacing w:before="2" w:after="2" w:line="240" w:lineRule="auto"/>
        <w:ind w:hanging="170"/>
        <w:rPr>
          <w:lang w:eastAsia="zh-CN"/>
        </w:rPr>
      </w:pPr>
      <w:r>
        <w:rPr>
          <w:rFonts w:ascii="宋体" w:hAnsi="宋体" w:eastAsia="宋体"/>
          <w:b/>
          <w:sz w:val="24"/>
          <w:lang w:eastAsia="zh-CN"/>
        </w:rPr>
        <w:t>第三章 接受与变异</w:t>
      </w:r>
    </w:p>
    <w:p w14:paraId="1978BC9C">
      <w:pPr>
        <w:spacing w:before="2" w:after="2" w:line="240" w:lineRule="auto"/>
        <w:ind w:left="283" w:hanging="170"/>
        <w:rPr>
          <w:lang w:eastAsia="zh-CN"/>
        </w:rPr>
      </w:pPr>
      <w:r>
        <w:rPr>
          <w:rFonts w:ascii="宋体" w:hAnsi="宋体" w:eastAsia="宋体"/>
          <w:b/>
          <w:sz w:val="24"/>
          <w:lang w:eastAsia="zh-CN"/>
        </w:rPr>
        <w:t>第一节 接受的分野：三种不同类型的回应</w:t>
      </w:r>
    </w:p>
    <w:p w14:paraId="47E86445">
      <w:pPr>
        <w:spacing w:before="2" w:after="2" w:line="240" w:lineRule="auto"/>
        <w:ind w:left="567" w:hanging="170"/>
        <w:rPr>
          <w:lang w:eastAsia="zh-CN"/>
        </w:rPr>
      </w:pPr>
      <w:r>
        <w:rPr>
          <w:rFonts w:ascii="宋体" w:hAnsi="宋体" w:eastAsia="宋体"/>
          <w:sz w:val="24"/>
          <w:lang w:eastAsia="zh-CN"/>
        </w:rPr>
        <w:t>一、合作性接受</w:t>
      </w:r>
    </w:p>
    <w:p w14:paraId="395B87DE">
      <w:pPr>
        <w:spacing w:before="2" w:after="2" w:line="240" w:lineRule="auto"/>
        <w:ind w:left="567" w:hanging="170"/>
        <w:rPr>
          <w:lang w:eastAsia="zh-CN"/>
        </w:rPr>
      </w:pPr>
      <w:r>
        <w:rPr>
          <w:rFonts w:ascii="宋体" w:hAnsi="宋体" w:eastAsia="宋体"/>
          <w:sz w:val="24"/>
          <w:lang w:eastAsia="zh-CN"/>
        </w:rPr>
        <w:t>二、选择性借鉴</w:t>
      </w:r>
    </w:p>
    <w:p w14:paraId="077814E3">
      <w:pPr>
        <w:spacing w:before="2" w:after="2" w:line="240" w:lineRule="auto"/>
        <w:ind w:left="567" w:hanging="170"/>
        <w:rPr>
          <w:lang w:eastAsia="zh-CN"/>
        </w:rPr>
      </w:pPr>
      <w:r>
        <w:rPr>
          <w:rFonts w:ascii="宋体" w:hAnsi="宋体" w:eastAsia="宋体"/>
          <w:sz w:val="24"/>
          <w:lang w:eastAsia="zh-CN"/>
        </w:rPr>
        <w:t>三、批判性拒绝</w:t>
      </w:r>
    </w:p>
    <w:p w14:paraId="24C5F5A6">
      <w:pPr>
        <w:spacing w:before="2" w:after="2" w:line="240" w:lineRule="auto"/>
        <w:ind w:left="283" w:hanging="170"/>
        <w:rPr>
          <w:lang w:eastAsia="zh-CN"/>
        </w:rPr>
      </w:pPr>
      <w:r>
        <w:rPr>
          <w:rFonts w:ascii="宋体" w:hAnsi="宋体" w:eastAsia="宋体"/>
          <w:b/>
          <w:sz w:val="24"/>
          <w:lang w:eastAsia="zh-CN"/>
        </w:rPr>
        <w:t>第二节 “创造性误解”的机制分析</w:t>
      </w:r>
    </w:p>
    <w:p w14:paraId="596DA916">
      <w:pPr>
        <w:spacing w:before="2" w:after="2" w:line="240" w:lineRule="auto"/>
        <w:ind w:left="567" w:hanging="170"/>
        <w:rPr>
          <w:lang w:eastAsia="zh-CN"/>
        </w:rPr>
      </w:pPr>
      <w:r>
        <w:rPr>
          <w:rFonts w:ascii="宋体" w:hAnsi="宋体" w:eastAsia="宋体"/>
          <w:sz w:val="24"/>
          <w:lang w:eastAsia="zh-CN"/>
        </w:rPr>
        <w:t>一、“前理解”的结构性制约</w:t>
      </w:r>
    </w:p>
    <w:p w14:paraId="5EFC8B47">
      <w:pPr>
        <w:spacing w:before="2" w:after="2" w:line="240" w:lineRule="auto"/>
        <w:ind w:left="567" w:hanging="170"/>
        <w:rPr>
          <w:lang w:eastAsia="zh-CN"/>
        </w:rPr>
      </w:pPr>
      <w:r>
        <w:rPr>
          <w:rFonts w:ascii="宋体" w:hAnsi="宋体" w:eastAsia="宋体"/>
          <w:sz w:val="24"/>
          <w:lang w:eastAsia="zh-CN"/>
        </w:rPr>
        <w:t>二、“意义的游移”</w:t>
      </w:r>
    </w:p>
    <w:p w14:paraId="19781E47">
      <w:pPr>
        <w:spacing w:before="2" w:after="2" w:line="240" w:lineRule="auto"/>
        <w:ind w:left="567" w:hanging="170"/>
        <w:rPr>
          <w:lang w:eastAsia="zh-CN"/>
        </w:rPr>
      </w:pPr>
      <w:r>
        <w:rPr>
          <w:rFonts w:ascii="宋体" w:hAnsi="宋体" w:eastAsia="宋体"/>
          <w:sz w:val="24"/>
          <w:lang w:eastAsia="zh-CN"/>
        </w:rPr>
        <w:t>三、“创造性误解”的历史效果</w:t>
      </w:r>
    </w:p>
    <w:p w14:paraId="302E4A75">
      <w:pPr>
        <w:spacing w:before="2" w:after="2" w:line="240" w:lineRule="auto"/>
        <w:ind w:left="567" w:hanging="170"/>
        <w:rPr>
          <w:lang w:eastAsia="zh-CN"/>
        </w:rPr>
      </w:pPr>
      <w:r>
        <w:rPr>
          <w:rFonts w:ascii="宋体" w:hAnsi="宋体" w:eastAsia="宋体"/>
          <w:sz w:val="24"/>
          <w:lang w:eastAsia="zh-CN"/>
        </w:rPr>
        <w:t>四、“误解”作为跨文化传播的常态与动力</w:t>
      </w:r>
    </w:p>
    <w:p w14:paraId="7AEB3AF9">
      <w:pPr>
        <w:spacing w:before="2" w:after="2" w:line="240" w:lineRule="auto"/>
        <w:ind w:left="283" w:hanging="170"/>
        <w:rPr>
          <w:lang w:eastAsia="zh-CN"/>
        </w:rPr>
      </w:pPr>
      <w:r>
        <w:rPr>
          <w:rFonts w:ascii="宋体" w:hAnsi="宋体" w:eastAsia="宋体"/>
          <w:b/>
          <w:sz w:val="24"/>
          <w:lang w:eastAsia="zh-CN"/>
        </w:rPr>
        <w:t>第三节 从“礼仪之争”到思想遗产</w:t>
      </w:r>
    </w:p>
    <w:p w14:paraId="2D4265CF">
      <w:pPr>
        <w:spacing w:before="2" w:after="2" w:line="240" w:lineRule="auto"/>
        <w:ind w:left="567" w:hanging="170"/>
        <w:rPr>
          <w:lang w:eastAsia="zh-CN"/>
        </w:rPr>
      </w:pPr>
      <w:r>
        <w:rPr>
          <w:rFonts w:ascii="宋体" w:hAnsi="宋体" w:eastAsia="宋体"/>
          <w:sz w:val="24"/>
          <w:lang w:eastAsia="zh-CN"/>
        </w:rPr>
        <w:t>一、“礼仪之争”中的核心分歧</w:t>
      </w:r>
    </w:p>
    <w:p w14:paraId="674879B5">
      <w:pPr>
        <w:spacing w:before="2" w:after="2" w:line="240" w:lineRule="auto"/>
        <w:ind w:left="567" w:hanging="170"/>
        <w:rPr>
          <w:lang w:eastAsia="zh-CN"/>
        </w:rPr>
      </w:pPr>
      <w:r>
        <w:rPr>
          <w:rFonts w:ascii="宋体" w:hAnsi="宋体" w:eastAsia="宋体"/>
          <w:sz w:val="24"/>
          <w:lang w:eastAsia="zh-CN"/>
        </w:rPr>
        <w:t>二、利玛窦策略的未完成性</w:t>
      </w:r>
    </w:p>
    <w:p w14:paraId="627207D8">
      <w:pPr>
        <w:spacing w:before="2" w:after="2" w:line="240" w:lineRule="auto"/>
        <w:ind w:left="567" w:hanging="170"/>
        <w:rPr>
          <w:lang w:eastAsia="zh-CN"/>
        </w:rPr>
      </w:pPr>
      <w:r>
        <w:rPr>
          <w:rFonts w:ascii="宋体" w:hAnsi="宋体" w:eastAsia="宋体"/>
          <w:sz w:val="24"/>
          <w:lang w:eastAsia="zh-CN"/>
        </w:rPr>
        <w:t>三、利玛窦案例的思想遗产</w:t>
      </w:r>
    </w:p>
    <w:p w14:paraId="4BA3C34F">
      <w:pPr>
        <w:spacing w:before="2" w:after="2" w:line="240" w:lineRule="auto"/>
        <w:ind w:left="283" w:hanging="170"/>
        <w:rPr>
          <w:lang w:eastAsia="zh-CN"/>
        </w:rPr>
      </w:pPr>
      <w:r>
        <w:rPr>
          <w:rFonts w:ascii="宋体" w:hAnsi="宋体" w:eastAsia="宋体"/>
          <w:b/>
          <w:sz w:val="24"/>
          <w:lang w:eastAsia="zh-CN"/>
        </w:rPr>
        <w:t>本章小结</w:t>
      </w:r>
    </w:p>
    <w:p w14:paraId="64887F5F">
      <w:pPr>
        <w:spacing w:before="2" w:after="2" w:line="240" w:lineRule="auto"/>
        <w:ind w:hanging="170"/>
        <w:rPr>
          <w:lang w:eastAsia="zh-CN"/>
        </w:rPr>
      </w:pPr>
      <w:r>
        <w:rPr>
          <w:rFonts w:ascii="宋体" w:hAnsi="宋体" w:eastAsia="宋体"/>
          <w:b/>
          <w:sz w:val="24"/>
          <w:lang w:eastAsia="zh-CN"/>
        </w:rPr>
        <w:t>第四章 历史效应与反思</w:t>
      </w:r>
    </w:p>
    <w:p w14:paraId="638B38E6">
      <w:pPr>
        <w:spacing w:before="2" w:after="2" w:line="240" w:lineRule="auto"/>
        <w:ind w:left="283" w:hanging="170"/>
        <w:rPr>
          <w:lang w:eastAsia="zh-CN"/>
        </w:rPr>
      </w:pPr>
      <w:r>
        <w:rPr>
          <w:rFonts w:ascii="宋体" w:hAnsi="宋体" w:eastAsia="宋体"/>
          <w:b/>
          <w:sz w:val="24"/>
          <w:lang w:eastAsia="zh-CN"/>
        </w:rPr>
        <w:t>第一节 从“概念挪用”到“思想再生产”</w:t>
      </w:r>
    </w:p>
    <w:p w14:paraId="6F12C424">
      <w:pPr>
        <w:spacing w:before="2" w:after="2" w:line="240" w:lineRule="auto"/>
        <w:ind w:left="567" w:hanging="170"/>
        <w:rPr>
          <w:lang w:eastAsia="zh-CN"/>
        </w:rPr>
      </w:pPr>
      <w:r>
        <w:rPr>
          <w:rFonts w:ascii="宋体" w:hAnsi="宋体" w:eastAsia="宋体"/>
          <w:sz w:val="24"/>
          <w:lang w:eastAsia="zh-CN"/>
        </w:rPr>
        <w:t>一、从“挪用”到“再挪用”</w:t>
      </w:r>
    </w:p>
    <w:p w14:paraId="3DFB8B32">
      <w:pPr>
        <w:spacing w:before="2" w:after="2" w:line="240" w:lineRule="auto"/>
        <w:ind w:left="567" w:hanging="170"/>
        <w:rPr>
          <w:lang w:eastAsia="zh-CN"/>
        </w:rPr>
      </w:pPr>
      <w:r>
        <w:rPr>
          <w:rFonts w:ascii="宋体" w:hAnsi="宋体" w:eastAsia="宋体"/>
          <w:sz w:val="24"/>
          <w:lang w:eastAsia="zh-CN"/>
        </w:rPr>
        <w:t>二、对儒家思想的刺激与激活</w:t>
      </w:r>
    </w:p>
    <w:p w14:paraId="7617C937">
      <w:pPr>
        <w:spacing w:before="2" w:after="2" w:line="240" w:lineRule="auto"/>
        <w:ind w:left="567" w:hanging="170"/>
        <w:rPr>
          <w:lang w:eastAsia="zh-CN"/>
        </w:rPr>
      </w:pPr>
      <w:r>
        <w:rPr>
          <w:rFonts w:ascii="宋体" w:hAnsi="宋体" w:eastAsia="宋体"/>
          <w:sz w:val="24"/>
          <w:lang w:eastAsia="zh-CN"/>
        </w:rPr>
        <w:t>三、近代中国思想史中的回响</w:t>
      </w:r>
    </w:p>
    <w:p w14:paraId="098F2AD6">
      <w:pPr>
        <w:spacing w:before="2" w:after="2" w:line="240" w:lineRule="auto"/>
        <w:ind w:left="283" w:hanging="170"/>
        <w:rPr>
          <w:lang w:eastAsia="zh-CN"/>
        </w:rPr>
      </w:pPr>
      <w:r>
        <w:rPr>
          <w:rFonts w:ascii="宋体" w:hAnsi="宋体" w:eastAsia="宋体"/>
          <w:b/>
          <w:sz w:val="24"/>
          <w:lang w:eastAsia="zh-CN"/>
        </w:rPr>
        <w:t>第二节 跨文化对话中的“不可通约性”问题</w:t>
      </w:r>
    </w:p>
    <w:p w14:paraId="546AFDED">
      <w:pPr>
        <w:spacing w:before="2" w:after="2" w:line="240" w:lineRule="auto"/>
        <w:ind w:left="567" w:hanging="170"/>
        <w:rPr>
          <w:lang w:eastAsia="zh-CN"/>
        </w:rPr>
      </w:pPr>
      <w:r>
        <w:rPr>
          <w:rFonts w:ascii="宋体" w:hAnsi="宋体" w:eastAsia="宋体"/>
          <w:sz w:val="24"/>
          <w:lang w:eastAsia="zh-CN"/>
        </w:rPr>
        <w:t>一、“不可通约性”的理论内涵</w:t>
      </w:r>
    </w:p>
    <w:p w14:paraId="279C510E">
      <w:pPr>
        <w:spacing w:before="2" w:after="2" w:line="240" w:lineRule="auto"/>
        <w:ind w:left="567" w:hanging="170"/>
        <w:rPr>
          <w:lang w:eastAsia="zh-CN"/>
        </w:rPr>
      </w:pPr>
      <w:r>
        <w:rPr>
          <w:rFonts w:ascii="宋体" w:hAnsi="宋体" w:eastAsia="宋体"/>
          <w:sz w:val="24"/>
          <w:lang w:eastAsia="zh-CN"/>
        </w:rPr>
        <w:t>二、“翻译即背离”</w:t>
      </w:r>
    </w:p>
    <w:p w14:paraId="32DE4567">
      <w:pPr>
        <w:spacing w:before="2" w:after="2" w:line="240" w:lineRule="auto"/>
        <w:ind w:left="567" w:hanging="170"/>
        <w:rPr>
          <w:lang w:eastAsia="zh-CN"/>
        </w:rPr>
      </w:pPr>
      <w:r>
        <w:rPr>
          <w:rFonts w:ascii="宋体" w:hAnsi="宋体" w:eastAsia="宋体"/>
          <w:sz w:val="24"/>
          <w:lang w:eastAsia="zh-CN"/>
        </w:rPr>
        <w:t>三、如何在“不可通约”中寻找“可通约”？</w:t>
      </w:r>
    </w:p>
    <w:p w14:paraId="1419468E">
      <w:pPr>
        <w:spacing w:before="2" w:after="2" w:line="240" w:lineRule="auto"/>
        <w:ind w:left="567" w:hanging="170"/>
        <w:rPr>
          <w:lang w:eastAsia="zh-CN"/>
        </w:rPr>
      </w:pPr>
      <w:r>
        <w:rPr>
          <w:rFonts w:ascii="宋体" w:hAnsi="宋体" w:eastAsia="宋体"/>
          <w:sz w:val="24"/>
          <w:lang w:eastAsia="zh-CN"/>
        </w:rPr>
        <w:t>四、利玛窦案例的理论启示</w:t>
      </w:r>
    </w:p>
    <w:p w14:paraId="28B469AA">
      <w:pPr>
        <w:spacing w:before="2" w:after="2" w:line="240" w:lineRule="auto"/>
        <w:ind w:left="283" w:hanging="170"/>
        <w:rPr>
          <w:lang w:eastAsia="zh-CN"/>
        </w:rPr>
      </w:pPr>
      <w:r>
        <w:rPr>
          <w:rFonts w:ascii="宋体" w:hAnsi="宋体" w:eastAsia="宋体"/>
          <w:b/>
          <w:sz w:val="24"/>
          <w:lang w:eastAsia="zh-CN"/>
        </w:rPr>
        <w:t>第三节 从案例到原则：文明互鉴的方法论提炼</w:t>
      </w:r>
    </w:p>
    <w:p w14:paraId="2C465B74">
      <w:pPr>
        <w:spacing w:before="2" w:after="2" w:line="240" w:lineRule="auto"/>
        <w:ind w:left="567" w:hanging="170"/>
        <w:rPr>
          <w:lang w:eastAsia="zh-CN"/>
        </w:rPr>
      </w:pPr>
      <w:r>
        <w:rPr>
          <w:rFonts w:ascii="宋体" w:hAnsi="宋体" w:eastAsia="宋体"/>
          <w:sz w:val="24"/>
          <w:lang w:eastAsia="zh-CN"/>
        </w:rPr>
        <w:t>一、文化适应与身份重构</w:t>
      </w:r>
    </w:p>
    <w:p w14:paraId="222F2990">
      <w:pPr>
        <w:spacing w:before="2" w:after="2" w:line="240" w:lineRule="auto"/>
        <w:ind w:left="567" w:hanging="170"/>
        <w:rPr>
          <w:lang w:eastAsia="zh-CN"/>
        </w:rPr>
      </w:pPr>
      <w:r>
        <w:rPr>
          <w:rFonts w:ascii="宋体" w:hAnsi="宋体" w:eastAsia="宋体"/>
          <w:sz w:val="24"/>
          <w:lang w:eastAsia="zh-CN"/>
        </w:rPr>
        <w:t>二、双向互惠与知识共建</w:t>
      </w:r>
    </w:p>
    <w:p w14:paraId="065A4A8A">
      <w:pPr>
        <w:spacing w:before="2" w:after="2" w:line="240" w:lineRule="auto"/>
        <w:ind w:left="567" w:hanging="170"/>
      </w:pPr>
      <w:r>
        <w:rPr>
          <w:rFonts w:ascii="宋体" w:hAnsi="宋体" w:eastAsia="宋体"/>
          <w:sz w:val="24"/>
        </w:rPr>
        <w:t>三、和而不同与求同存异</w:t>
      </w:r>
    </w:p>
    <w:p w14:paraId="50EA3FB6">
      <w:pPr>
        <w:spacing w:before="2" w:after="2" w:line="240" w:lineRule="auto"/>
        <w:ind w:left="567" w:hanging="170"/>
        <w:rPr>
          <w:lang w:eastAsia="zh-CN"/>
        </w:rPr>
      </w:pPr>
      <w:r>
        <w:rPr>
          <w:rFonts w:ascii="宋体" w:hAnsi="宋体" w:eastAsia="宋体"/>
          <w:sz w:val="24"/>
          <w:lang w:eastAsia="zh-CN"/>
        </w:rPr>
        <w:t>四、制度化保障与代际传承</w:t>
      </w:r>
    </w:p>
    <w:p w14:paraId="459B1012">
      <w:pPr>
        <w:spacing w:before="2" w:after="2" w:line="240" w:lineRule="auto"/>
        <w:ind w:left="283" w:hanging="170"/>
        <w:rPr>
          <w:lang w:eastAsia="zh-CN"/>
        </w:rPr>
      </w:pPr>
      <w:r>
        <w:rPr>
          <w:rFonts w:ascii="宋体" w:hAnsi="宋体" w:eastAsia="宋体"/>
          <w:b/>
          <w:sz w:val="24"/>
          <w:lang w:eastAsia="zh-CN"/>
        </w:rPr>
        <w:t>第四节 文明互鉴的当代挑战与应对</w:t>
      </w:r>
    </w:p>
    <w:p w14:paraId="68C44C0B">
      <w:pPr>
        <w:spacing w:before="2" w:after="2" w:line="240" w:lineRule="auto"/>
        <w:ind w:left="567" w:hanging="170"/>
        <w:rPr>
          <w:lang w:eastAsia="zh-CN"/>
        </w:rPr>
      </w:pPr>
      <w:r>
        <w:rPr>
          <w:rFonts w:ascii="宋体" w:hAnsi="宋体" w:eastAsia="宋体"/>
          <w:sz w:val="24"/>
          <w:lang w:eastAsia="zh-CN"/>
        </w:rPr>
        <w:t>一、文化焦虑与身份政治的张力</w:t>
      </w:r>
    </w:p>
    <w:p w14:paraId="4DA6231A">
      <w:pPr>
        <w:spacing w:before="2" w:after="2" w:line="240" w:lineRule="auto"/>
        <w:ind w:left="567" w:hanging="170"/>
        <w:rPr>
          <w:lang w:eastAsia="zh-CN"/>
        </w:rPr>
      </w:pPr>
      <w:r>
        <w:rPr>
          <w:rFonts w:ascii="宋体" w:hAnsi="宋体" w:eastAsia="宋体"/>
          <w:sz w:val="24"/>
          <w:lang w:eastAsia="zh-CN"/>
        </w:rPr>
        <w:t>二、数字时代的“信息茧房”</w:t>
      </w:r>
    </w:p>
    <w:p w14:paraId="799D85DE">
      <w:pPr>
        <w:spacing w:before="2" w:after="2" w:line="240" w:lineRule="auto"/>
        <w:ind w:left="567" w:hanging="170"/>
        <w:rPr>
          <w:lang w:eastAsia="zh-CN"/>
        </w:rPr>
      </w:pPr>
      <w:r>
        <w:rPr>
          <w:rFonts w:ascii="宋体" w:hAnsi="宋体" w:eastAsia="宋体"/>
          <w:sz w:val="24"/>
          <w:lang w:eastAsia="zh-CN"/>
        </w:rPr>
        <w:t>三、从“精英对话”到“大众互鉴”</w:t>
      </w:r>
    </w:p>
    <w:p w14:paraId="2B25854B">
      <w:pPr>
        <w:spacing w:before="2" w:after="2" w:line="240" w:lineRule="auto"/>
        <w:ind w:left="283" w:hanging="170"/>
        <w:rPr>
          <w:lang w:eastAsia="zh-CN"/>
        </w:rPr>
      </w:pPr>
      <w:r>
        <w:rPr>
          <w:rFonts w:ascii="宋体" w:hAnsi="宋体" w:eastAsia="宋体"/>
          <w:b/>
          <w:sz w:val="24"/>
          <w:lang w:eastAsia="zh-CN"/>
        </w:rPr>
        <w:t>第五节 从互鉴到融合</w:t>
      </w:r>
    </w:p>
    <w:p w14:paraId="59775A99">
      <w:pPr>
        <w:spacing w:before="2" w:after="2" w:line="240" w:lineRule="auto"/>
        <w:ind w:hanging="170"/>
        <w:rPr>
          <w:lang w:eastAsia="zh-CN"/>
        </w:rPr>
      </w:pPr>
      <w:r>
        <w:rPr>
          <w:rFonts w:ascii="宋体" w:hAnsi="宋体" w:eastAsia="宋体"/>
          <w:b/>
          <w:sz w:val="24"/>
          <w:lang w:eastAsia="zh-CN"/>
        </w:rPr>
        <w:t>第五章 结语</w:t>
      </w:r>
    </w:p>
    <w:p w14:paraId="52DB7CF1">
      <w:pPr>
        <w:spacing w:before="2" w:after="2" w:line="240" w:lineRule="auto"/>
        <w:ind w:left="283" w:hanging="170"/>
        <w:rPr>
          <w:lang w:eastAsia="zh-CN"/>
        </w:rPr>
      </w:pPr>
      <w:r>
        <w:rPr>
          <w:rFonts w:ascii="宋体" w:hAnsi="宋体" w:eastAsia="宋体"/>
          <w:b/>
          <w:sz w:val="24"/>
          <w:lang w:eastAsia="zh-CN"/>
        </w:rPr>
        <w:t>第一节 总结全文</w:t>
      </w:r>
    </w:p>
    <w:p w14:paraId="49550FD4">
      <w:pPr>
        <w:spacing w:before="2" w:after="2" w:line="240" w:lineRule="auto"/>
        <w:ind w:left="283" w:hanging="170"/>
        <w:rPr>
          <w:lang w:eastAsia="zh-CN"/>
        </w:rPr>
      </w:pPr>
      <w:r>
        <w:rPr>
          <w:rFonts w:ascii="宋体" w:hAnsi="宋体" w:eastAsia="宋体"/>
          <w:b/>
          <w:sz w:val="24"/>
          <w:lang w:eastAsia="zh-CN"/>
        </w:rPr>
        <w:t>第二节 定性评价</w:t>
      </w:r>
    </w:p>
    <w:p w14:paraId="5F4D0F88">
      <w:pPr>
        <w:spacing w:before="2" w:after="2" w:line="240" w:lineRule="auto"/>
        <w:ind w:left="283" w:hanging="170"/>
        <w:rPr>
          <w:lang w:eastAsia="zh-CN"/>
        </w:rPr>
      </w:pPr>
      <w:r>
        <w:rPr>
          <w:rFonts w:ascii="宋体" w:hAnsi="宋体" w:eastAsia="宋体"/>
          <w:b/>
          <w:sz w:val="24"/>
          <w:lang w:eastAsia="zh-CN"/>
        </w:rPr>
        <w:t>第三节 最终升华</w:t>
      </w:r>
    </w:p>
    <w:p w14:paraId="2A59B43E">
      <w:pPr>
        <w:spacing w:before="2" w:after="2" w:line="240" w:lineRule="auto"/>
        <w:ind w:left="283" w:hanging="170"/>
        <w:rPr>
          <w:lang w:eastAsia="zh-CN"/>
        </w:rPr>
      </w:pPr>
      <w:r>
        <w:rPr>
          <w:rFonts w:ascii="宋体" w:hAnsi="宋体" w:eastAsia="宋体"/>
          <w:b/>
          <w:sz w:val="24"/>
          <w:lang w:eastAsia="zh-CN"/>
        </w:rPr>
        <w:t>第四节 对当代“基督教中国化”的正向意义</w:t>
      </w:r>
    </w:p>
    <w:p w14:paraId="4E646E36">
      <w:pPr>
        <w:spacing w:before="2" w:after="2" w:line="240" w:lineRule="auto"/>
        <w:ind w:hanging="170"/>
        <w:rPr>
          <w:lang w:eastAsia="zh-CN"/>
        </w:rPr>
      </w:pPr>
      <w:r>
        <w:rPr>
          <w:rFonts w:ascii="宋体" w:hAnsi="宋体" w:eastAsia="宋体"/>
          <w:b/>
          <w:sz w:val="24"/>
          <w:lang w:eastAsia="zh-CN"/>
        </w:rPr>
        <w:t>参考文献</w:t>
      </w:r>
    </w:p>
    <w:p w14:paraId="7DE4F697">
      <w:pPr>
        <w:spacing w:before="2" w:after="2" w:line="240" w:lineRule="auto"/>
        <w:ind w:hanging="170"/>
        <w:rPr>
          <w:lang w:eastAsia="zh-CN"/>
        </w:rPr>
      </w:pPr>
      <w:r>
        <w:rPr>
          <w:rFonts w:ascii="宋体" w:hAnsi="宋体" w:eastAsia="宋体"/>
          <w:b/>
          <w:sz w:val="24"/>
          <w:lang w:eastAsia="zh-CN"/>
        </w:rPr>
        <w:t>附 录</w:t>
      </w:r>
    </w:p>
    <w:p w14:paraId="53D4EB0D">
      <w:pPr>
        <w:spacing w:before="2" w:after="2" w:line="240" w:lineRule="auto"/>
        <w:ind w:left="283" w:hanging="170"/>
        <w:rPr>
          <w:lang w:eastAsia="zh-CN"/>
        </w:rPr>
      </w:pPr>
      <w:r>
        <w:rPr>
          <w:rFonts w:ascii="宋体" w:hAnsi="宋体" w:eastAsia="宋体"/>
          <w:b/>
          <w:sz w:val="24"/>
          <w:lang w:eastAsia="zh-CN"/>
        </w:rPr>
        <w:t>一、致  谢</w:t>
      </w:r>
    </w:p>
    <w:p w14:paraId="2A4A36A7">
      <w:pPr>
        <w:spacing w:before="2" w:after="2" w:line="240" w:lineRule="auto"/>
        <w:ind w:left="283" w:hanging="170"/>
        <w:rPr>
          <w:lang w:eastAsia="zh-CN"/>
        </w:rPr>
      </w:pPr>
      <w:r>
        <w:rPr>
          <w:rFonts w:ascii="宋体" w:hAnsi="宋体" w:eastAsia="宋体"/>
          <w:b/>
          <w:sz w:val="24"/>
          <w:lang w:eastAsia="zh-CN"/>
        </w:rPr>
        <w:t>二、论文原创性声明</w:t>
      </w:r>
    </w:p>
    <w:p w14:paraId="7C1F71D7">
      <w:pPr>
        <w:rPr>
          <w:lang w:eastAsia="zh-CN"/>
        </w:rPr>
      </w:pPr>
      <w:r>
        <w:rPr>
          <w:lang w:eastAsia="zh-CN"/>
        </w:rPr>
        <w:br w:type="page"/>
      </w:r>
    </w:p>
    <w:p w14:paraId="5D5F48C1">
      <w:pPr>
        <w:pStyle w:val="3"/>
        <w:spacing w:before="240" w:after="240"/>
        <w:rPr>
          <w:lang w:eastAsia="zh-CN"/>
        </w:rPr>
      </w:pPr>
      <w:r>
        <w:rPr>
          <w:lang w:eastAsia="zh-CN"/>
        </w:rPr>
        <w:t xml:space="preserve">第一章 </w:t>
      </w:r>
      <w:r>
        <w:rPr>
          <w:rFonts w:hint="eastAsia"/>
          <w:lang w:eastAsia="zh-CN"/>
        </w:rPr>
        <w:t>引言</w:t>
      </w:r>
    </w:p>
    <w:p w14:paraId="2B76F380">
      <w:pPr>
        <w:pStyle w:val="4"/>
        <w:spacing w:before="120" w:after="120"/>
        <w:ind w:firstLine="562"/>
        <w:rPr>
          <w:lang w:eastAsia="zh-CN"/>
        </w:rPr>
      </w:pPr>
      <w:r>
        <w:rPr>
          <w:lang w:eastAsia="zh-CN"/>
        </w:rPr>
        <w:t>第一节 问题缘起</w:t>
      </w:r>
    </w:p>
    <w:p w14:paraId="0C16E470">
      <w:pPr>
        <w:spacing w:line="360" w:lineRule="auto"/>
        <w:ind w:firstLine="420"/>
        <w:rPr>
          <w:rFonts w:hint="eastAsia" w:eastAsia="宋体"/>
          <w:lang w:eastAsia="zh-CN"/>
        </w:rPr>
      </w:pPr>
      <w:r>
        <w:rPr>
          <w:rFonts w:ascii="宋体" w:hAnsi="宋体" w:eastAsia="宋体"/>
          <w:sz w:val="24"/>
          <w:lang w:eastAsia="zh-CN"/>
        </w:rPr>
        <w:t>明万历年间，中国士人面对着一种前所未有的思想景象。利玛窦（Matteo Ricci，1552–1610）身着儒服，手持《天主实义》（1603年刊行），与当时最顶尖的儒家学者展开了一场持续数十年的对话。这场对话不只是两种异质文明的相遇，更是一次深层概念体系的碰撞。碰撞的核心焦点之一，便是宋明理学中两个极其根深蒂固的概念——“理”与“太极”。 如果不理解“理”与“太极”在宋明思想世界中的位置，就无法理解利玛窦所面对的困难。朱熹（1130–1200）在《朱子语类》中明确说过：“太极只是一个理字。”</w:t>
      </w:r>
      <w:r>
        <w:rPr>
          <w:rStyle w:val="138"/>
          <w:rFonts w:ascii="宋体" w:hAnsi="宋体" w:eastAsia="宋体"/>
          <w:sz w:val="24"/>
        </w:rPr>
        <w:footnoteReference w:id="0"/>
      </w:r>
      <w:r>
        <w:rPr>
          <w:rFonts w:ascii="宋体" w:hAnsi="宋体" w:eastAsia="宋体"/>
          <w:sz w:val="24"/>
          <w:lang w:eastAsia="zh-CN"/>
        </w:rPr>
        <w:t>在程朱理学的体系里，“理”既是宇宙万物的本源秩序，又是人伦道德的终极根据。它无形无象、无生无灭，却又遍在一切——既是“所以然之故”，又是“所当然之则”。周敦颐（1017–1073）《太极图说》开篇便称“无极而太极”，标志着宇宙论与本体论的统一。</w:t>
      </w:r>
      <w:r>
        <w:rPr>
          <w:rStyle w:val="138"/>
          <w:rFonts w:ascii="宋体" w:hAnsi="宋体" w:eastAsia="宋体"/>
          <w:sz w:val="24"/>
        </w:rPr>
        <w:footnoteReference w:id="1"/>
      </w:r>
      <w:r>
        <w:rPr>
          <w:rFonts w:ascii="宋体" w:hAnsi="宋体" w:eastAsia="宋体"/>
          <w:sz w:val="24"/>
          <w:lang w:eastAsia="zh-CN"/>
        </w:rPr>
        <w:t>到明代中后期，“理”与“太极”不仅是哲学思辨的范畴，更是科举考试中士人必须熟练掌握的核心概念。任何试图取代或改造这一概念体系的尝试，都会遭遇来自整个教育制度和思想传统的双重阻力。 利玛窦的选择却极为大胆。他没有像同时代的其他传教士那样回避中国哲学的核心范畴，而是主动进入“理”与“太极”的语义场，试图从内部解构其正当性。在《天主实义》第二篇“解释世人错认天主”中，利玛窦明确批评宋儒将“理”视为宇宙本原的观点，认为“理”作为依附于物的属性，不能成为生成万物的第一因。</w:t>
      </w:r>
      <w:r>
        <w:rPr>
          <w:rStyle w:val="138"/>
          <w:rFonts w:hint="eastAsia" w:ascii="宋体" w:hAnsi="宋体" w:eastAsia="宋体"/>
          <w:sz w:val="24"/>
          <w:lang w:eastAsia="zh-CN"/>
        </w:rPr>
        <w:footnoteReference w:id="2"/>
      </w:r>
      <w:r>
        <w:rPr>
          <w:rFonts w:ascii="宋体" w:hAnsi="宋体" w:eastAsia="宋体"/>
          <w:sz w:val="24"/>
          <w:lang w:eastAsia="zh-CN"/>
        </w:rPr>
        <w:t>然而，如果仅仅停留在否定的层面，利玛窦就无法获得中国士人的信任。他同时还需要提出一个可替代的方案——将“上帝”这一上古儒家经典中已存在的至高存在论概念，与基督教的“Deus”对接起来，进而论证儒家的原始经典（“六经”）与基督教神学本就同源。 这套操作，可以形象地称之为“釜底抽薪”与“借壳上市”。所谓“釜底抽薪”，是指利玛窦直接挑战宋儒赋予“理”与“太极”的本体论地位，将朱熹精心建构的“理—气—太极”层级体系降格为次要的、从属性的位置。所谓“借壳上市”，则是指他在拆除宋儒理论根基的同时，利用中国经典中“上帝”这一现成的文化符号，为自己的神学体系打造一个合法的“外壳”，使之在儒家语境中取得正当性。 但这种策略蕴含着一个无法回避的内在张力。当利玛窦借助“上帝”概念来翻译“Deus”时，他势必需要将“上帝”原本在中国文化中的丰富含义加以筛选、裁剪甚至扭曲。同样，当他批判“理”与“太极”时，他实际上是在用西方经院哲学（尤其是托马斯·阿奎那的存有层级论）的标尺来衡量中国思想。这种“以西格中”的做法，究竟是跨文化对话中不可避免的“视域融合”（借用迦达默尔的术语），还是某种变相的思想殖民？利玛窦之后的明清之际，接受者们的反应又是怎样的？这些问题，构成了本文的核心关切。 利玛窦之所以值得我们今天重返研究，并非因为他的论点是绝对正确的，而是因为他示范了一种极其“自觉”的跨文化书写方式。他不是随意的对话者，而是有着明确理论预设的“概念改造者”。通过分析他如何处理“理”与“太极”这两个概念，我们可以观察到一种精细的“意义迁移”过程：概念在不同文化壁垒之间的移动，并非简单的搬运，而是必然经历断裂、重塑、遗失与创生。这一过程背后隐藏的机制，正是本文试图揭示的核心。 从更宏观的意义上而言，利玛窦的案例一直持续到今天仍具有回响。全球语境下的文明交流，往往面临着类似的问题：如何在保持自身核心教义不变的前提下，与异质文化进行有意义的沟通？利玛窦的“适应策略”是否只是一种权宜之计，还是存在某种更深层的理论正当性？百年来，从孙尚扬、谢和耐到近年来的中外学者，对此问题众说纷纭。本文正是希望能够在前人研究的基础上，沿着“策略—机制—意义”这一线索，推进我们对于利玛窦遗产的理解。</w:t>
      </w:r>
      <w:r>
        <w:rPr>
          <w:sz w:val="16"/>
          <w:vertAlign w:val="superscript"/>
        </w:rPr>
        <w:t>[11][1][2]</w:t>
      </w:r>
    </w:p>
    <w:p w14:paraId="65465AE0">
      <w:pPr>
        <w:pStyle w:val="4"/>
        <w:spacing w:before="120" w:after="120"/>
        <w:ind w:firstLine="562"/>
        <w:rPr>
          <w:lang w:eastAsia="zh-CN"/>
        </w:rPr>
      </w:pPr>
      <w:r>
        <w:rPr>
          <w:lang w:eastAsia="zh-CN"/>
        </w:rPr>
        <w:t>第二节 国内外研究现状状</w:t>
      </w:r>
    </w:p>
    <w:p w14:paraId="57193A6F">
      <w:pPr>
        <w:spacing w:line="360" w:lineRule="auto"/>
        <w:ind w:firstLine="420"/>
        <w:rPr>
          <w:lang w:eastAsia="zh-CN"/>
        </w:rPr>
      </w:pPr>
      <w:r>
        <w:rPr>
          <w:rFonts w:ascii="宋体" w:hAnsi="宋体" w:eastAsia="宋体"/>
          <w:sz w:val="24"/>
          <w:lang w:eastAsia="zh-CN"/>
        </w:rPr>
        <w:t>关于利玛窦的研究，在西方学界与汉语学界均已有相当深厚的积累。与本文主题直接相关的研究，大致可以从三个方向加以梳理。 第一，关于利玛窦“适应策略”的研究。 早在20世纪初期，法国汉学家谢和耐（Jacques Gernet）在其代表作《中国与基督教：一种文化的冲突》中，就对利玛窦的适应策略提出了深刻的质疑。谢和耐认为，利玛窦表面上的“融入”并没能弥合耶儒之间的深层断裂——二者的语言、思维模式及对“存在”的理解从根本上就是不可通约的。谢和耐的判断对后来的研究影响深远，但也引发了不少中国学者的反驳。孙尚扬在《明末耶儒之间的论辩及其现代意义》一文中，就通过详细分析《天主实义》中各条论辩逻辑，指出利玛窦在论说策略上并非简单粗暴的“以西格中”，而是一种结合了辩证与修辞的双重路径。</w:t>
      </w:r>
      <w:r>
        <w:rPr>
          <w:rStyle w:val="138"/>
          <w:rFonts w:hint="eastAsia" w:ascii="宋体" w:hAnsi="宋体" w:eastAsia="宋体"/>
          <w:sz w:val="24"/>
          <w:lang w:eastAsia="zh-CN"/>
        </w:rPr>
        <w:footnoteReference w:id="3"/>
      </w:r>
      <w:r>
        <w:rPr>
          <w:rFonts w:ascii="宋体" w:hAnsi="宋体" w:eastAsia="宋体"/>
          <w:sz w:val="24"/>
          <w:lang w:eastAsia="zh-CN"/>
        </w:rPr>
        <w:t>近年来，德国学者魏扬波（Jean-Paul Wiest）的研究则更为细腻地考察了利玛窦在翻译和写作中如何处理关键术语，特别是“God”一词的中文对应。魏扬波指出，利玛窦选用“上帝”而非“天主”或“神”，既有神学上的考量，也有很强的修辞意图，即通过与“六经”权威话语的对接，来提升基督教在中国士人中的可信度。</w:t>
      </w:r>
      <w:r>
        <w:rPr>
          <w:rStyle w:val="138"/>
          <w:rFonts w:hint="eastAsia" w:ascii="宋体" w:hAnsi="宋体" w:eastAsia="宋体"/>
          <w:sz w:val="24"/>
          <w:lang w:eastAsia="zh-CN"/>
        </w:rPr>
        <w:footnoteReference w:id="4"/>
      </w:r>
      <w:r>
        <w:rPr>
          <w:rFonts w:ascii="宋体" w:hAnsi="宋体" w:eastAsia="宋体"/>
          <w:sz w:val="24"/>
          <w:lang w:eastAsia="zh-CN"/>
        </w:rPr>
        <w:t>[13][20][46][16][38][47] 这一观察对本文的分析有直接助益。 第二，关于“理”与“太极”概念的专项研究。 这是本文最直接的理论焦点。学界对于利玛窦究竟是否理解朱熹的“理”存在广泛争论。有的观点认为，利玛窦由于带着强烈的经院哲学预设，因此根本无法正确把握“理”作为形而上学原则的复杂性。例如，学者朱谦之在《中国哲学对欧洲的影响》中曾提到，利玛窦对“理”的理解停留在“属性”层面，没有进入朱熹哲学的核心。</w:t>
      </w:r>
      <w:r>
        <w:rPr>
          <w:rStyle w:val="138"/>
          <w:rFonts w:hint="eastAsia" w:ascii="宋体" w:hAnsi="宋体" w:eastAsia="宋体"/>
          <w:sz w:val="24"/>
          <w:lang w:eastAsia="zh-CN"/>
        </w:rPr>
        <w:footnoteReference w:id="5"/>
      </w:r>
      <w:r>
        <w:rPr>
          <w:rFonts w:ascii="宋体" w:hAnsi="宋体" w:eastAsia="宋体"/>
          <w:sz w:val="24"/>
          <w:lang w:eastAsia="zh-CN"/>
        </w:rPr>
        <w:t>然而，另一派学者，如香港中文大学的黄保罗（Paulos Huang），则主张利玛窦对“理”的批评实际上是一种“有意扭曲”，其目的不是为了理解朱熹，而是为了在儒耶之间制造出一个“可替换的间隙”，从而在语义上为“Deus”的进入预留空间。</w:t>
      </w:r>
      <w:r>
        <w:rPr>
          <w:rStyle w:val="138"/>
          <w:rFonts w:hint="eastAsia" w:ascii="宋体" w:hAnsi="宋体" w:eastAsia="宋体"/>
          <w:sz w:val="24"/>
          <w:lang w:eastAsia="zh-CN"/>
        </w:rPr>
        <w:footnoteReference w:id="6"/>
      </w:r>
      <w:r>
        <w:rPr>
          <w:rFonts w:ascii="宋体" w:hAnsi="宋体" w:eastAsia="宋体"/>
          <w:sz w:val="24"/>
          <w:lang w:eastAsia="zh-CN"/>
        </w:rPr>
        <w:t>这种“有意扭曲”说，与本文提出的“概念挪用”框架高度吻合。不过，黄保罗更多地侧重于神学动机的分析，而对具体的概念重组过程着墨不多。 第三，关于明清之际士大夫接受状况的研究。 利玛窦编写《天主实义》并非在真空中写作，他的文本很快就在中国士大夫圈子中得到了反馈。徐光启（1562–1633）作为利玛窦最重要的合作者，受其影响皈依了天主教，但徐光启对“天”与“上帝”的理解是否与利玛窦完全一致，学界仍有不同意见。学者林金水对徐光启手稿的考证显示，徐光启更倾向于将天主教理解为一种“补儒”的学说，即用基督教教义来弥补儒家在终极关怀上的不足，而非取而代之。</w:t>
      </w:r>
      <w:r>
        <w:rPr>
          <w:rStyle w:val="138"/>
          <w:rFonts w:hint="eastAsia" w:ascii="宋体" w:hAnsi="宋体" w:eastAsia="宋体"/>
          <w:sz w:val="24"/>
          <w:lang w:eastAsia="zh-CN"/>
        </w:rPr>
        <w:footnoteReference w:id="7"/>
      </w:r>
      <w:r>
        <w:rPr>
          <w:rFonts w:ascii="宋体" w:hAnsi="宋体" w:eastAsia="宋体"/>
          <w:sz w:val="24"/>
          <w:lang w:eastAsia="zh-CN"/>
        </w:rPr>
        <w:t>此外，李贽（1527–1602）虽未皈依，但与利玛窦有过数次交往。在他的《续焚书》中，李贽将利玛窦评价为“一极标致人也”，但他对利玛窦哲学观点的接受程度如何，仍有待进一步厘清。晚明黄宗羲（1610–1695）作为宋明理学的总结者，在《明夷待访录》中对西来学说持有审慎保留的态度，未明确接受利玛窦对“理”与“太极”的批评，反而坚持了王学左派的立场。</w:t>
      </w:r>
      <w:r>
        <w:rPr>
          <w:rStyle w:val="138"/>
          <w:rFonts w:hint="eastAsia" w:ascii="宋体" w:hAnsi="宋体" w:eastAsia="宋体"/>
          <w:sz w:val="24"/>
          <w:lang w:eastAsia="zh-CN"/>
        </w:rPr>
        <w:footnoteReference w:id="8"/>
      </w:r>
      <w:r>
        <w:rPr>
          <w:rFonts w:ascii="宋体" w:hAnsi="宋体" w:eastAsia="宋体"/>
          <w:sz w:val="24"/>
          <w:lang w:eastAsia="zh-CN"/>
        </w:rPr>
        <w:t>综合来看，既有研究已经为利玛窦与“理—太极”的关系提供了多重解释路径。但这些解释往往分别侧重于“策略分析”“宗教对话”或“思想接受史”，较少将三者纳入一个统一的解释框架。本文正是试图在这条线索上做一点推进：将“策略”与“机制”勾连起来，再延伸到“意义”层面——即明清之际与当代的双重启示。 注释：</w:t>
      </w:r>
    </w:p>
    <w:p w14:paraId="0A05D34D">
      <w:pPr>
        <w:pStyle w:val="4"/>
        <w:spacing w:before="120" w:after="120"/>
        <w:ind w:firstLine="562"/>
        <w:rPr>
          <w:lang w:eastAsia="zh-CN"/>
        </w:rPr>
      </w:pPr>
      <w:r>
        <w:rPr>
          <w:lang w:eastAsia="zh-CN"/>
        </w:rPr>
        <w:t>第三节 方法与主线</w:t>
      </w:r>
    </w:p>
    <w:p w14:paraId="24458219">
      <w:pPr>
        <w:spacing w:line="360" w:lineRule="auto"/>
        <w:ind w:firstLine="420"/>
        <w:rPr>
          <w:rFonts w:hint="eastAsia" w:eastAsia="宋体"/>
          <w:lang w:eastAsia="zh-CN"/>
        </w:rPr>
      </w:pPr>
      <w:r>
        <w:rPr>
          <w:rFonts w:ascii="宋体" w:hAnsi="宋体" w:eastAsia="宋体"/>
          <w:sz w:val="24"/>
          <w:lang w:eastAsia="zh-CN"/>
        </w:rPr>
        <w:t>在进入正文之前，有必要先阐明本文的研究方法。本研究并非严格意义上的“历史考据”——不会重启传教士档案中那些已被反复查阅的文献原典；它更接近于一种“概念史”与“思想分析”相结合的路径，侧重于考察“理”与“太极”这两个核心范畴在跨文化传播过程中发生了怎样的语义迁移。 具体而言，本文所采取的分析工具来自三个方面。 第一，概念史的方法。德国学者科塞雷克（Reinhart Koselleck）在其奠基性著作《概念史与社会史》中提出，每一个重要的哲学或政治概念，都承载着特定历史语境中的经验与期待。当概念穿越不同文化边界时，它们的“语义场”会发生系统性的位移。</w:t>
      </w:r>
      <w:r>
        <w:rPr>
          <w:rStyle w:val="138"/>
          <w:rFonts w:hint="eastAsia" w:ascii="宋体" w:hAnsi="宋体" w:eastAsia="宋体"/>
          <w:sz w:val="24"/>
          <w:lang w:eastAsia="zh-CN"/>
        </w:rPr>
        <w:footnoteReference w:id="9"/>
      </w:r>
      <w:r>
        <w:rPr>
          <w:rFonts w:ascii="宋体" w:hAnsi="宋体" w:eastAsia="宋体"/>
          <w:sz w:val="24"/>
          <w:lang w:eastAsia="zh-CN"/>
        </w:rPr>
        <w:t>本文试图借鉴这一视角，追踪“理”在程朱理学体系中的原初地位，再对比其在《天主实义》中的被重新定义状态，从而测量出语义位移的幅度与方向。通过这种测量，我们能够更精确地描述利玛窦的“挪用”究竟在何处、在多大程度上偏离了原著，以及偏离背后的神学动机是什么。 第二，修辞与论证分析。 利玛窦的《天主实义》是一部高度论辩性的著作，其文本策略在很大程度上决定着读者的接受效果。本文将逐篇分析其中涉及“理”与“太极”的关键段落，厘清利玛窦所使用的论证类型：是逻辑演绎、文本训诂，还是诉诸权威（“六经”中的“上帝”）？在他将这些论证编织在一起时，是否存在前后不一致或自相矛盾之处？这些问题，直接关系到我们对“利玛窦策略”有效性的评价。 第三，接受史视角。 任何文本的意义，都不完全由作者意图决定；接受者的解读往往会造成创造性的“偏离”或“误解”。本文将考察明清之际几位代表性士大夫——徐光启、李贽、黄宗羲——对利玛窦相关论述的不同反应，以及这些反应如何反过来塑造了“理—太极”问题在后续几百年的话语格局。接受史视角的一个核心任务，是揭示“跨文化误解”何以常常比“准确理解”更具历史影响力。 在上述方法的基础上，本文的主线结构可以概括为一条“三阶路径”： 第一阶：策略（第二章、第三章）。第二章首先分析利玛窦面临的思想语境——宋明理学的“理—太极”体系究竟具有怎样的结构，为什么它们会成为传教士的焦点攻击对象。第三章则深入《天主实义》的文本内部，阐释利玛窦的“釜底抽薪”与“借壳上市”两种策略如何具体运作，以及它们各自的理论前提与风险。 第二阶：接受与变异（第四章）。本章考察明清之际士大夫对利玛窦思想的三种回应模式——徐光启的“合作性接受”、李贽的“选择性借鉴”与黄宗羲的“批判性拒绝”。在此基础上，以伽达默尔解释学为框架，分析“创造性误解”的运作机制，揭示跨文化传播中“意义游移”的具体路径。 第三阶：意义（第五章、第六章）。在完成了策略分析与接受史考察之后，本文转向对整体案例的评估。第五章分析利玛窦案例的历史效应——从“概念挪用”到“思想再生产”的传导机制，以及其对当代文明互鉴的方法论启示。第六章结语则将视野拉回当代，讨论利玛窦案例对于今天全球语境下跨文明对话的理论意义，尤其是“创造性误解”作为一种文化创新动力的积极面向。 这一“策略—接受—意义”的链条，并非线性的因果序列，而是三个彼此缠绕的分析层次。策略的选择决定了接受的可能空间，而接受者的实际反应才显现出策略的完整意义。本文的目的不是提供一把万能钥匙，而是尝试将这三个层次同时纳入视野，以期对利玛窦的思想操作做出一次较为系统的理解。</w:t>
      </w:r>
      <w:r>
        <w:rPr>
          <w:sz w:val="16"/>
          <w:vertAlign w:val="superscript"/>
        </w:rPr>
        <w:t>[59]</w:t>
      </w:r>
    </w:p>
    <w:p w14:paraId="199CC0B7">
      <w:pPr>
        <w:pStyle w:val="4"/>
        <w:spacing w:before="120" w:after="120"/>
        <w:ind w:firstLine="562"/>
        <w:rPr>
          <w:lang w:eastAsia="zh-CN"/>
        </w:rPr>
      </w:pPr>
      <w:r>
        <w:rPr>
          <w:rFonts w:hint="eastAsia"/>
          <w:lang w:eastAsia="zh-CN"/>
        </w:rPr>
        <w:t xml:space="preserve">第四节 </w:t>
      </w:r>
      <w:r>
        <w:rPr>
          <w:lang w:eastAsia="zh-CN"/>
        </w:rPr>
        <w:t>译名实践的思想史意义</w:t>
      </w:r>
    </w:p>
    <w:p w14:paraId="2D99F8D5">
      <w:pPr>
        <w:spacing w:line="360" w:lineRule="auto"/>
        <w:ind w:firstLine="420"/>
        <w:rPr>
          <w:lang w:eastAsia="zh-CN"/>
        </w:rPr>
      </w:pPr>
      <w:r>
        <w:rPr>
          <w:rFonts w:ascii="宋体" w:hAnsi="宋体" w:eastAsia="宋体"/>
          <w:sz w:val="24"/>
          <w:lang w:eastAsia="zh-CN"/>
        </w:rPr>
        <w:t>利玛窦的译名实践，远非简单的语言转换或术语对译——它是一场触及信仰内核与思想表达深层结构的跨文化工程。在“上帝”、“天主”、“理”、“太极”这些看似中性的词汇选择背后，实际上蕴含着利玛窦对基督教信仰本质的深刻理解：信仰不是一套可以脱离语言载体而独立存在的抽象教义，而必须在具体的文化语境中找到其表达的“肉身”。当利玛窦选择“上帝”而非“天主”作为“Deus”的译名时，他并非仅仅在寻找一个“最接近”的中文对应词，而是在为中国士人搭建一条从自身文化传统通向基督教信仰的理解之桥。这种译名选择，本质上是一种“信仰的翻译”——将一种文明的精神内核，通过另一种文明的语汇重新表达出来。正因如此，利玛窦的译名实践才具有了超越传教策略本身的思想史意义：它展示了两种高度成熟的文明体系，如何在最深处的精神层面进行对话、碰撞与创造性转化。这一过程所暴露的“不可通约性”与“视域融合”之间的张力，不仅是明清之际耶儒对话的核心难题，也是今天我们在全球化语境下思考文明互鉴时依然无法回避的根本问题。</w:t>
      </w:r>
      <w:r>
        <w:rPr>
          <w:sz w:val="16"/>
          <w:vertAlign w:val="superscript"/>
        </w:rPr>
        <w:t>[12]</w:t>
      </w:r>
    </w:p>
    <w:p w14:paraId="080C6E82">
      <w:pPr>
        <w:spacing w:line="360" w:lineRule="auto"/>
        <w:ind w:firstLine="420"/>
        <w:rPr>
          <w:rFonts w:ascii="宋体" w:hAnsi="宋体" w:eastAsia="宋体"/>
          <w:sz w:val="24"/>
          <w:lang w:eastAsia="zh-CN"/>
        </w:rPr>
      </w:pPr>
      <w:r>
        <w:rPr>
          <w:rFonts w:ascii="宋体" w:hAnsi="宋体" w:eastAsia="宋体"/>
          <w:sz w:val="24"/>
          <w:lang w:eastAsia="zh-CN"/>
        </w:rPr>
        <w:t>由此观之，利玛窦的译名实践绝非一种“技术性”的语言操作——它不是一份简单的双语词汇对照表，更不是传教手册中的权宜之计。相反，这一实践的每一环节都浸透着深切的信仰背景与思想表达诉求。首先，利玛窦之所以在“Deus”的译名选择上反复斟酌、最终放弃音译“陡斯”而采用“上帝”与“天主”，其根本驱动力并非语言学的精确性，而是神学立场的自觉选择——他必须为中国士人留下一条通向上帝的、可理解的路径。这一信仰背景决定了译名实践的方向：翻译的终极目标不是信息的等值传递，而是“信仰的唤醒”。其次，译名同时也是思想表达的精密工具。利玛窦对“理”的“依赖者”定性、对“太极”“虚理虚象”的判定，都是通过译名操作来实现的哲学论证——他用西方经院哲学的概念框架“翻译”了宋儒的本体论，从而在译名的层面上完成了对儒家形而上学的置换。译名，在此绝非被动地“对应”既有概念，而是主动地“塑造”新思想。正是在这个意义上，利玛窦的译名实践才具有了超越传教史的思想史价值：它揭示了一个根本性的跨文化真理——信仰的传播，本质上是一种通过语言进行的“思想再生产”。</w:t>
      </w:r>
      <w:r>
        <w:rPr>
          <w:sz w:val="16"/>
          <w:vertAlign w:val="superscript"/>
        </w:rPr>
        <w:t>[11]</w:t>
      </w:r>
    </w:p>
    <w:p w14:paraId="221998F0">
      <w:pPr>
        <w:pStyle w:val="4"/>
        <w:spacing w:before="120" w:after="120"/>
        <w:ind w:firstLine="562"/>
        <w:rPr>
          <w:lang w:eastAsia="zh-CN"/>
        </w:rPr>
      </w:pPr>
      <w:r>
        <w:rPr>
          <w:rFonts w:hint="eastAsia"/>
          <w:lang w:eastAsia="zh-CN"/>
        </w:rPr>
        <w:t xml:space="preserve">第五节 </w:t>
      </w:r>
      <w:r>
        <w:rPr>
          <w:lang w:eastAsia="zh-CN"/>
        </w:rPr>
        <w:t>本章小结</w:t>
      </w:r>
    </w:p>
    <w:p w14:paraId="4B0D06B4">
      <w:pPr>
        <w:spacing w:line="360" w:lineRule="auto"/>
        <w:ind w:firstLine="420"/>
        <w:rPr>
          <w:rFonts w:hint="eastAsia" w:ascii="宋体" w:hAnsi="宋体" w:eastAsia="宋体"/>
          <w:sz w:val="24"/>
          <w:lang w:eastAsia="zh-CN"/>
        </w:rPr>
      </w:pPr>
      <w:r>
        <w:rPr>
          <w:rFonts w:ascii="宋体" w:hAnsi="宋体" w:eastAsia="宋体"/>
          <w:sz w:val="24"/>
          <w:lang w:eastAsia="zh-CN"/>
        </w:rPr>
        <w:t>本章作为绪论，首先从利玛窦在明清之际面对的思想困境出发，揭示了他之所以选择攻击宋儒“理”与“太极”概念的根本原因——这一攻击背后，既出于神学教义连续性考虑，也出于为基督教争取本土合法性的策略意图。通过对既有研究的梳理可以发现，学界对利玛窦适应策略的评价呈现出从“文化殖民”到“创造性对话”的多样光谱，但专门聚焦“理”与“太极”两个核心概念进行“策略—接受—意义”三层联动分析的尝试，仍尚付阙如。为此，本文提出以概念史、修辞分析与接受史为三重方法，沿着“策略（第二章、第三章）—接受与变异（第四章）—意义（第五、六章）”这一主线逐层推进。绪论的任务不在于给出结论，而在于为后续的层层剖析铺陈必要的问题背景、工具框架与路径说明。下面，我们将进入中国思想世界内部，首先看清“理”与“太极”在宋儒体系中究竟是怎样的存在，以便在后续章节中准确衡量利玛窦操作的幅员与深度。</w:t>
      </w:r>
      <w:r>
        <w:rPr>
          <w:sz w:val="16"/>
          <w:vertAlign w:val="superscript"/>
        </w:rPr>
        <w:t>[13]</w:t>
      </w:r>
    </w:p>
    <w:p w14:paraId="2D57664F">
      <w:pPr>
        <w:spacing w:after="0" w:line="240" w:lineRule="auto"/>
        <w:rPr>
          <w:rFonts w:hint="eastAsia" w:ascii="宋体" w:hAnsi="宋体" w:eastAsia="宋体"/>
          <w:sz w:val="24"/>
          <w:lang w:eastAsia="zh-CN"/>
        </w:rPr>
      </w:pPr>
      <w:r>
        <w:rPr>
          <w:rFonts w:hint="eastAsia" w:ascii="宋体" w:hAnsi="宋体" w:eastAsia="宋体"/>
          <w:sz w:val="24"/>
          <w:lang w:eastAsia="zh-CN"/>
        </w:rPr>
        <w:br w:type="page"/>
      </w:r>
    </w:p>
    <w:p w14:paraId="4DC70739">
      <w:pPr>
        <w:pStyle w:val="3"/>
        <w:spacing w:before="240" w:after="240"/>
        <w:rPr>
          <w:lang w:eastAsia="zh-CN"/>
        </w:rPr>
      </w:pPr>
      <w:r>
        <w:rPr>
          <w:lang w:eastAsia="zh-CN"/>
        </w:rPr>
        <w:t>第二章 利玛窦面对的“理—太极”困境</w:t>
      </w:r>
    </w:p>
    <w:p w14:paraId="676CFBC2">
      <w:pPr>
        <w:pStyle w:val="4"/>
        <w:spacing w:before="120" w:after="120"/>
        <w:ind w:firstLine="562"/>
        <w:rPr>
          <w:lang w:eastAsia="zh-CN"/>
        </w:rPr>
      </w:pPr>
      <w:r>
        <w:rPr>
          <w:rFonts w:hint="eastAsia"/>
          <w:lang w:eastAsia="zh-CN"/>
        </w:rPr>
        <w:t xml:space="preserve">第一节 </w:t>
      </w:r>
      <w:r>
        <w:rPr>
          <w:lang w:eastAsia="zh-CN"/>
        </w:rPr>
        <w:t>宋儒体系中的“理”与“太极”：本体论与宇宙论的双重功能</w:t>
      </w:r>
    </w:p>
    <w:p w14:paraId="24E11ADE">
      <w:pPr>
        <w:spacing w:line="360" w:lineRule="auto"/>
        <w:ind w:firstLine="420"/>
        <w:rPr>
          <w:rFonts w:ascii="宋体" w:hAnsi="宋体" w:eastAsia="宋体"/>
          <w:sz w:val="24"/>
          <w:lang w:eastAsia="zh-CN"/>
        </w:rPr>
      </w:pPr>
      <w:r>
        <w:rPr>
          <w:rFonts w:ascii="宋体" w:hAnsi="宋体" w:eastAsia="宋体"/>
          <w:sz w:val="24"/>
          <w:lang w:eastAsia="zh-CN"/>
        </w:rPr>
        <w:t>要理解利玛窦策略的锋芒所向，首先必须还原“理”与“太极”在宋明理学中的本来面目。这并非一个简单的知识回顾——如果只是泛泛介绍周敦颐的《太极图说》或朱熹的“理气论”，我们就会错过一个关键问题：为什么恰恰是这两个概念成为了利玛窦攻击的首要目标？答案在于，在程朱理学的体系中，“理”与“太极”承担着本体论与宇宙论的双重功能，它们既是万物存在的终极根据，也是世界生成的内在法则。这种集“存在根据”与“生成原理”于一体的特性，与西方经院哲学中“第一因”与“造物主”的功能形成了竞争关系——这正是利玛窦所无法容忍的。</w:t>
      </w:r>
      <w:r>
        <w:rPr>
          <w:sz w:val="16"/>
          <w:vertAlign w:val="superscript"/>
        </w:rPr>
        <w:t>[2][1][22]</w:t>
      </w:r>
    </w:p>
    <w:p w14:paraId="238069FA">
      <w:pPr>
        <w:pStyle w:val="5"/>
        <w:ind w:firstLine="482"/>
        <w:rPr>
          <w:lang w:eastAsia="zh-CN"/>
        </w:rPr>
      </w:pPr>
      <w:r>
        <w:rPr>
          <w:lang w:eastAsia="zh-CN"/>
        </w:rPr>
        <w:t>“太极”的</w:t>
      </w:r>
      <w:r>
        <w:rPr>
          <w:rFonts w:hint="eastAsia" w:ascii="微软雅黑" w:hAnsi="微软雅黑" w:eastAsia="微软雅黑" w:cs="微软雅黑"/>
          <w:lang w:eastAsia="zh-CN"/>
        </w:rPr>
        <w:t>词</w:t>
      </w:r>
      <w:r>
        <w:rPr>
          <w:rFonts w:hint="eastAsia" w:ascii="MS Gothic" w:hAnsi="MS Gothic" w:eastAsia="MS Gothic" w:cs="MS Gothic"/>
          <w:lang w:eastAsia="zh-CN"/>
        </w:rPr>
        <w:t>源与哲学化</w:t>
      </w:r>
      <w:r>
        <w:rPr>
          <w:rFonts w:hint="eastAsia" w:ascii="微软雅黑" w:hAnsi="微软雅黑" w:eastAsia="微软雅黑" w:cs="微软雅黑"/>
          <w:lang w:eastAsia="zh-CN"/>
        </w:rPr>
        <w:t>过</w:t>
      </w:r>
      <w:r>
        <w:rPr>
          <w:rFonts w:hint="eastAsia" w:ascii="MS Gothic" w:hAnsi="MS Gothic" w:eastAsia="MS Gothic" w:cs="MS Gothic"/>
          <w:lang w:eastAsia="zh-CN"/>
        </w:rPr>
        <w:t>程</w:t>
      </w:r>
    </w:p>
    <w:p w14:paraId="106E5A63">
      <w:pPr>
        <w:spacing w:line="360" w:lineRule="auto"/>
        <w:ind w:firstLine="420"/>
        <w:rPr>
          <w:lang w:eastAsia="zh-CN"/>
        </w:rPr>
      </w:pPr>
      <w:r>
        <w:rPr>
          <w:rFonts w:ascii="宋体" w:hAnsi="宋体" w:eastAsia="宋体"/>
          <w:sz w:val="24"/>
          <w:lang w:eastAsia="zh-CN"/>
        </w:rPr>
        <w:t>“太极”一词最早见于《周易·系辞上》：“易有太极，是生两仪，两仪生四象，四象生八卦。” 在此初始语境中，“太极”尚是一个宇宙生成论的描述性概念，指代天地未分之前的混沌状态，其哲学意味尚未充分展开。先秦儒学的主流关切并不在于宇宙本体论——孔子“罕言性与天道”，孟子则专注于心性修养，这使得“太极”在早期儒学中处于一个相对边缘的位置。 真正使“太极”跃升为哲学核心范畴的，是宋代周敦颐的《太极图说》。周敦颐将道家宇宙发生论的图式纳入儒家框架，构建了一个从“无极而太极”到“万物化生”的系统论说：“太极动而生阳，动极而静，静而生阴……阳变阴合，而生水火木金土……乾道成男，坤道成女，二气交感，化生万物。”这一图式的革命性意义在于：它第一次为儒家提供了完整的宇宙生成论模型，使儒学在宇宙论层面拥有了与佛、道相抗衡的话语体系。 朱熹在周敦颐的基础上进行了更为精密的哲学改造。他将“太极”等同于“理”，提出了“太极只是一个理字”的著名论断。对于朱熹而言，“太极”不再仅仅是宇宙生成的起点，更是万物存在之所以然的终极根据——“太极者，理也。……总天地万物之理，便是太极”。这样，“太极”就同时承担了本体论（为何存在）与宇宙论（如何生成）的双重功能：从存在层级上说，太极是“理”的全体；从生成过程上说，太极通过“动静”推动阴阳五行，化生万物。</w:t>
      </w:r>
      <w:r>
        <w:rPr>
          <w:sz w:val="16"/>
          <w:vertAlign w:val="superscript"/>
        </w:rPr>
        <w:t>[2][60]</w:t>
      </w:r>
    </w:p>
    <w:p w14:paraId="748E5523">
      <w:pPr>
        <w:spacing w:line="360" w:lineRule="auto"/>
        <w:ind w:firstLine="420"/>
        <w:rPr>
          <w:lang w:eastAsia="zh-CN"/>
        </w:rPr>
      </w:pPr>
      <w:r>
        <w:rPr>
          <w:rFonts w:ascii="宋体" w:hAnsi="宋体" w:eastAsia="宋体"/>
          <w:sz w:val="24"/>
          <w:lang w:eastAsia="zh-CN"/>
        </w:rPr>
        <w:t>朱熹在对《周易》的注释中，对“太极”的含义做了进一步阐发：“太极者，象数未形而其理已具之称，形器已具而其理无朕之目。在河图洛书，皆虚中之象也；及夫卦画既立，体象已该，则太极为已划之位，虚而无体，乃复一之本原也。”</w:t>
      </w:r>
      <w:r>
        <w:rPr>
          <w:rStyle w:val="138"/>
          <w:rFonts w:hint="eastAsia" w:ascii="宋体" w:hAnsi="宋体" w:eastAsia="宋体"/>
          <w:sz w:val="24"/>
          <w:lang w:eastAsia="zh-CN"/>
        </w:rPr>
        <w:footnoteReference w:id="10"/>
      </w:r>
      <w:r>
        <w:rPr>
          <w:rFonts w:ascii="宋体" w:hAnsi="宋体" w:eastAsia="宋体"/>
          <w:sz w:val="24"/>
          <w:lang w:eastAsia="zh-CN"/>
        </w:rPr>
        <w:t>这段话清楚地表明，太极是“象数未形而理已具”的状态，即一切具体形象尚未生成之前，那个涵括了所有可能性的最高原理。蒙培元在《理学范畴系统》中对此评析道：“太极本是《周易》的一个宇宙论范畴，指万物化生之前的原始混沌状态。但经过朱熹的改造，它成了一个纯形而上学的范畴，指的是万物之理的总汇。太极不是一种气，不是一种物质存在，而是万物之所以然的终极根据。”</w:t>
      </w:r>
      <w:r>
        <w:rPr>
          <w:rStyle w:val="138"/>
          <w:rFonts w:hint="eastAsia" w:ascii="宋体" w:hAnsi="宋体" w:eastAsia="宋体"/>
          <w:sz w:val="24"/>
          <w:lang w:eastAsia="zh-CN"/>
        </w:rPr>
        <w:footnoteReference w:id="11"/>
      </w:r>
      <w:r>
        <w:rPr>
          <w:lang w:eastAsia="zh-CN"/>
        </w:rPr>
        <w:t xml:space="preserve"> </w:t>
      </w:r>
      <w:r>
        <w:rPr>
          <w:sz w:val="16"/>
          <w:vertAlign w:val="superscript"/>
        </w:rPr>
        <w:t>[6][14]</w:t>
      </w:r>
    </w:p>
    <w:p w14:paraId="1365235E">
      <w:pPr>
        <w:pStyle w:val="5"/>
        <w:ind w:firstLine="482"/>
        <w:rPr>
          <w:lang w:eastAsia="zh-CN"/>
        </w:rPr>
      </w:pPr>
      <w:r>
        <w:rPr>
          <w:rFonts w:hint="eastAsia"/>
          <w:lang w:eastAsia="zh-CN"/>
        </w:rPr>
        <w:t>“</w:t>
      </w:r>
      <w:r>
        <w:rPr>
          <w:lang w:eastAsia="zh-CN"/>
        </w:rPr>
        <w:t>理</w:t>
      </w:r>
      <w:r>
        <w:rPr>
          <w:rFonts w:hint="eastAsia"/>
          <w:lang w:eastAsia="zh-CN"/>
        </w:rPr>
        <w:t>”</w:t>
      </w:r>
      <w:r>
        <w:rPr>
          <w:lang w:eastAsia="zh-CN"/>
        </w:rPr>
        <w:t>的多重含义</w:t>
      </w:r>
    </w:p>
    <w:p w14:paraId="2A0A862C">
      <w:pPr>
        <w:spacing w:line="360" w:lineRule="auto"/>
        <w:ind w:firstLine="420"/>
        <w:rPr>
          <w:lang w:eastAsia="zh-CN"/>
        </w:rPr>
      </w:pPr>
      <w:r>
        <w:rPr>
          <w:rFonts w:ascii="宋体" w:hAnsi="宋体" w:eastAsia="宋体"/>
          <w:sz w:val="24"/>
          <w:lang w:eastAsia="zh-CN"/>
        </w:rPr>
        <w:t>与“太极”相比，“理”的概念在程朱理学中具有更为复杂的内涵。在先秦典籍中，“理”字虽已多次出现，但并未上升到本体论高度。《孟子》中“理义之悦我心”的“理”，更多指道德条理与伦理法则；《庄子》中的“万物殊理”，则带有道家“万物各有其理”的意味。真正将“理”提升为统摄万物的最高哲学范畴的，是二程（程颢、程颐）与朱熹。 在程朱理学中，“理”的含义至少可以从三个层次加以理解： 作为本体的“理”（形而上的最高原则）：在朱熹看来，“理”是先于气、先于万物的存在。“未有天地之先，毕竟也只是理。有此理，便有此天地；若无此理，便亦无天地”象，却实实在在地“存在”着——这种存在是逻辑上的先在，而非时间上的先在。 作为法则的“理”（物之“所以然”与“所当然”）：朱熹的“理”不仅存在于宇宙整体层面，也内在于每一具体事物之中。每一物都有其“所以然之故”与“所当然之则”——前者是事物存在的内在因由（例如，“竹”之所以为竹，有其内在的“理”），后者是事物应当遵循的规范（例如，“孝”之所以为孝，有其当然之理）。这种将“存在之理”与“价值之理”统摄于同一概念的做法，是程朱理学的一大特色，也是它与其他哲学体系区分开来的关键所在。 作为属性的“理”（与气相对的“形而上者”）：朱熹还严格区分了“理”与“气”。理是“形而上者”，气是“形而下者”；理是“生物之本”，气是“生物之具”。尽管二者在具体事物中不可分离——“天下未有无理之气，亦未有无气之理”——但在逻辑上，理具有对气的优先性。值得注意的是，朱熹所说的“理”是“净洁空阔”的，它本身不具有“造作”的能力，必须通过“气”这一中介才能化生万物。这一点，恰恰成为了利玛窦攻击的突破口。</w:t>
      </w:r>
      <w:r>
        <w:rPr>
          <w:vertAlign w:val="superscript"/>
        </w:rPr>
        <w:footnoteReference w:id="12"/>
      </w:r>
      <w:r>
        <w:t>。这里的“理”，不依赖于任何具体事物而独立存在，是宇宙万物存在的终极根据。它无形无</w:t>
      </w:r>
      <w:r>
        <w:rPr>
          <w:sz w:val="16"/>
          <w:vertAlign w:val="superscript"/>
        </w:rPr>
        <w:t>[5][62][24]</w:t>
      </w:r>
    </w:p>
    <w:p w14:paraId="70CA0239">
      <w:pPr>
        <w:spacing w:line="360" w:lineRule="auto"/>
        <w:ind w:firstLine="420"/>
        <w:rPr>
          <w:lang w:eastAsia="zh-CN"/>
        </w:rPr>
      </w:pPr>
      <w:r>
        <w:rPr>
          <w:rFonts w:ascii="宋体" w:hAnsi="宋体" w:eastAsia="宋体"/>
          <w:sz w:val="24"/>
          <w:lang w:eastAsia="zh-CN"/>
        </w:rPr>
        <w:t>在宋明理学的范畴体系中，“理”的概念承载着极其丰富的哲学内涵。蒙培元在《理学范畴系统》中对“理”的多重含义有精辟的概括：“理是宋明理学的最高范畴，也是其核心范畴。以理说明一切，是理学的基本特征。理有两层最基本的含义，一是‘所以然之故’，一是‘所当然之则’。前者是从本体论的角度说，后者是从价值论的角度说。但两者是统一的，不能分割。”</w:t>
      </w:r>
      <w:r>
        <w:rPr>
          <w:rStyle w:val="138"/>
          <w:rFonts w:hint="eastAsia" w:ascii="宋体" w:hAnsi="宋体" w:eastAsia="宋体"/>
          <w:sz w:val="24"/>
          <w:lang w:eastAsia="zh-CN"/>
        </w:rPr>
        <w:footnoteReference w:id="13"/>
      </w:r>
      <w:r>
        <w:rPr>
          <w:rFonts w:ascii="宋体" w:hAnsi="宋体" w:eastAsia="宋体"/>
          <w:sz w:val="24"/>
          <w:lang w:eastAsia="zh-CN"/>
        </w:rPr>
        <w:t>此外，蒙培元进一步指出：“理是形而上的存在，但它不是与具体事物相脱离的抽象存在，而是内在于事物之中，是事物的内在根据。朱熹说：‘理在事中’，意思是理不能脱离具体事物而单独存在，它必须体现在具体事物之中，通过具体事物而表现自己。”</w:t>
      </w:r>
      <w:r>
        <w:rPr>
          <w:rStyle w:val="138"/>
          <w:rFonts w:hint="eastAsia" w:ascii="宋体" w:hAnsi="宋体" w:eastAsia="宋体"/>
          <w:sz w:val="24"/>
          <w:lang w:eastAsia="zh-CN"/>
        </w:rPr>
        <w:footnoteReference w:id="14"/>
      </w:r>
      <w:r>
        <w:rPr>
          <w:sz w:val="16"/>
          <w:vertAlign w:val="superscript"/>
        </w:rPr>
        <w:t>[14][7]</w:t>
      </w:r>
    </w:p>
    <w:p>
      <w:r>
        <w:t xml:space="preserve">─────────────────────────────────────</w:t>
      </w:r>
    </w:p>
    <w:p>
      <w:r>
        <w:t xml:space="preserve">第1页脚注：</w:t>
      </w:r>
    </w:p>
    <w:p>
      <w:r>
        <w:rPr>
          <w:vertAlign w:val="superscript"/>
        </w:rPr>
        <w:t xml:space="preserve">1 朱熹. 朱子语类[M]. 北京: 中华书局, 1986.</w:t>
      </w:r>
    </w:p>
    <w:p>
      <w:r>
        <w:rPr>
          <w:vertAlign w:val="superscript"/>
        </w:rPr>
        <w:t xml:space="preserve">2 周敦颐. 周敦颐集[M]. 北京: 中华书局, 2009.</w:t>
      </w:r>
    </w:p>
    <w:p>
      <w:r>
        <w:rPr>
          <w:vertAlign w:val="superscript"/>
        </w:rPr>
        <w:t xml:space="preserve">3 朱熹. 四书章句集注[M]. 北京: 中华书局, 1983.</w:t>
      </w:r>
    </w:p>
    <w:p>
      <w:r>
        <w:rPr>
          <w:vertAlign w:val="superscript"/>
        </w:rPr>
        <w:t xml:space="preserve">4 朱熹. 周易本义[M]. 北京: 中华书局, 2009.</w:t>
      </w:r>
    </w:p>
    <w:p>
      <w:r>
        <w:rPr>
          <w:vertAlign w:val="superscript"/>
        </w:rPr>
        <w:t xml:space="preserve">5 王阳明. 传习录[M]. 上海: 上海古籍出版社, 1992.</w:t>
      </w:r>
    </w:p>
    <w:p>
      <w:r>
        <w:rPr>
          <w:vertAlign w:val="superscript"/>
        </w:rPr>
        <w:t xml:space="preserve">6 利玛窦. 天主实义[A]. 利玛窦中文著译集[C]. 上海: 复旦大学出版社, 2001.</w:t>
      </w:r>
    </w:p>
    <w:p>
      <w:r>
        <w:rPr>
          <w:vertAlign w:val="superscript"/>
        </w:rPr>
        <w:t xml:space="preserve">7 利玛窦, 金尼阁. 利玛窦中国札记[M]. 何高济, 王遵仲, 李申, 译. 北京: 中华书局, 1983.</w:t>
      </w:r>
    </w:p>
    <w:p>
      <w:r>
        <w:rPr>
          <w:vertAlign w:val="superscript"/>
        </w:rPr>
        <w:t xml:space="preserve">8 谢和耐(J. Gernet). 中国与基督教：一种文化的冲突[M]. 耿昇, 译. 上海: 上海古籍出版社, 2003.</w:t>
      </w:r>
    </w:p>
    <w:p>
      <w:r>
        <w:rPr>
          <w:vertAlign w:val="superscript"/>
        </w:rPr>
        <w:t xml:space="preserve">9 蒙培元. 理学范畴系统[M]. 北京: 人民出版社, 1989.</w:t>
      </w:r>
    </w:p>
    <w:p>
      <w:r>
        <w:rPr>
          <w:vertAlign w:val="superscript"/>
        </w:rPr>
        <w:t xml:space="preserve">10 朱谦之. 中国哲学对欧洲的影响[M]. 石家庄: 河北人民出版社, 2004.</w:t>
      </w:r>
    </w:p>
    <w:p>
      <w:r>
        <w:rPr>
          <w:vertAlign w:val="superscript"/>
        </w:rPr>
        <w:t xml:space="preserve">11 孙尚扬. 基督教与明末儒学[M]. 北京: 东方出版社, 1994.</w:t>
      </w:r>
    </w:p>
    <w:p>
      <w:r>
        <w:rPr>
          <w:vertAlign w:val="superscript"/>
        </w:rPr>
        <w:t xml:space="preserve">12 林金水. 徐光启与利玛窦关系考[J]. 中国史研究, 2001(2): 81-93.</w:t>
      </w:r>
    </w:p>
    <w:p>
      <w:r>
        <w:rPr>
          <w:vertAlign w:val="superscript"/>
        </w:rPr>
        <w:t xml:space="preserve">13 Wiest, J.-P. From Matteo Ricci to Jacques Gernet: The Changing Image of the Chinese in Western Scholarship[J]. Chinese Studies, 1997, 9(1): 23-47.</w:t>
      </w:r>
    </w:p>
    <w:p>
      <w:r>
        <w:rPr>
          <w:vertAlign w:val="superscript"/>
        </w:rPr>
        <w:t xml:space="preserve">14 Lack, M. Matteo Ricci and the Chinese Intellectual: Faith, Dialogue and Exchange in the Late Ming Dynasty[J]. Journal of Jesuit Studies, 2018, 5(2): 165-182.</w:t>
      </w:r>
    </w:p>
    <w:p w14:paraId="10C44669">
      <w:pPr>
        <w:spacing w:line="360" w:lineRule="auto"/>
        <w:ind w:firstLine="420"/>
        <w:rPr>
          <w:rFonts w:hint="eastAsia"/>
          <w:lang w:eastAsia="zh-CN"/>
        </w:rPr>
      </w:pPr>
      <w:r>
        <w:rPr>
          <w:rFonts w:ascii="宋体" w:hAnsi="宋体" w:eastAsia="宋体"/>
          <w:sz w:val="24"/>
          <w:lang w:eastAsia="zh-CN"/>
        </w:rPr>
        <w:t>关于“太极”与“理”的关系，蒙培元指出：“朱熹以理释太极，说‘太极只是一个理字’，这是把太极从宇宙论的范畴转变为形而上学的范畴。在朱熹那里，太极不再是一个产生阴阳的物质性根源，而是万事万物之所以然的终极根据，即‘理’本身。太极既是宇宙的本原，也是道德的根源；既是万物之所以生成的依据，也是人类道德实践的终极基础。”</w:t>
      </w:r>
      <w:r>
        <w:rPr>
          <w:rStyle w:val="138"/>
          <w:rFonts w:hint="eastAsia" w:ascii="宋体" w:hAnsi="宋体" w:eastAsia="宋体"/>
          <w:sz w:val="24"/>
          <w:lang w:eastAsia="zh-CN"/>
        </w:rPr>
        <w:footnoteReference w:id="15"/>
      </w:r>
      <w:r>
        <w:rPr>
          <w:sz w:val="16"/>
          <w:vertAlign w:val="superscript"/>
        </w:rPr>
        <w:t>[14]</w:t>
      </w:r>
    </w:p>
    <w:p w14:paraId="54CDEDCE">
      <w:pPr>
        <w:spacing w:line="360" w:lineRule="auto"/>
        <w:ind w:firstLine="420"/>
        <w:rPr>
          <w:lang w:eastAsia="zh-CN"/>
        </w:rPr>
      </w:pPr>
      <w:r>
        <w:rPr>
          <w:rFonts w:ascii="宋体" w:hAnsi="宋体" w:eastAsia="宋体"/>
          <w:sz w:val="24"/>
          <w:lang w:eastAsia="zh-CN"/>
        </w:rPr>
        <w:t>朱熹在《朱子语类》中对“理”的形而上地位有更为明确的表述：“未有天地之先，毕竟也只是理。有此理，便有此天地；若无此理，便亦无天地，无人无物，都无该载了！有理，便有气流行，发育万物。”</w:t>
      </w:r>
      <w:r>
        <w:rPr>
          <w:rStyle w:val="138"/>
          <w:rFonts w:hint="eastAsia" w:ascii="宋体" w:hAnsi="宋体" w:eastAsia="宋体"/>
          <w:sz w:val="24"/>
          <w:lang w:eastAsia="zh-CN"/>
        </w:rPr>
        <w:footnoteReference w:id="16"/>
      </w:r>
      <w:r>
        <w:rPr>
          <w:rFonts w:ascii="宋体" w:hAnsi="宋体" w:eastAsia="宋体"/>
          <w:sz w:val="24"/>
          <w:lang w:eastAsia="zh-CN"/>
        </w:rPr>
        <w:t>这段引文清楚地表明，“理”在程朱理学中具有优先于天地万物、甚至优先于“气”的本体论地位。“理”不是物质，不是气，但它是万物得以存在的内在根据和终极根源。正是在这个意义上，利玛窦才将“理”视为最需要加以批判和置换的核心对象——因为“理”的这种优先性，直接挑战了基督教“造物主—受造物”的二元框架。</w:t>
      </w:r>
      <w:r>
        <w:rPr>
          <w:sz w:val="16"/>
          <w:vertAlign w:val="superscript"/>
        </w:rPr>
        <w:t>[1][56]</w:t>
      </w:r>
    </w:p>
    <w:p w14:paraId="7B28D27F">
      <w:pPr>
        <w:spacing w:line="360" w:lineRule="auto"/>
        <w:ind w:firstLine="420"/>
        <w:rPr>
          <w:rFonts w:hint="eastAsia"/>
          <w:lang w:eastAsia="zh-CN"/>
        </w:rPr>
      </w:pPr>
      <w:r>
        <w:rPr>
          <w:rFonts w:ascii="宋体" w:hAnsi="宋体" w:eastAsia="宋体"/>
          <w:sz w:val="24"/>
          <w:lang w:eastAsia="zh-CN"/>
        </w:rPr>
        <w:t>关于“太极”的宇宙论含义，周敦颐在《太极图说》中有经典的表述：“无极而太极。太极动而生阳，动极而静，静而生阴，静极复动。一动一静，互为其根；分阴分阳，两仪立焉。阳变阴合，而生水火木金土。五气顺布，四时行焉。五行一阴阳也，阴阳一太极也，太极本无极也。五行之生也，各一其性。无极之真，二五之精，妙合而凝。乾道成男，坤道成女，二气交感，化生万物。万物生生，而变化无穷焉。”</w:t>
      </w:r>
      <w:r>
        <w:rPr>
          <w:rStyle w:val="138"/>
          <w:rFonts w:hint="eastAsia" w:ascii="宋体" w:hAnsi="宋体" w:eastAsia="宋体"/>
          <w:sz w:val="24"/>
          <w:lang w:eastAsia="zh-CN"/>
        </w:rPr>
        <w:footnoteReference w:id="17"/>
      </w:r>
      <w:r>
        <w:rPr>
          <w:sz w:val="16"/>
          <w:vertAlign w:val="superscript"/>
        </w:rPr>
        <w:t>[2]</w:t>
      </w:r>
    </w:p>
    <w:p w14:paraId="68204A18">
      <w:pPr>
        <w:spacing w:line="360" w:lineRule="auto"/>
        <w:ind w:firstLine="420"/>
        <w:rPr>
          <w:rFonts w:hint="eastAsia"/>
          <w:lang w:eastAsia="zh-CN"/>
        </w:rPr>
      </w:pPr>
      <w:r>
        <w:rPr>
          <w:rFonts w:ascii="宋体" w:hAnsi="宋体" w:eastAsia="宋体"/>
          <w:sz w:val="24"/>
          <w:lang w:eastAsia="zh-CN"/>
        </w:rPr>
        <w:t>蒙培元在分析这一段落时指出：“周敦颐的太极图说，把宇宙的生成过程描述为一个从太极出发、经阴阳两仪到五行、再到万物的连续生成过程。这个过程不是外在的创造，而是内在的自我展开——太极通过自身的运动变化，产生了万事万物。这种内在生成论，与基督教外在创造论（上帝从无中创造世界）形成了根本对立。”</w:t>
      </w:r>
      <w:r>
        <w:rPr>
          <w:rStyle w:val="138"/>
          <w:rFonts w:hint="eastAsia" w:ascii="宋体" w:hAnsi="宋体" w:eastAsia="宋体"/>
          <w:sz w:val="24"/>
          <w:lang w:eastAsia="zh-CN"/>
        </w:rPr>
        <w:footnoteReference w:id="18"/>
      </w:r>
      <w:r>
        <w:rPr>
          <w:sz w:val="16"/>
          <w:vertAlign w:val="superscript"/>
        </w:rPr>
        <w:t>[14]</w:t>
      </w:r>
    </w:p>
    <w:p>
      <w:r>
        <w:t xml:space="preserve">─────────────────────────────────────</w:t>
      </w:r>
    </w:p>
    <w:p>
      <w:r>
        <w:t xml:space="preserve">第2页脚注：</w:t>
      </w:r>
    </w:p>
    <w:p>
      <w:r>
        <w:rPr>
          <w:vertAlign w:val="superscript"/>
        </w:rPr>
        <w:t xml:space="preserve">1 朱熹. 朱子语类[M]. 北京: 中华书局, 1986.</w:t>
      </w:r>
    </w:p>
    <w:p>
      <w:r>
        <w:rPr>
          <w:vertAlign w:val="superscript"/>
        </w:rPr>
        <w:t xml:space="preserve">2 周敦颐. 周敦颐集[M]. 北京: 中华书局, 2009.</w:t>
      </w:r>
    </w:p>
    <w:p>
      <w:r>
        <w:rPr>
          <w:vertAlign w:val="superscript"/>
        </w:rPr>
        <w:t xml:space="preserve">3 蒙培元. 理学范畴系统[M]. 北京: 人民出版社, 1989.</w:t>
      </w:r>
    </w:p>
    <w:p>
      <w:r>
        <w:rPr>
          <w:vertAlign w:val="superscript"/>
        </w:rPr>
        <w:t xml:space="preserve">4 王晓宁. 蒙培元理学范畴系统研究[D]. 北京: 北京大学哲学系, 2012.</w:t>
      </w:r>
    </w:p>
    <w:p w14:paraId="39C77394">
      <w:pPr>
        <w:spacing w:line="360" w:lineRule="auto"/>
        <w:ind w:firstLine="420"/>
        <w:rPr>
          <w:rFonts w:hint="eastAsia"/>
          <w:lang w:eastAsia="zh-CN"/>
        </w:rPr>
      </w:pPr>
      <w:r>
        <w:rPr>
          <w:rFonts w:ascii="宋体" w:hAnsi="宋体" w:eastAsia="宋体"/>
          <w:sz w:val="24"/>
          <w:lang w:eastAsia="zh-CN"/>
        </w:rPr>
        <w:t>程颐在《遗书》中对“理”的普遍性有更为简洁的表述：“天下只是一个理”；又说：“一物之理即万物之理，一事之理即万事之理，吾心之理即宇宙之理。”</w:t>
      </w:r>
      <w:r>
        <w:rPr>
          <w:rStyle w:val="138"/>
          <w:rFonts w:hint="eastAsia" w:ascii="宋体" w:hAnsi="宋体" w:eastAsia="宋体"/>
          <w:sz w:val="24"/>
          <w:lang w:eastAsia="zh-CN"/>
        </w:rPr>
        <w:footnoteReference w:id="19"/>
      </w:r>
      <w:r>
        <w:rPr>
          <w:rFonts w:ascii="宋体" w:hAnsi="宋体" w:eastAsia="宋体"/>
          <w:sz w:val="24"/>
          <w:lang w:eastAsia="zh-CN"/>
        </w:rPr>
        <w:t>这几句话揭示了程朱理学“理一分殊”的基本结构：宇宙间只有一个“理”，但这个“理”同时体现在万事万物之中，每一物都有其各自的“理”，所有个别之理又统归于一个整体之“理”。蒙培元对这一结构有精辟的分析：“‘理一分殊’是宋明理学的核心命题之一。‘理一’是说宇宙万物有共同的根源，这个根源就是‘天理’或‘太极’；‘分殊’是说这个共同的根源在不同的事物中有不同的表现形态，即各物的具体之理各不相同。这个命题的关键在于：‘分殊’并不否定‘理一’，‘理一’也不消灭‘分殊’——两者是辩证统一的关系。”</w:t>
      </w:r>
      <w:r>
        <w:rPr>
          <w:rStyle w:val="138"/>
          <w:rFonts w:hint="eastAsia" w:ascii="宋体" w:hAnsi="宋体" w:eastAsia="宋体"/>
          <w:sz w:val="24"/>
          <w:lang w:eastAsia="zh-CN"/>
        </w:rPr>
        <w:footnoteReference w:id="20"/>
      </w:r>
      <w:r>
        <w:rPr>
          <w:sz w:val="16"/>
          <w:vertAlign w:val="superscript"/>
        </w:rPr>
        <w:t>[3]</w:t>
      </w:r>
    </w:p>
    <w:p w14:paraId="33A9CE15">
      <w:pPr>
        <w:spacing w:line="360" w:lineRule="auto"/>
        <w:ind w:firstLine="420"/>
        <w:rPr>
          <w:lang w:eastAsia="zh-CN"/>
        </w:rPr>
      </w:pPr>
      <w:r>
        <w:rPr>
          <w:rFonts w:ascii="宋体" w:hAnsi="宋体" w:eastAsia="宋体"/>
          <w:sz w:val="24"/>
          <w:lang w:eastAsia="zh-CN"/>
        </w:rPr>
        <w:t>朱熹在《朱子语类》中对“理”的本体论地位有更为直接的表述：“理也者，形而上之道也，生物之本也；气也者，形而下之器也，生物之具也。是以人物之生，必禀此理，然后有性；必禀此气，然后有形。”</w:t>
      </w:r>
      <w:r>
        <w:rPr>
          <w:rStyle w:val="138"/>
          <w:rFonts w:hint="eastAsia" w:ascii="宋体" w:hAnsi="宋体" w:eastAsia="宋体"/>
          <w:sz w:val="24"/>
          <w:lang w:eastAsia="zh-CN"/>
        </w:rPr>
        <w:footnoteReference w:id="21"/>
      </w:r>
      <w:r>
        <w:rPr>
          <w:rFonts w:ascii="宋体" w:hAnsi="宋体" w:eastAsia="宋体"/>
          <w:sz w:val="24"/>
          <w:lang w:eastAsia="zh-CN"/>
        </w:rPr>
        <w:t>这段话清楚地划分了“理”（形而上之道）与“气”（形而下之器）的层次关系，并强调“理”先于“气”，是“生物之本”。正是这一“理先气后”的本体论预设，构成了利玛窦批判的核心靶点——利玛窦认为，“理”既无生命、无意志、无位格，则不可能成为具有创造功能的终极本原。</w:t>
      </w:r>
      <w:r>
        <w:rPr>
          <w:sz w:val="16"/>
          <w:vertAlign w:val="superscript"/>
        </w:rPr>
        <w:t>[1][4]</w:t>
      </w:r>
    </w:p>
    <w:p w14:paraId="1453C2E4">
      <w:pPr>
        <w:pStyle w:val="5"/>
        <w:ind w:firstLine="482"/>
        <w:rPr>
          <w:lang w:eastAsia="zh-CN"/>
        </w:rPr>
      </w:pPr>
      <w:r>
        <w:rPr>
          <w:lang w:eastAsia="zh-CN"/>
        </w:rPr>
        <w:t>“太极即理”的理论张力</w:t>
      </w:r>
    </w:p>
    <w:p w14:paraId="6C684E56">
      <w:pPr>
        <w:spacing w:line="360" w:lineRule="auto"/>
        <w:ind w:firstLine="420"/>
        <w:rPr>
          <w:lang w:eastAsia="zh-CN"/>
        </w:rPr>
      </w:pPr>
      <w:r>
        <w:rPr>
          <w:rFonts w:ascii="宋体" w:hAnsi="宋体" w:eastAsia="宋体"/>
          <w:sz w:val="24"/>
          <w:lang w:eastAsia="zh-CN"/>
        </w:rPr>
        <w:t>将“太极”等同于“理”，是朱熹哲学的一个核心命题，但这个命题本身就蕴含着内在的张力。一方面，如果说“太极”即“理”，而“理”又是“净洁空阔”的，那么如何解释“太极”能够“动而生阳、静而生阴”？朱熹的解决方式是引入“理”与“气”的相即关系：太极（理）本身“不会造作”，必须“搭在气上”才能运动。这样一来，“太极”的生成能力实际上转移到了“气”的层面，而“太极”作为“理”则保持着形而上的纯粹性。 这一张力，在后来的理学家中引发了持续争论。有的学者（如明代罗钦顺）主张“理气为一物”，认为理与气不可分，太极即在气中；有的学者（如王廷相）则走向了“气本论”，认为气才是宇宙的唯一本原，理只是气的条理。这些内部争论，恰恰暴露了程朱理学体系中的一个“薄弱环节”——即“理”作为本体如何与“气”作为生成中介协调的问题。而这个薄弱环节，正是利玛窦可以乘虚而入的地方。</w:t>
      </w:r>
      <w:r>
        <w:rPr>
          <w:sz w:val="16"/>
          <w:vertAlign w:val="superscript"/>
        </w:rPr>
        <w:t>[5][63][64][23]</w:t>
      </w:r>
    </w:p>
    <w:p w14:paraId="78922B34">
      <w:pPr>
        <w:pStyle w:val="4"/>
        <w:spacing w:before="120" w:after="120"/>
        <w:ind w:firstLine="562"/>
        <w:rPr>
          <w:lang w:eastAsia="zh-CN"/>
        </w:rPr>
      </w:pPr>
      <w:r>
        <w:rPr>
          <w:rFonts w:hint="eastAsia"/>
          <w:lang w:eastAsia="zh-CN"/>
        </w:rPr>
        <w:t xml:space="preserve">第二节 </w:t>
      </w:r>
      <w:r>
        <w:rPr>
          <w:lang w:eastAsia="zh-CN"/>
        </w:rPr>
        <w:t>《天主实义》的文本结构与论辩策略</w:t>
      </w:r>
    </w:p>
    <w:p w14:paraId="1A9074BC">
      <w:pPr>
        <w:spacing w:line="360" w:lineRule="auto"/>
        <w:ind w:firstLine="420"/>
        <w:rPr>
          <w:lang w:eastAsia="zh-CN"/>
        </w:rPr>
      </w:pPr>
      <w:r>
        <w:rPr>
          <w:rFonts w:ascii="宋体" w:hAnsi="宋体" w:eastAsia="宋体"/>
          <w:sz w:val="24"/>
          <w:lang w:eastAsia="zh-CN"/>
        </w:rPr>
        <w:t>在厘清了程朱理学中“理”与“太极”的本来面貌之后，我们现在可以转向利玛窦的文本，分析他如何在《天主实义》中展开对这两个概念的批判。</w:t>
      </w:r>
      <w:r>
        <w:rPr>
          <w:sz w:val="16"/>
          <w:vertAlign w:val="superscript"/>
        </w:rPr>
        <w:t>[11]</w:t>
      </w:r>
    </w:p>
    <w:p w14:paraId="32DB1A1A">
      <w:pPr>
        <w:pStyle w:val="5"/>
        <w:numPr>
          <w:ilvl w:val="0"/>
          <w:numId w:val="8"/>
        </w:numPr>
        <w:ind w:firstLineChars="0"/>
        <w:rPr>
          <w:lang w:eastAsia="zh-CN"/>
        </w:rPr>
      </w:pPr>
      <w:r>
        <w:rPr>
          <w:lang w:eastAsia="zh-CN"/>
        </w:rPr>
        <w:t>“中士”与“西士”的对话形式</w:t>
      </w:r>
    </w:p>
    <w:p w14:paraId="1A852E11">
      <w:pPr>
        <w:spacing w:line="360" w:lineRule="auto"/>
        <w:ind w:firstLine="420"/>
        <w:rPr>
          <w:lang w:eastAsia="zh-CN"/>
        </w:rPr>
      </w:pPr>
      <w:r>
        <w:rPr>
          <w:rFonts w:ascii="宋体" w:hAnsi="宋体" w:eastAsia="宋体"/>
          <w:sz w:val="24"/>
          <w:lang w:eastAsia="zh-CN"/>
        </w:rPr>
        <w:t>《天主实义》的写作形式本身就具有深意。利玛窦将全书设置为“中士”与“西士”的对话——“中士”代表中国士人的立场（在大多数情况下，相当于程朱理学家的立场），而“西士”则代表利玛窦本人的立场 。这种对话体的选择，至少具有双重效果：第一，它营造出一种平等交流的氛围，使中国读者不至于感到被居高临下地“说教”；第二，它巧妙地将利玛窦的论点包装成对“中士”问题的回应，从而利玛窦所预期的中国读者的“思想防线”。通过让“西士”逐一化解这些质疑，利玛窦实际上完成了一场针对潜在读者心理的“预演式”说服。</w:t>
      </w:r>
      <w:r>
        <w:rPr>
          <w:vertAlign w:val="superscript"/>
        </w:rPr>
        <w:footnoteReference w:id="22"/>
      </w:r>
      <w:r>
        <w:t>在论证中占据了“主动解疑”而非“被动辩解”的位置。 值得注意的是，书中“中士”并非一个完全被动的角色。他经常提出尖锐的质疑，而这些质疑恰恰反映了</w:t>
      </w:r>
      <w:r>
        <w:rPr>
          <w:sz w:val="16"/>
          <w:vertAlign w:val="superscript"/>
        </w:rPr>
        <w:t>[11][48]</w:t>
      </w:r>
    </w:p>
    <w:p w14:paraId="0244F4C2">
      <w:pPr>
        <w:pStyle w:val="5"/>
        <w:ind w:firstLine="482"/>
        <w:rPr>
          <w:lang w:eastAsia="zh-CN"/>
        </w:rPr>
      </w:pPr>
      <w:r>
        <w:rPr>
          <w:lang w:eastAsia="zh-CN"/>
        </w:rPr>
        <w:t>利玛窦对“太极”的批判</w:t>
      </w:r>
    </w:p>
    <w:p w14:paraId="2A6E5AE5">
      <w:pPr>
        <w:spacing w:line="360" w:lineRule="auto"/>
        <w:ind w:firstLine="420"/>
        <w:rPr>
          <w:lang w:eastAsia="zh-CN"/>
        </w:rPr>
      </w:pPr>
      <w:r>
        <w:rPr>
          <w:rFonts w:ascii="宋体" w:hAnsi="宋体" w:eastAsia="宋体"/>
          <w:sz w:val="24"/>
          <w:lang w:eastAsia="zh-CN"/>
        </w:rPr>
        <w:t>《天主实义》中直接针对“太极”的批判出现在第二篇“解释世人错认天主”中。利玛窦的主要论点可以概括为三点： 第一，“太极”一词不见于儒家原始经典。利玛窦指出：“如太极为上帝、万物之祖，古圣何隐其说乎？” 在他看来，如果“太极”真的具有如此根本的地位，那么孔子、孟子等先圣不可能只字不提。这一论证策略是典型的“诉诸经典权威”——利玛窦正是试图通过抬高“古儒”来贬低“今儒”（宋儒）。 第二，即使将“太极”解释为“理”，此“理”也无法自存自立。利玛窦进一步论证，宋儒所说的“无极而太极”，无非是“依赖奇偶之象的道理”，是“虚象”与“虚理”</w:t>
      </w:r>
      <w:r>
        <w:rPr>
          <w:rFonts w:ascii="Times New Roman" w:hAnsi="Times New Roman" w:eastAsia="宋体"/>
          <w:vertAlign w:val="superscript"/>
        </w:rPr>
        <w:footnoteReference w:id="23"/>
      </w:r>
      <w:r>
        <w:t>。这一批判的核心依据正是西方经院哲学中“自立者”（substance）与“依赖者”（accident）的区分——利玛</w:t>
      </w:r>
      <w:r>
        <w:rPr>
          <w:rFonts w:ascii="宋体" w:hAnsi="宋体" w:eastAsia="宋体"/>
          <w:sz w:val="24"/>
          <w:lang w:eastAsia="zh-CN"/>
        </w:rPr>
        <w:t>窦认为，“理”既然依赖于“物”而存在（即“理”是事物的属性或条理），它就不可能是自存自立的实体，更不可能化生万物。 第三，“太极”如果作为“理”，则“理”无灵觉，不能主宰万物。利玛窦指出，“理”既无灵觉，也无法知晓善恶，因此不能成为“赏善罚恶”的终极主宰。这一批判背后，是利玛窦的神学关切：在他看来，宇宙的终极本原必须是“有位格”的存在——能够认知、意愿、行动——而不仅仅是“无位格”的法则或条理。</w:t>
      </w:r>
      <w:r>
        <w:rPr>
          <w:sz w:val="16"/>
          <w:vertAlign w:val="superscript"/>
        </w:rPr>
        <w:t>[11]</w:t>
      </w:r>
    </w:p>
    <w:p w14:paraId="66A1C14F">
      <w:pPr>
        <w:pStyle w:val="5"/>
        <w:ind w:firstLine="482"/>
        <w:rPr>
          <w:lang w:eastAsia="zh-CN"/>
        </w:rPr>
      </w:pPr>
      <w:r>
        <w:rPr>
          <w:lang w:eastAsia="zh-CN"/>
        </w:rPr>
        <w:t>将“理”判定为“依赖者”：经院哲学框架的引入</w:t>
      </w:r>
    </w:p>
    <w:p w14:paraId="6681D46E">
      <w:pPr>
        <w:spacing w:line="360" w:lineRule="auto"/>
        <w:ind w:firstLine="420"/>
        <w:rPr>
          <w:lang w:eastAsia="zh-CN"/>
        </w:rPr>
      </w:pPr>
      <w:r>
        <w:rPr>
          <w:rFonts w:ascii="宋体" w:hAnsi="宋体" w:eastAsia="宋体"/>
          <w:sz w:val="24"/>
          <w:lang w:eastAsia="zh-CN"/>
        </w:rPr>
        <w:t>在上述批判中，最具根本性的一步是利玛窦将“理”判定为“依赖者”。他依据经院哲学的分类原则——“物之宗品有二，有自立者，有依赖者”——将“理”归入后者窦看来，“理”不过是事物的条理、属性或法则，离开了具体事物，“理”也无法独立存在。 然而，这一判定恰恰暴露了利玛窦对程朱理学的“误解”——但这种“误解”可能是一种经过深思熟虑的“策略性曲解”。在朱熹的体系中，“理”虽然内在于具体事物，但它在逻辑上先于事物，并不依赖于事物而存在。朱熹明确说过：“未有君臣，已先有君臣之理；未有父子，已先有父子之理。”在这个意义上，“理”并不符合利玛窦所说的“依赖者”的定义。但利玛窦的论证有意忽视了这一点，将“理”的“内在于物”等同于“依赖于物”，从而在逻辑上否定了“理”的本体地位。 这一策略的背后，是利玛窦所依赖的托马斯·阿奎那的“存有层级”（gradus entium）学说。在阿奎那的体系中，存在被划分为不同的层级：最高层级是“纯实现”（actus purus），即上帝；其次是精神实体（天使与人的灵魂）；再次是物质实体；最低层级是偶性（accidents）。在这一框架中，“理”如果无法被归入任何一个“自立者”的层级，就只能被划归“偶性”范畴——而这正是利玛窦所做的。但从程朱理学的视角来看，“理”既非“实体”也非“偶性”——它是另一种意义上的存在，一种超越了西方“实体-属性”二元范畴的“存在”。两种哲学体系的“不可通约性”，在此展露无遗。</w:t>
      </w:r>
      <w:r>
        <w:rPr>
          <w:vertAlign w:val="superscript"/>
        </w:rPr>
        <w:footnoteReference w:id="24"/>
      </w:r>
      <w:r>
        <w:t>。这一判定的理论前提是：存在者可以分为两类——一类是“自立者”（substance），即能够独立存在的实体；另一类是“依赖者”（accident），即必须依附于实体才能存在的属性或关系。在利玛</w:t>
      </w:r>
      <w:r>
        <w:rPr>
          <w:sz w:val="16"/>
          <w:vertAlign w:val="superscript"/>
        </w:rPr>
        <w:t>[11]</w:t>
      </w:r>
    </w:p>
    <w:p w14:paraId="1DBF6CE9">
      <w:pPr>
        <w:pStyle w:val="4"/>
        <w:spacing w:before="120" w:after="120"/>
        <w:ind w:firstLine="562"/>
        <w:rPr>
          <w:lang w:eastAsia="zh-CN"/>
        </w:rPr>
      </w:pPr>
      <w:r>
        <w:rPr>
          <w:rFonts w:hint="eastAsia"/>
          <w:lang w:eastAsia="zh-CN"/>
        </w:rPr>
        <w:t xml:space="preserve">第三节 </w:t>
      </w:r>
      <w:r>
        <w:rPr>
          <w:lang w:eastAsia="zh-CN"/>
        </w:rPr>
        <w:t>两种本体论路径的相遇与错位</w:t>
      </w:r>
    </w:p>
    <w:p w14:paraId="53C1DE2A">
      <w:pPr>
        <w:spacing w:line="360" w:lineRule="auto"/>
        <w:ind w:firstLine="420"/>
        <w:rPr>
          <w:lang w:eastAsia="zh-CN"/>
        </w:rPr>
      </w:pPr>
      <w:r>
        <w:rPr>
          <w:rFonts w:ascii="宋体" w:hAnsi="宋体" w:eastAsia="宋体"/>
          <w:sz w:val="24"/>
          <w:lang w:eastAsia="zh-CN"/>
        </w:rPr>
        <w:t>经过前两节的分析，我们现在可以更系统地审视利玛窦与程朱理学之间的根本分歧。这一分歧，远不止于对几个概念的异义理解，而是两种本体论路径的深层相遇与错位。</w:t>
      </w:r>
      <w:r>
        <w:rPr>
          <w:sz w:val="16"/>
          <w:vertAlign w:val="superscript"/>
        </w:rPr>
        <w:t>[20]</w:t>
      </w:r>
    </w:p>
    <w:p>
      <w:r>
        <w:t xml:space="preserve">─────────────────────────────────────</w:t>
      </w:r>
    </w:p>
    <w:p>
      <w:r>
        <w:t xml:space="preserve">第3页脚注：</w:t>
      </w:r>
    </w:p>
    <w:p>
      <w:r>
        <w:rPr>
          <w:vertAlign w:val="superscript"/>
        </w:rPr>
        <w:t xml:space="preserve">1 朱熹. 朱子语类[M]. 北京: 中华书局, 1986.</w:t>
      </w:r>
    </w:p>
    <w:p>
      <w:r>
        <w:rPr>
          <w:vertAlign w:val="superscript"/>
        </w:rPr>
        <w:t xml:space="preserve">2 程颢, 程颐. 二程遗书[M]. 上海: 上海古籍出版社, 2000.</w:t>
      </w:r>
    </w:p>
    <w:p>
      <w:r>
        <w:rPr>
          <w:vertAlign w:val="superscript"/>
        </w:rPr>
        <w:t xml:space="preserve">3 张载. 张载集[M]. 北京: 中华书局, 1978.</w:t>
      </w:r>
    </w:p>
    <w:p>
      <w:r>
        <w:rPr>
          <w:vertAlign w:val="superscript"/>
        </w:rPr>
        <w:t xml:space="preserve">4 朱熹. 四书章句集注[M]. 北京: 中华书局, 1983.</w:t>
      </w:r>
    </w:p>
    <w:p>
      <w:r>
        <w:rPr>
          <w:vertAlign w:val="superscript"/>
        </w:rPr>
        <w:t xml:space="preserve">5 利玛窦. 天主实义[A]. 利玛窦中文著译集[C]. 上海: 复旦大学出版社, 2001.</w:t>
      </w:r>
    </w:p>
    <w:p>
      <w:r>
        <w:rPr>
          <w:vertAlign w:val="superscript"/>
        </w:rPr>
        <w:t xml:space="preserve">6 孙尚扬. 基督教与明末儒学[M]. 北京: 东方出版社, 1994.</w:t>
      </w:r>
    </w:p>
    <w:p>
      <w:r>
        <w:rPr>
          <w:vertAlign w:val="superscript"/>
        </w:rPr>
        <w:t xml:space="preserve">7 Meynard, T. The Jesuit Reading of Confucius: The First Complete Translation of the Lunyu (1687) Published in the West[J]. Brill's Series in Church History, 2015, 68(1): 1-32.</w:t>
      </w:r>
    </w:p>
    <w:p w14:paraId="4F74E1F3">
      <w:pPr>
        <w:pStyle w:val="5"/>
        <w:numPr>
          <w:ilvl w:val="0"/>
          <w:numId w:val="9"/>
        </w:numPr>
        <w:ind w:firstLineChars="0"/>
        <w:rPr>
          <w:lang w:eastAsia="zh-CN"/>
        </w:rPr>
      </w:pPr>
      <w:r>
        <w:rPr>
          <w:lang w:eastAsia="zh-CN"/>
        </w:rPr>
        <w:t>从“理”与“上帝”的错位看跨文化对话的困境</w:t>
      </w:r>
    </w:p>
    <w:p w14:paraId="520D084F">
      <w:pPr>
        <w:spacing w:line="360" w:lineRule="auto"/>
        <w:ind w:firstLine="420"/>
        <w:rPr>
          <w:lang w:eastAsia="zh-CN"/>
        </w:rPr>
      </w:pPr>
      <w:r>
        <w:rPr>
          <w:rFonts w:ascii="宋体" w:hAnsi="宋体" w:eastAsia="宋体"/>
          <w:sz w:val="24"/>
          <w:lang w:eastAsia="zh-CN"/>
        </w:rPr>
        <w:t>程朱理学中的“理”，是一个既超越又内在的形而上学原则：它超越于具体事物之上（作为宇宙的终极根据），又内在于每一具体事物之中（作为事物的所以然之理）。这种“既超越又内在”的特性，是儒家哲学区别于西方有神论的一个关键特征。 而利玛窦带来的“上帝”（Deus），则是完全超越的，纯粹灵性的、有位格的造物主。在经院哲学中，造物主与受造物之间存在着绝对的“存有论断裂”（ontological gap）：上帝是纯粹的存在本身，而受造物则是分有了存在的存在者。这一断裂，在程朱理学的“理—气—物”的连续结构中，是根本找不到对应位置的。 因此，当利玛窦试图用“理”来指称“上帝”时（这是他早期传教策略的一部分），或当他反过来用“上帝”来替代“理”时（这是他后期策略的核心），他实际上是在两种不可通约的本体论体系之间进行一种“概念搬运”。这种搬运，不可避免地造成意义的丢失与扭曲。</w:t>
      </w:r>
      <w:r>
        <w:rPr>
          <w:sz w:val="16"/>
          <w:vertAlign w:val="superscript"/>
        </w:rPr>
        <w:t>[11][20]</w:t>
      </w:r>
    </w:p>
    <w:p w14:paraId="5904A127">
      <w:pPr>
        <w:pStyle w:val="5"/>
        <w:ind w:firstLine="482"/>
        <w:rPr>
          <w:lang w:eastAsia="zh-CN"/>
        </w:rPr>
      </w:pPr>
      <w:r>
        <w:rPr>
          <w:lang w:eastAsia="zh-CN"/>
        </w:rPr>
        <w:t>谁误解了谁？——跨文化理解中的“有意曲解”</w:t>
      </w:r>
    </w:p>
    <w:p w14:paraId="21A748EF">
      <w:pPr>
        <w:spacing w:line="360" w:lineRule="auto"/>
        <w:ind w:firstLine="420"/>
        <w:rPr>
          <w:lang w:eastAsia="zh-CN"/>
        </w:rPr>
      </w:pPr>
      <w:r>
        <w:rPr>
          <w:rFonts w:ascii="宋体" w:hAnsi="宋体" w:eastAsia="宋体"/>
          <w:sz w:val="24"/>
          <w:lang w:eastAsia="zh-CN"/>
        </w:rPr>
        <w:t>回到本文在绪论中提出的问题：利玛窦是否“理解”了程朱理学？从严格的学术标准来看，答案显然是否定的。他未能把握“理”的“既超越又内在”的双重特性；他未能理解“太极即理”的深刻哲学意涵；他完全忽视了程朱理学中“理”与“气”的复杂互动关系。 但更深刻的问题是：这种“误解”是偶然的吗？还是出于传教策略的需要而“有意”为之？我倾向于认为，利玛窦的“误解”在某种程度上是策略性的——他并非没有能力理解程朱理学（他在中国生活多年，与许多理学家有过深入交流），但他选择“不按照程朱理学的内在逻辑”来理解它。这是因为，一旦按照程朱理学的内在逻辑来理解，他就没有办法在不贬低“理”与“太极”的前提下为“上帝”腾出空间。 因此，利玛窦的“曲解”是一种“创造性的误读”——它不是出于无知，而是出于一种经过精心计算的选择。这种选择，为他后续的“意义置换”奠定了基础：通过先将“理”与“太极”从其原有的语义场中“拔出”，再将“上帝”的概念“植入”这个已经腾空的位置，利玛窦完成了一次跨文化的“概念挪用”。 然而，正如后续的历史所显示的，这个“植入”过程并非一帆风顺。中国士人对利玛窦的论点进行了不同方向的接受与改造：有人完全接受了他的批判，转而皈依天主教（如徐光启、李之藻）；有人则从他批判的“错误”中看到了程朱理学的内在张力，从而走向了自我更新的道路（如黄宗羲、王夫之）。这场跨文化的思想博弈，远比利玛窦最初设想的要复杂得多。</w:t>
      </w:r>
      <w:r>
        <w:rPr>
          <w:sz w:val="16"/>
          <w:vertAlign w:val="superscript"/>
        </w:rPr>
        <w:t>[16][20][25][26]</w:t>
      </w:r>
    </w:p>
    <w:p w14:paraId="29A5C4A7">
      <w:pPr>
        <w:pStyle w:val="4"/>
        <w:spacing w:before="120" w:after="120"/>
        <w:ind w:firstLine="562"/>
        <w:rPr>
          <w:lang w:eastAsia="zh-CN"/>
        </w:rPr>
      </w:pPr>
      <w:r>
        <w:rPr>
          <w:rFonts w:hint="eastAsia"/>
          <w:lang w:eastAsia="zh-CN"/>
        </w:rPr>
        <w:t xml:space="preserve">第四节 </w:t>
      </w:r>
      <w:r>
        <w:rPr>
          <w:lang w:eastAsia="zh-CN"/>
        </w:rPr>
        <w:t>本章小结</w:t>
      </w:r>
    </w:p>
    <w:p w14:paraId="57760D9D">
      <w:pPr>
        <w:spacing w:line="360" w:lineRule="auto"/>
        <w:ind w:firstLine="420"/>
        <w:rPr>
          <w:rFonts w:hint="eastAsia" w:ascii="宋体" w:hAnsi="宋体" w:eastAsia="宋体"/>
          <w:sz w:val="24"/>
          <w:lang w:eastAsia="zh-CN"/>
        </w:rPr>
      </w:pPr>
      <w:r>
        <w:rPr>
          <w:rFonts w:ascii="宋体" w:hAnsi="宋体" w:eastAsia="宋体"/>
          <w:sz w:val="24"/>
          <w:lang w:eastAsia="zh-CN"/>
        </w:rPr>
        <w:t>本章旨在厘清利玛窦面对的思想语境——即程朱理学中“理”与“太极”的本真含义，以及利玛窦在《天主实义》中如何具体展开对这两个概念的批判。通过还原“理”在程朱体系中作为“本体”与“法则”的双重功能，以及“太极”在周敦颐和朱熹那里的哲学化过程，我们可以清楚地看到：利玛窦的批判之所以能够打动一部分中国士人，并非因为他在学理上“战胜”了程朱理学，而是因为他巧妙地利用了程朱体系内部存在的理论张力——“理”作为“净洁空阔”的形而上者如何能够成为“动而生阳”的生成原理？这一张力，为利玛窦的“釜底抽薪”策略提供了可乘之机。 但与此同时，我们也必须看到：利玛窦对“理”与“太极”的批判，本质上是一种“以两方学术框架为标尺来度量另一方”的思想操作。他将“理”判定为“依赖者”，所依据的是经院哲学中“自立者-依赖者”的二分法；他否定“理”的生成能力，所依据的是阿奎那“纯实现”与“潜能”的区分。两种本体论路径的不可通约性，决定了这场“对话”从一开始就带有“错位”的底色。而这种错位，恰恰为下一章将要分析的“意义置换”机制提供了舞台。</w:t>
      </w:r>
      <w:r>
        <w:rPr>
          <w:sz w:val="16"/>
          <w:vertAlign w:val="superscript"/>
        </w:rPr>
        <w:t>[1][2][11][14]</w:t>
      </w:r>
    </w:p>
    <w:p w14:paraId="1A858E91">
      <w:pPr>
        <w:spacing w:after="0" w:line="240" w:lineRule="auto"/>
        <w:rPr>
          <w:rFonts w:hint="eastAsia" w:ascii="宋体" w:hAnsi="宋体" w:eastAsia="宋体"/>
          <w:sz w:val="24"/>
          <w:lang w:eastAsia="zh-CN"/>
        </w:rPr>
      </w:pPr>
      <w:r>
        <w:rPr>
          <w:rFonts w:hint="eastAsia" w:ascii="宋体" w:hAnsi="宋体" w:eastAsia="宋体"/>
          <w:sz w:val="24"/>
          <w:lang w:eastAsia="zh-CN"/>
        </w:rPr>
        <w:br w:type="page"/>
      </w:r>
    </w:p>
    <w:p w14:paraId="66F51CCB">
      <w:pPr>
        <w:pStyle w:val="3"/>
        <w:spacing w:before="240" w:after="240"/>
        <w:rPr>
          <w:lang w:eastAsia="zh-CN"/>
        </w:rPr>
      </w:pPr>
      <w:r>
        <w:rPr>
          <w:lang w:eastAsia="zh-CN"/>
        </w:rPr>
        <w:t>第三章 概念挪用与改造</w:t>
      </w:r>
    </w:p>
    <w:p w14:paraId="645E9300">
      <w:pPr>
        <w:pStyle w:val="4"/>
        <w:spacing w:before="120" w:after="120"/>
        <w:ind w:firstLine="562"/>
        <w:rPr>
          <w:lang w:eastAsia="zh-CN"/>
        </w:rPr>
      </w:pPr>
      <w:r>
        <w:rPr>
          <w:rFonts w:hint="eastAsia"/>
          <w:lang w:eastAsia="zh-CN"/>
        </w:rPr>
        <w:t>第一节</w:t>
      </w:r>
      <w:r>
        <w:rPr>
          <w:lang w:eastAsia="zh-CN"/>
        </w:rPr>
        <w:t>“釜底抽薪”：拆解“理”与“太极”的本体论地位</w:t>
      </w:r>
    </w:p>
    <w:p w14:paraId="1B3A5F7D">
      <w:pPr>
        <w:spacing w:line="360" w:lineRule="auto"/>
        <w:ind w:firstLine="420"/>
        <w:rPr>
          <w:lang w:eastAsia="zh-CN"/>
        </w:rPr>
      </w:pPr>
      <w:r>
        <w:rPr>
          <w:rFonts w:ascii="宋体" w:hAnsi="宋体" w:eastAsia="宋体"/>
          <w:sz w:val="24"/>
          <w:lang w:eastAsia="zh-CN"/>
        </w:rPr>
        <w:t>经过第二章的梳理，我们已经清楚地看到：程朱理学赋予“理”与“太极”的是一种既超越又内在的双重地位——它们既是宇宙万物的终极根据（本体论层面），又是万物生成的内在法则（宇宙论层面）。利玛窦若要为基督教的“上帝”腾出空间，就必须先瓦解这一双重地位。他的策略可以形象地概括为“釜底抽薪”：不直接否定“理”与“太极”的存在，而是釜底抽薪，从根基上动摇它们作为终极本原的正当性。 这一策略在《天主实义》中主要体现为三个层面的操作：概念层级的下移、功能属性的剥离，以及经典权威的反转。</w:t>
      </w:r>
      <w:r>
        <w:rPr>
          <w:sz w:val="16"/>
          <w:vertAlign w:val="superscript"/>
        </w:rPr>
        <w:t>[11]</w:t>
      </w:r>
    </w:p>
    <w:p w14:paraId="296DF4E2">
      <w:pPr>
        <w:pStyle w:val="5"/>
        <w:numPr>
          <w:ilvl w:val="0"/>
          <w:numId w:val="10"/>
        </w:numPr>
        <w:ind w:firstLineChars="0"/>
        <w:rPr>
          <w:lang w:eastAsia="zh-CN"/>
        </w:rPr>
      </w:pPr>
      <w:r>
        <w:rPr>
          <w:lang w:eastAsia="zh-CN"/>
        </w:rPr>
        <w:t>概念层级的下移：从“本体”到“属性”</w:t>
      </w:r>
    </w:p>
    <w:p>
      <w:r>
        <w:t xml:space="preserve">─────────────────────────────────────</w:t>
      </w:r>
    </w:p>
    <w:p>
      <w:r>
        <w:t xml:space="preserve">第4页脚注：</w:t>
      </w:r>
    </w:p>
    <w:p>
      <w:r>
        <w:rPr>
          <w:vertAlign w:val="superscript"/>
        </w:rPr>
        <w:t xml:space="preserve">1 朱熹. 朱子语类[M]. 北京: 中华书局, 1986.</w:t>
      </w:r>
    </w:p>
    <w:p>
      <w:r>
        <w:rPr>
          <w:vertAlign w:val="superscript"/>
        </w:rPr>
        <w:t xml:space="preserve">2 周敦颐. 周敦颐集[M]. 北京: 中华书局, 2009.</w:t>
      </w:r>
    </w:p>
    <w:p>
      <w:r>
        <w:rPr>
          <w:vertAlign w:val="superscript"/>
        </w:rPr>
        <w:t xml:space="preserve">3 利玛窦. 天主实义[A]. 利玛窦中文著译集[C]. 上海: 复旦大学出版社, 2001.</w:t>
      </w:r>
    </w:p>
    <w:p>
      <w:r>
        <w:rPr>
          <w:vertAlign w:val="superscript"/>
        </w:rPr>
        <w:t xml:space="preserve">4 蒙培元. 理学范畴系统[M]. 北京: 人民出版社, 1989.</w:t>
      </w:r>
    </w:p>
    <w:p>
      <w:r>
        <w:rPr>
          <w:vertAlign w:val="superscript"/>
        </w:rPr>
        <w:t xml:space="preserve">5 朱谦之. 中国哲学对欧洲的影响[M]. 石家庄: 河北人民出版社, 2004.</w:t>
      </w:r>
    </w:p>
    <w:p>
      <w:r>
        <w:rPr>
          <w:vertAlign w:val="superscript"/>
        </w:rPr>
        <w:t xml:space="preserve">6 孙尚扬. 基督教与明末儒学[M]. 北京: 东方出版社, 1994.</w:t>
      </w:r>
    </w:p>
    <w:p w14:paraId="7A585DF6">
      <w:pPr>
        <w:spacing w:line="360" w:lineRule="auto"/>
        <w:ind w:firstLine="420"/>
        <w:rPr>
          <w:lang w:eastAsia="zh-CN"/>
        </w:rPr>
      </w:pPr>
      <w:r>
        <w:rPr>
          <w:rFonts w:ascii="宋体" w:hAnsi="宋体" w:eastAsia="宋体"/>
          <w:sz w:val="24"/>
          <w:lang w:eastAsia="zh-CN"/>
        </w:rPr>
        <w:t>利玛窦拆解策略的第一招，是将“理”与“太极”从“本体”的层级降格为“属性”的层级。这一操作所依赖的理论工具，是西方经院哲学中“实体—偶性”（substance-accident）的分类框架。 在《天主实义》第二篇中，利玛窦借“西士”之口，提出了一个看似简单却极具颠覆性的论断： “若太极者，止解之以所谓理，则不能为天地万物之原矣。盖理亦依赖之类，自不能立，奚能立他？” 这段话包含两个关键的逻辑步骤。第一步，利玛窦将“太极”与“理”直接等同（这是朱熹本人的主张，利玛窦并未在此处做任何歪曲）。第二步，他断言“理”属于“依赖之类”——也就是亚里士多德-托马斯传统中的“偶性”（accidents），即不能独立存在而必须依附于实体的属性。 为了支撑这一论断，利玛窦引入了一个基本的存在论区分： “物之宗品有二：有自立者，有依赖者。自立者，如天地、人物、鬼神之类；依赖者，如大小、长短、善恶、邪正之类。” 在利玛窦看来，“理”显然属于后者——它不过是事物的大小、长短、条理、秩序等属性的总称。正如“大小”不能脱离具体事物而存在，“理”也不能脱离具体事物而独立自存。因此，“理”不可能成为万物的本原，因为本原必须是不依赖他物而“自立”的。 这一论证看似逻辑严密，实则隐藏着一个根本性的“范畴错误”。如前所述，程朱理学中的“理”并非亚里士多德意义上的“偶性”。朱熹明确指出，“理”是“生物之本”，是先于具体事物而存在的形而上学原则。它“净洁空阔”，不依赖于任何具体事物，反而是一切事物存在的根据。利玛窦将“理”等同于“事物之理”，实际上是将“理”的一个侧面（“理在事中”）绝对化，而忽视了“理”的另一侧面（“理在事先”）。 然而，正是这种“有选择的关注”，构成了利玛窦策略的核心特征。他不是在“忠实理解”程朱理学，而是在“创造性重构”程朱理学——通过将“理”仅仅解释为“依赖者”，他成功地将“理”从本体的宝座上拉了下来，为“上帝”的登台清空了位置。 利玛窦的批判还不止于此。他进一步指出，即使退一步承认“理”可以独立存在，“理”本身“无灵觉”，不能知善恶、辨是非，因此不能作为“赏善罚恶”的终极主宰。这一批判直指基督教的根本关切——在利玛窦看来，宇宙的终极本原必须是一位有位格的、能够与人类建立伦理关系的神，而不是一个无位格的、冷冰冰的“理”。这一批判，实际上暴露了两种哲学体系在“终极关怀”层面的根本分歧：程朱理学追求的是一种超越个人意志的宇宙秩序，而基督教追求的是一种人格化的救赎关系。两种关切，不可通约。</w:t>
      </w:r>
      <w:r>
        <w:rPr>
          <w:sz w:val="16"/>
          <w:vertAlign w:val="superscript"/>
        </w:rPr>
        <w:t>[11][57]</w:t>
      </w:r>
    </w:p>
    <w:p w14:paraId="2B199ABC">
      <w:pPr>
        <w:pStyle w:val="5"/>
        <w:ind w:firstLine="482"/>
        <w:rPr>
          <w:lang w:eastAsia="zh-CN"/>
        </w:rPr>
      </w:pPr>
      <w:r>
        <w:rPr>
          <w:lang w:eastAsia="zh-CN"/>
        </w:rPr>
        <w:t>功能属性的剥离：否定“理”作为生成原则的身份</w:t>
      </w:r>
    </w:p>
    <w:p w14:paraId="1051D539">
      <w:pPr>
        <w:spacing w:line="360" w:lineRule="auto"/>
        <w:ind w:firstLine="420"/>
        <w:rPr>
          <w:lang w:eastAsia="zh-CN"/>
        </w:rPr>
      </w:pPr>
      <w:r>
        <w:rPr>
          <w:rFonts w:ascii="宋体" w:hAnsi="宋体" w:eastAsia="宋体"/>
          <w:sz w:val="24"/>
          <w:lang w:eastAsia="zh-CN"/>
        </w:rPr>
        <w:t>除了将“理”降格为“属性”，利玛窦的第二招是否定“理”作为宇宙生成原则的功能。在程朱理学中，“理”虽然本身“不会造作”，但通过“搭在气上”而推动万物的生成变化。而利玛窦则从根本上否定了“理”具有任何生成能力。 在《天主实义》中，利玛窦通过“中士”之口，提出了宋代儒学宇宙论中的一个核心命题： “太极生阴阳，阴阳生万物。” 紧接着，“西士”做出了决定性的反驳： “夫太极之生阴阳，犹理之生气乎？理也者，依赖之谓也，非能生物者也。” 这一反驳的力度，在于它巧妙地将“太极生阴阳”这一命题与“理生气”这一命题等同起来，然后通过否定“理”的实体性来否定“太极”的生成能力。在经院哲学看来，只有“自立者”才能成为“能生者”（agent），而“依赖者”不具备“能生”的能力。既然“理”只是“依赖者”，它就不可能“生”出阴阳二气，更不能“生”出万物。 然而，这一批判再次暴露了利玛窦对程朱理学的“策略性曲解”。在朱熹的体系中，“理”与“气”之间并非“理生气”的生成关系，而是一种更为深刻的“逻辑在先”关系。朱熹反复强调，“理”与“气”本无先后可言，但从逻辑上说，“理”是“生物之本”，“气”是“生物之具”；“理”为“气”提供了存在的根据与规范，“气”则为“理”提供了落实的质料与动能。两者缺一不可，共同构成了万物的生成原理。将这种关系简化为“理生气”的线性因果链条，本身就是一种过度简化。 利玛窦的批判策略，在这里表现出一种“有意识的简化”。他故意将程朱理学中复杂的“理—气”互动关系简化为“理生气”的单向关系，然后对简化后的命题进行批判。这种简化虽然不“忠实”于程朱理学的原貌，但却非常“有效”——它使得中国读者（特别是那些对程朱理学的内部张力已有觉察的读者）能够迅速抓住利玛窦的批判锋芒。</w:t>
      </w:r>
      <w:r>
        <w:rPr>
          <w:sz w:val="16"/>
          <w:vertAlign w:val="superscript"/>
        </w:rPr>
        <w:t>[11]</w:t>
      </w:r>
    </w:p>
    <w:p w14:paraId="2E6DA4A7">
      <w:pPr>
        <w:pStyle w:val="5"/>
        <w:ind w:firstLine="482"/>
        <w:rPr>
          <w:lang w:eastAsia="zh-CN"/>
        </w:rPr>
      </w:pPr>
      <w:r>
        <w:rPr>
          <w:lang w:eastAsia="zh-CN"/>
        </w:rPr>
        <w:t>经典权威的反转：以“古儒”压“今儒”</w:t>
      </w:r>
    </w:p>
    <w:p w14:paraId="3F52764E">
      <w:pPr>
        <w:spacing w:line="360" w:lineRule="auto"/>
        <w:ind w:firstLine="420"/>
        <w:rPr>
          <w:lang w:eastAsia="zh-CN"/>
        </w:rPr>
      </w:pPr>
      <w:r>
        <w:rPr>
          <w:rFonts w:ascii="宋体" w:hAnsi="宋体" w:eastAsia="宋体"/>
          <w:sz w:val="24"/>
          <w:lang w:eastAsia="zh-CN"/>
        </w:rPr>
        <w:t>除了概念层面和功能层面的操作，利玛窦还使用了一种更为隐蔽的策略——经典权威的反转。他通过援引先秦儒家经典（“六经”）中的“上帝”概念，来论证宋儒的“理”与“太极”是后世的“发明”，而非中国文化的正统。 在《天主实义》中，利玛窦多次引用《诗经》《尚书》等先秦典籍中出现的“上帝”一词，试图证明中国古儒原本就崇拜一位人格化的至上神： 《诗》云：“皇矣上帝，临下有赫。”又云：“上帝临汝，无贰尔心。” 《书》曰：“惟上帝不常，作善降之百祥，作不善降之百殃。” 利玛窦据此论证，中国古人所崇拜的“上帝”，与基督教所信仰的“天主”实际上是同一个神。宋儒将“上帝”抽象化为“理”和“太极”，是对古儒传统的背离与败坏。因此，他利玛窦并非在引入一个新神，而是在“恢复”中国古人原本就有的信仰。 这一论证策略的高明之处，在于它巧妙地利用了儒家内部“崇古”的思想传统。“信而好古”是孔子以来的儒家基本态度之一，任何声称“复古”的学说，都比声称“创新”的学说更容易获得士人的认同。利玛窦正是抓住了这一点，将自己包装成“古儒”的代言人，而将宋儒塑造为“背离古儒”的异端。 然而，这一策略同样包含着深刻的内部矛盾。先秦经典中的“上帝”概念是否真的等同于基督教的“Deus”，在学术上是一个极其复杂的问题。中国古人的“上帝”更多是一种被授予了最高权威的“天”的人格化象征，其含义与基督教中“三位一体”的造物主之间存在着根本差异。利玛窦将两者直接等同，实际上是一种“过度诠释”——他为了策略上的便利，抹平了两种文化传统之间的深刻差异。</w:t>
      </w:r>
      <w:r>
        <w:rPr>
          <w:sz w:val="16"/>
          <w:vertAlign w:val="superscript"/>
        </w:rPr>
        <w:t>[11][5][60]</w:t>
      </w:r>
    </w:p>
    <w:p w14:paraId="59916DCB">
      <w:pPr>
        <w:pStyle w:val="4"/>
        <w:spacing w:before="120" w:after="120"/>
        <w:ind w:firstLine="562"/>
        <w:rPr>
          <w:lang w:eastAsia="zh-CN"/>
        </w:rPr>
      </w:pPr>
      <w:r>
        <w:rPr>
          <w:rFonts w:hint="eastAsia"/>
          <w:lang w:eastAsia="zh-CN"/>
        </w:rPr>
        <w:t xml:space="preserve">第二节 </w:t>
      </w:r>
      <w:r>
        <w:rPr>
          <w:lang w:eastAsia="zh-CN"/>
        </w:rPr>
        <w:t>“借壳上市”：重塑“上帝”概念的权威性</w:t>
      </w:r>
    </w:p>
    <w:p w14:paraId="3B2DEE52">
      <w:pPr>
        <w:spacing w:line="360" w:lineRule="auto"/>
        <w:ind w:firstLine="420"/>
        <w:rPr>
          <w:lang w:eastAsia="zh-CN"/>
        </w:rPr>
      </w:pPr>
      <w:r>
        <w:rPr>
          <w:rFonts w:ascii="宋体" w:hAnsi="宋体" w:eastAsia="宋体"/>
          <w:sz w:val="24"/>
          <w:lang w:eastAsia="zh-CN"/>
        </w:rPr>
        <w:t>如果说“釜底抽薪”是利玛窦的“破”的功夫，那么“借壳上市”就是他的“立”的功夫。在拆除了“理”与“太极”的本体论地位之后，利玛窦需要重建一个可替代的终极本原——而这正是“上帝”概念所要扮演的角色。 然而，利玛窦面临着一个语言上的困境：他所要引入的“Deus”，在中国文化中并没有现成的对应词。如果音译（如后来的“陡斯”），则会造成理解上的障碍；如果意译（如“神”或“天”），则又容易被中国士人按照中国文化的既有框架来理解。利玛窦的选择是：采用中国经典中已有的“上帝”一词，但赋予它全新的基督教内涵。这就是“借壳上市”——借用中国文化的“壳”，装入西方基督教的“核”。</w:t>
      </w:r>
      <w:r>
        <w:rPr>
          <w:sz w:val="16"/>
          <w:vertAlign w:val="superscript"/>
        </w:rPr>
        <w:t>[11]</w:t>
      </w:r>
    </w:p>
    <w:p w14:paraId="6C1C9701">
      <w:pPr>
        <w:pStyle w:val="5"/>
        <w:numPr>
          <w:ilvl w:val="0"/>
          <w:numId w:val="11"/>
        </w:numPr>
        <w:ind w:firstLineChars="0"/>
        <w:rPr>
          <w:lang w:eastAsia="zh-CN"/>
        </w:rPr>
      </w:pPr>
      <w:r>
        <w:rPr>
          <w:lang w:eastAsia="zh-CN"/>
        </w:rPr>
        <w:t>重新定义“上帝”：“生生”之力与位格性</w:t>
      </w:r>
    </w:p>
    <w:p w14:paraId="1FD9EBB0">
      <w:pPr>
        <w:spacing w:line="360" w:lineRule="auto"/>
        <w:ind w:firstLine="420"/>
        <w:rPr>
          <w:lang w:eastAsia="zh-CN"/>
        </w:rPr>
      </w:pPr>
      <w:r>
        <w:rPr>
          <w:rFonts w:ascii="宋体" w:hAnsi="宋体" w:eastAsia="宋体"/>
          <w:sz w:val="24"/>
          <w:lang w:eastAsia="zh-CN"/>
        </w:rPr>
        <w:t>在《天主实义》中，利玛窦对“上帝”概念进行了系统的重新定义。他赋予“上帝”两个核心特征：一是“生生”的创造之力，二是位格性的道德主宰。 首先，关于“生生”之力。利玛窦强调，上帝是“生生者”——即万物的创造者与维持者。与“理”的“不会造作”不同，上帝具有生成万物的主动能力： “吾天主者，乃生生者，无所不能，无物不有。” 这里的“生生”一词，明显借鉴了儒家经典《周易》中“生生之谓易”的表述，但又赋予了它全新的含义。在《周易》中，“生生”是指宇宙万物连续不断的生成变化过程，是一种没有主体意志的、自发的运行规律。而在利玛窦的阐释中，“生生”变成了一个有位格的创造者的主动行为——上帝“生”出万物，与工匠制造器物类似，都是主体意志的产物。 其次，关于位格性。利玛窦特别强调上帝作为“至灵至明”的存在，具有认知、意愿和行动的能力。这与“理”作为“无灵觉”的存在形成了鲜明对比： “理也者，依赖之谓也，非灵觉者也；上帝者，自立之谓也，灵觉者也。” 在这里，利玛窦再次引入了“自立—依赖”的区分，但他这一次是从正面意义上使用它——上帝是“自立者”，因此具有“灵觉”；而“理”是“依赖者”，因此没有“灵觉”。通过这一对比，利玛窦成功地建立了一个价值层级：上帝高于“理”，因为上帝具有“理”所不具备的位格性。</w:t>
      </w:r>
      <w:r>
        <w:rPr>
          <w:sz w:val="16"/>
          <w:vertAlign w:val="superscript"/>
        </w:rPr>
        <w:t>[11]</w:t>
      </w:r>
    </w:p>
    <w:p w14:paraId="06338F31">
      <w:pPr>
        <w:pStyle w:val="5"/>
        <w:ind w:firstLine="482"/>
        <w:rPr>
          <w:lang w:eastAsia="zh-CN"/>
        </w:rPr>
      </w:pPr>
      <w:r>
        <w:rPr>
          <w:lang w:eastAsia="zh-CN"/>
        </w:rPr>
        <w:t>经典证据的拼合：“上帝”在先秦儒家中的角色</w:t>
      </w:r>
    </w:p>
    <w:p w14:paraId="0308EC86">
      <w:pPr>
        <w:spacing w:line="360" w:lineRule="auto"/>
        <w:ind w:firstLine="420"/>
        <w:rPr>
          <w:lang w:eastAsia="zh-CN"/>
        </w:rPr>
      </w:pPr>
      <w:r>
        <w:rPr>
          <w:rFonts w:ascii="宋体" w:hAnsi="宋体" w:eastAsia="宋体"/>
          <w:sz w:val="24"/>
          <w:lang w:eastAsia="zh-CN"/>
        </w:rPr>
        <w:t>为了使“上帝”的概念在中国语境中获得正当性，利玛窦大量引用先秦儒家经典，从中“发掘”出支持上帝信仰的证据。这一做法，实际上是一种跨文化的“互文性”操作——通过将基督教文本与中国经典文本并置，利玛窦试图证明两者之间的连续性。 利玛窦引用经文的策略，表现出高度的选择性。他专门选取那些能够支持“上帝是人格化的至高主宰”这一观点的段落，而忽略那些与基督教教义不符的内容。例如，他大量引用《诗经》中关于“上帝”的敬畏之辞，却没有引用《论语》中“子不语怪力乱神”的克制态度；他引用了《尚书》中“天听自我民听”的天民感应论，却没有引用《周易》中“生生之谓易”的非人格化宇宙观。 这种选择性引用的策略，本质上是一种“跨文化翻译”的必然产物。任何跨文化对话，都不可避免地涉及对原文本的“选择”与“舍弃”。利玛窦的选择，既有其策略性的考量，也有其作为传教士的身份限制——他不可能、也不愿意站在中国文化的立场上来“理解”中国文化，他始终是以西方基督教为参照系来“挑选”中国经典中的可用资源。</w:t>
      </w:r>
      <w:r>
        <w:rPr>
          <w:sz w:val="16"/>
          <w:vertAlign w:val="superscript"/>
        </w:rPr>
        <w:t>[11][5][60]</w:t>
      </w:r>
    </w:p>
    <w:p w14:paraId="08667A1E">
      <w:pPr>
        <w:pStyle w:val="5"/>
        <w:ind w:firstLine="482"/>
        <w:rPr>
          <w:lang w:eastAsia="zh-CN"/>
        </w:rPr>
      </w:pPr>
      <w:r>
        <w:rPr>
          <w:lang w:eastAsia="zh-CN"/>
        </w:rPr>
        <w:t>“借壳”还是“换核”？——概念移植的内在张力</w:t>
      </w:r>
    </w:p>
    <w:p>
      <w:r>
        <w:t xml:space="preserve">─────────────────────────────────────</w:t>
      </w:r>
    </w:p>
    <w:p>
      <w:r>
        <w:t xml:space="preserve">第5页脚注：</w:t>
      </w:r>
    </w:p>
    <w:p>
      <w:r>
        <w:rPr>
          <w:vertAlign w:val="superscript"/>
        </w:rPr>
        <w:t xml:space="preserve">1 朱熹. 四书章句集注[M]. 北京: 中华书局, 1983.</w:t>
      </w:r>
    </w:p>
    <w:p>
      <w:r>
        <w:rPr>
          <w:vertAlign w:val="superscript"/>
        </w:rPr>
        <w:t xml:space="preserve">2 利玛窦. 天主实义[A]. 利玛窦中文著译集[C]. 上海: 复旦大学出版社, 2001.</w:t>
      </w:r>
    </w:p>
    <w:p>
      <w:r>
        <w:rPr>
          <w:vertAlign w:val="superscript"/>
        </w:rPr>
        <w:t xml:space="preserve">3 Cocks, N. P. Matteo Ricci and Neo-Confucian Thought: A Hermeneutical Study[D]. PhD dissertation. Sydney: University of Sydney, 2004.</w:t>
      </w:r>
    </w:p>
    <w:p w14:paraId="5E679589">
      <w:pPr>
        <w:spacing w:line="360" w:lineRule="auto"/>
        <w:ind w:firstLine="420"/>
        <w:rPr>
          <w:lang w:eastAsia="zh-CN"/>
        </w:rPr>
      </w:pPr>
      <w:r>
        <w:rPr>
          <w:rFonts w:ascii="宋体" w:hAnsi="宋体" w:eastAsia="宋体"/>
          <w:sz w:val="24"/>
          <w:lang w:eastAsia="zh-CN"/>
        </w:rPr>
        <w:t>“借壳上市”这一比喻，虽然形象地描述了利玛窦的策略，但也隐含着一个内在张力：当“外壳”（“上帝”一词）被移植到一个全新的文化语境中时，它原有的“内容”窦之后的两条接受路径的分化：一部分士人（如徐光启）接受了“壳”背后的“核”，因此真正地皈依了基督教；另一部分士人（如黄宗羲）则只在“壳”的层面接受理解，而拒绝了“核”的深层内容，因此他们的“接受”本质上是一种“误读”——他们仍然按照中国文化的既有框架来理解“上帝”，并将其纳入自己的思想体系之中，而非真正进入利玛窦所设想的基督教语境。</w:t>
      </w:r>
      <w:r>
        <w:rPr>
          <w:vertAlign w:val="superscript"/>
        </w:rPr>
        <w:footnoteReference w:id="25"/>
      </w:r>
      <w:r>
        <w:t>（中国古人赋予“上帝”的含义）是否还能保留？或者说，“壳”与“核”之间是否存在不可分割的内在联系？ 从文本操作层面来看，利玛窦的策略是一种“借壳换核”——他保留了“上帝”这一符号，但彻底改变了这一符号的“所指”。中国古人所说的“上帝”，更多的是与“天”相联系的、在宇宙秩序中最高的人格化象征，其含义模糊而多元；利玛窦则将这一概念精确化为基督教中的“Deus”——一个创造世界、主宰历史、赏善罚恶的、三位一体的神。这种“换核”操作，虽然使中国士人能够通过“上帝”这一熟悉的符号进入基督教的思想世界，但也为后续的接受与误读埋下了伏笔。 事实上，正是这种“壳”与“核”之间的错位，导致了利玛</w:t>
      </w:r>
      <w:r>
        <w:rPr>
          <w:sz w:val="16"/>
          <w:vertAlign w:val="superscript"/>
        </w:rPr>
        <w:t>[11][20]</w:t>
      </w:r>
    </w:p>
    <w:p w14:paraId="46E081ED">
      <w:pPr>
        <w:pStyle w:val="4"/>
        <w:spacing w:before="120" w:after="120"/>
        <w:ind w:firstLine="562"/>
        <w:rPr>
          <w:lang w:eastAsia="zh-CN"/>
        </w:rPr>
      </w:pPr>
      <w:r>
        <w:rPr>
          <w:rFonts w:hint="eastAsia"/>
          <w:lang w:eastAsia="zh-CN"/>
        </w:rPr>
        <w:t xml:space="preserve">第三节 </w:t>
      </w:r>
      <w:r>
        <w:rPr>
          <w:lang w:eastAsia="zh-CN"/>
        </w:rPr>
        <w:t>两种策略的内在关联与张力</w:t>
      </w:r>
    </w:p>
    <w:p w14:paraId="2DE5317F">
      <w:pPr>
        <w:spacing w:line="360" w:lineRule="auto"/>
        <w:ind w:firstLine="420"/>
        <w:rPr>
          <w:lang w:eastAsia="zh-CN"/>
        </w:rPr>
      </w:pPr>
      <w:r>
        <w:rPr>
          <w:rFonts w:ascii="宋体" w:hAnsi="宋体" w:eastAsia="宋体"/>
          <w:sz w:val="24"/>
          <w:lang w:eastAsia="zh-CN"/>
        </w:rPr>
        <w:t>经过前两节的分别分析，我们现在可以回到一个更根本的问题：“釜底抽薪”与“借壳上市”这两种策略之间，存在着怎样的内在关联与张力？</w:t>
      </w:r>
    </w:p>
    <w:p w14:paraId="4CA8AB27">
      <w:pPr>
        <w:pStyle w:val="5"/>
        <w:numPr>
          <w:ilvl w:val="0"/>
          <w:numId w:val="12"/>
        </w:numPr>
        <w:ind w:firstLineChars="0"/>
        <w:rPr>
          <w:lang w:eastAsia="zh-CN"/>
        </w:rPr>
      </w:pPr>
      <w:r>
        <w:rPr>
          <w:lang w:eastAsia="zh-CN"/>
        </w:rPr>
        <w:t>策略的内在统一：破与立的共生关系</w:t>
      </w:r>
    </w:p>
    <w:p w14:paraId="7DBAE516">
      <w:pPr>
        <w:spacing w:line="360" w:lineRule="auto"/>
        <w:ind w:firstLine="420"/>
        <w:rPr>
          <w:lang w:eastAsia="zh-CN"/>
        </w:rPr>
      </w:pPr>
      <w:r>
        <w:rPr>
          <w:rFonts w:ascii="宋体" w:hAnsi="宋体" w:eastAsia="宋体"/>
          <w:sz w:val="24"/>
          <w:lang w:eastAsia="zh-CN"/>
        </w:rPr>
        <w:t>从逻辑上看，“釜底抽薪”与“借壳上市”构成了一个完整的“破—立”结构。“釜底抽薪”是“破”：它拆除了“理”与“太极”的本体论地位，清空了终极本原这一位置；“借壳上市”是“立”：它引入“上帝”这一概念，填充了被清空的位置。两者缺一不可：只有“破”而没有“立”，传教工作就只剩下批判而没有建设；只有“立”而没有“破”，基督教就无法在中国思想的已有框架中获得一席之地。 但这种“破—立”关系并非简单的线性接续，而是一种更为微妙的“共生关系”。“破”的方式决定了“立”的方向：正是通过将“理”降格为“依赖者”、否定“理”的生成能力，利玛窦才证明了引入一位有位格的创造者的必要性。反过来，“立”的内容也制约着“破”的深度：利玛窦对“理”与“太极”的批判，始终被限制在“非人格化本原”这一范围内，而从未触及儒家伦理的核心——孝道、仁义等。这种有选择的“破”，是出于“立”的需要：如果利玛窦过度批判儒家伦理，他就失去了与中国士人对话的基础。</w:t>
      </w:r>
      <w:r>
        <w:rPr>
          <w:sz w:val="16"/>
          <w:vertAlign w:val="superscript"/>
        </w:rPr>
        <w:t>[11]</w:t>
      </w:r>
    </w:p>
    <w:p w14:paraId="05F368BE">
      <w:pPr>
        <w:pStyle w:val="5"/>
        <w:ind w:firstLine="482"/>
        <w:rPr>
          <w:lang w:eastAsia="zh-CN"/>
        </w:rPr>
      </w:pPr>
      <w:r>
        <w:rPr>
          <w:lang w:eastAsia="zh-CN"/>
        </w:rPr>
        <w:t>策略的内在张力：适应与抗拒的辩证</w:t>
      </w:r>
    </w:p>
    <w:p w14:paraId="6605FC4A">
      <w:pPr>
        <w:spacing w:line="360" w:lineRule="auto"/>
        <w:ind w:firstLine="420"/>
        <w:rPr>
          <w:lang w:eastAsia="zh-CN"/>
        </w:rPr>
      </w:pPr>
      <w:r>
        <w:rPr>
          <w:rFonts w:ascii="宋体" w:hAnsi="宋体" w:eastAsia="宋体"/>
          <w:sz w:val="24"/>
          <w:lang w:eastAsia="zh-CN"/>
        </w:rPr>
        <w:t>然而，“破”与“立”之间并非总是和谐共处。两种策略之间存在着一种难以消解的内在张力：一方面，利玛窦需要“适应”中国文化的语言与概念体系，以便他的理论能够被中国士人所理解——“借壳上市”正是这一“适应”策略的体现；另一方面，他又必须保持基督教教义的“纯正性”，不能因为适应而牺牲核心信仰——“釜底抽薪”正是为了划清界限、保持差异。 这种“适应”与“抗拒”之间的张力，贯穿了利玛窦的整个传教生涯。早期的利玛窦更为“适应”——他穿儒服、说中文、引用中国经典，试图最大限度地减少文化冲突。随着对中国文化的深入理解，他越来越意识到“适应”的限度——某些核心差异（如“理”与“上帝”的对立）是无法通过“适应”来弥合的。后期的利玛窦转而更多地“抗拒”——他在《天主实义》中公开批判程朱理学的核心概念，不再回避冲突。 这种“适应”与“抗拒”之间的辩证，不是利玛窦个人的策略选择问题，而是任何跨文化对话都无法回避的结构性困境。两种文化之间的对话，既不可能完全“适应”（那样就会失去自身的身份），也不可能完全“抗拒”（那样就会使对话无法进行）。真正的跨文化对话，必然在“适应”与“抗拒”之间不断摇摆，寻找一个动态的平衡点。</w:t>
      </w:r>
      <w:r>
        <w:rPr>
          <w:sz w:val="16"/>
          <w:vertAlign w:val="superscript"/>
        </w:rPr>
        <w:t>[13][21][31]</w:t>
      </w:r>
    </w:p>
    <w:p w14:paraId="0EAC96BA">
      <w:pPr>
        <w:pStyle w:val="5"/>
        <w:ind w:firstLine="482"/>
        <w:rPr>
          <w:lang w:eastAsia="zh-CN"/>
        </w:rPr>
      </w:pPr>
      <w:r>
        <w:rPr>
          <w:lang w:eastAsia="zh-CN"/>
        </w:rPr>
        <w:t>“以西洋的格中国文化之物”——概念挪用的深层本质</w:t>
      </w:r>
    </w:p>
    <w:p w14:paraId="0E1F0A02">
      <w:pPr>
        <w:spacing w:line="360" w:lineRule="auto"/>
        <w:ind w:firstLine="420"/>
        <w:rPr>
          <w:lang w:eastAsia="zh-CN"/>
        </w:rPr>
      </w:pPr>
      <w:r>
        <w:rPr>
          <w:rFonts w:ascii="宋体" w:hAnsi="宋体" w:eastAsia="宋体"/>
          <w:sz w:val="24"/>
          <w:lang w:eastAsia="zh-CN"/>
        </w:rPr>
        <w:t>综合以上分析，我们可以得出一个结论：利玛窦的“概念挪用”，本质上是一种“以西洋的格中国文化之物”的思想操作。他带着西方经院哲学的理论框架，对中国哲学的核心概念进行重新分类与重新定性。在这个过程中，“理”与“太极”被从其原有的语义场中“拔出”，然后被纳入一个西方哲学的范畴体系之中。 这种“以西格中”的做法，既不是纯粹的理解（利玛窦确实“误解”了程朱理学），也不是纯粹的策略（利玛窦的“误解”有其真诚的信仰基础）。它是在特定历史情境下，一个有着特定信仰立场的思想者与他者文化进行对话时所采取的一种“创造性误读”。这种误读，既是跨文化理解的障碍，也是跨文化创造的动力——正是通过这种误读，新的思想可能得以诞生。</w:t>
      </w:r>
      <w:r>
        <w:rPr>
          <w:sz w:val="16"/>
          <w:vertAlign w:val="superscript"/>
        </w:rPr>
        <w:t>[11][21]</w:t>
      </w:r>
    </w:p>
    <w:p w14:paraId="57CF9730">
      <w:pPr>
        <w:pStyle w:val="4"/>
        <w:spacing w:before="120" w:after="120"/>
        <w:ind w:firstLine="562"/>
        <w:rPr>
          <w:lang w:eastAsia="zh-CN"/>
        </w:rPr>
      </w:pPr>
      <w:r>
        <w:rPr>
          <w:rFonts w:hint="eastAsia"/>
          <w:lang w:eastAsia="zh-CN"/>
        </w:rPr>
        <w:t xml:space="preserve">第四节 </w:t>
      </w:r>
      <w:r>
        <w:rPr>
          <w:lang w:eastAsia="zh-CN"/>
        </w:rPr>
        <w:t>本章小结</w:t>
      </w:r>
    </w:p>
    <w:p w14:paraId="51E7E993">
      <w:pPr>
        <w:spacing w:line="360" w:lineRule="auto"/>
        <w:ind w:firstLine="420"/>
        <w:rPr>
          <w:rFonts w:hint="eastAsia" w:ascii="宋体" w:hAnsi="宋体" w:eastAsia="宋体"/>
          <w:sz w:val="24"/>
          <w:lang w:eastAsia="zh-CN"/>
        </w:rPr>
      </w:pPr>
      <w:r>
        <w:rPr>
          <w:rFonts w:ascii="宋体" w:hAnsi="宋体" w:eastAsia="宋体"/>
          <w:sz w:val="24"/>
          <w:lang w:eastAsia="zh-CN"/>
        </w:rPr>
        <w:t>本章从三个层面分析了利玛窦在《天主实义》中实施的概念挪用策略。第一节聚焦“釜底抽薪”——利玛窦通过将“理”与“太极”从本体层级降格为属性层级、否定其生成功能、以及翻转经典权威，成功地动摇了程朱理学核心概念的本体论基础。第二节聚焦“借壳上市”——利玛窦通过重新定义“上帝”、拼合经典证据，成功地在中国文化的“外壳”中植入了基督教信仰的“内核”。第三节则指出，这两种策略构成了一种“破—立”共生的关系，但同时也蕴含着“适应”与“抗拒”之间的深刻张力。概念挪用的本质，是一种“以西格中”的思想操作——它既带来创造性的对话可能，也埋下了理解偏差的隐患。下一章，我们将进一步考察，这种概念挪用的深层机制是什么，以及它的具体操作方式又为何。</w:t>
      </w:r>
      <w:r>
        <w:rPr>
          <w:sz w:val="16"/>
          <w:vertAlign w:val="superscript"/>
        </w:rPr>
        <w:t>[11][13]</w:t>
      </w:r>
    </w:p>
    <w:p w14:paraId="2D222435">
      <w:pPr>
        <w:spacing w:after="0" w:line="240" w:lineRule="auto"/>
        <w:rPr>
          <w:rFonts w:hint="eastAsia" w:ascii="宋体" w:hAnsi="宋体" w:eastAsia="宋体"/>
          <w:sz w:val="24"/>
          <w:lang w:eastAsia="zh-CN"/>
        </w:rPr>
      </w:pPr>
      <w:r>
        <w:rPr>
          <w:rFonts w:hint="eastAsia" w:ascii="宋体" w:hAnsi="宋体" w:eastAsia="宋体"/>
          <w:sz w:val="24"/>
          <w:lang w:eastAsia="zh-CN"/>
        </w:rPr>
        <w:br w:type="page"/>
      </w:r>
    </w:p>
    <w:p w14:paraId="48F87DC6">
      <w:pPr>
        <w:pStyle w:val="3"/>
        <w:spacing w:before="240" w:after="240"/>
        <w:rPr>
          <w:lang w:eastAsia="zh-CN"/>
        </w:rPr>
      </w:pPr>
      <w:r>
        <w:rPr>
          <w:lang w:eastAsia="zh-CN"/>
        </w:rPr>
        <w:t>第四章 接受与变异</w:t>
      </w:r>
    </w:p>
    <w:p w14:paraId="7FFDF8CE">
      <w:pPr>
        <w:pStyle w:val="4"/>
        <w:spacing w:before="120" w:after="120"/>
        <w:ind w:firstLine="562"/>
        <w:rPr>
          <w:lang w:eastAsia="zh-CN"/>
        </w:rPr>
      </w:pPr>
      <w:r>
        <w:rPr>
          <w:rFonts w:hint="eastAsia"/>
          <w:lang w:eastAsia="zh-CN"/>
        </w:rPr>
        <w:t>第一节</w:t>
      </w:r>
      <w:r>
        <w:rPr>
          <w:lang w:eastAsia="zh-CN"/>
        </w:rPr>
        <w:t xml:space="preserve"> 接受的分野：三种不同类型的回应</w:t>
      </w:r>
    </w:p>
    <w:p w14:paraId="4D3EFBE8">
      <w:pPr>
        <w:spacing w:line="360" w:lineRule="auto"/>
        <w:ind w:firstLine="420"/>
        <w:rPr>
          <w:lang w:eastAsia="zh-CN"/>
        </w:rPr>
      </w:pPr>
      <w:r>
        <w:rPr>
          <w:rFonts w:ascii="宋体" w:hAnsi="宋体" w:eastAsia="宋体"/>
          <w:sz w:val="24"/>
          <w:lang w:eastAsia="zh-CN"/>
        </w:rPr>
        <w:t>利玛窦的《天主实义》自1603年刊行之后，在明清之际的士大夫群体中引发了复杂多样的反应。这些反应既不能简单地归为“接受”或“拒绝”的二元对立，也不能笼统地视为“儒耶对话”的和谐图景。事实上，它们呈现出至少三种不同类型的回应模式：合作性接受、选择性借鉴与批判性拒绝。这三种模式的并存，恰恰揭示了跨文化传播中“意义迁移”的复杂机制——同一文本在不同接受者那里产生了不同的“意义”，而这些意义往往已经偏离了文本原作者的意图。</w:t>
      </w:r>
      <w:r>
        <w:rPr>
          <w:sz w:val="16"/>
          <w:vertAlign w:val="superscript"/>
        </w:rPr>
        <w:t>[11][13][37]</w:t>
      </w:r>
    </w:p>
    <w:p>
      <w:r>
        <w:t xml:space="preserve">─────────────────────────────────────</w:t>
      </w:r>
    </w:p>
    <w:p>
      <w:r>
        <w:t xml:space="preserve">第6页脚注：</w:t>
      </w:r>
    </w:p>
    <w:p>
      <w:r>
        <w:rPr>
          <w:vertAlign w:val="superscript"/>
        </w:rPr>
        <w:t xml:space="preserve">1 利玛窦. 天主实义[A]. 利玛窦中文著译集[C]. 上海: 复旦大学出版社, 2001.</w:t>
      </w:r>
    </w:p>
    <w:p>
      <w:r>
        <w:rPr>
          <w:vertAlign w:val="superscript"/>
        </w:rPr>
        <w:t xml:space="preserve">2 谢和耐(J. Gernet). 中国与基督教：一种文化的冲突[M]. 耿昇, 译. 上海: 上海古籍出版社, 2003.</w:t>
      </w:r>
    </w:p>
    <w:p>
      <w:r>
        <w:rPr>
          <w:vertAlign w:val="superscript"/>
        </w:rPr>
        <w:t xml:space="preserve">3 孙尚扬. 基督教与明末儒学[M]. 北京: 东方出版社, 1994.</w:t>
      </w:r>
    </w:p>
    <w:p>
      <w:r>
        <w:rPr>
          <w:vertAlign w:val="superscript"/>
        </w:rPr>
        <w:t xml:space="preserve">4 张西平. 中国与欧洲早期宗教和哲学交流史[M]. 北京: 东方出版社, 2001.</w:t>
      </w:r>
    </w:p>
    <w:p>
      <w:r>
        <w:rPr>
          <w:vertAlign w:val="superscript"/>
        </w:rPr>
        <w:t xml:space="preserve">5 孙尚扬. 明末耶儒之间的论辩及其现代意义[J]. 世界宗教研究, 1993(3): 25-36.</w:t>
      </w:r>
    </w:p>
    <w:p w14:paraId="0452E3E7">
      <w:pPr>
        <w:pStyle w:val="5"/>
        <w:numPr>
          <w:ilvl w:val="0"/>
          <w:numId w:val="13"/>
        </w:numPr>
        <w:ind w:firstLineChars="0"/>
        <w:rPr>
          <w:lang w:eastAsia="zh-CN"/>
        </w:rPr>
      </w:pPr>
      <w:r>
        <w:rPr>
          <w:lang w:eastAsia="zh-CN"/>
        </w:rPr>
        <w:t>合作性接受：徐光启与李之藻的“补儒”路径</w:t>
      </w:r>
    </w:p>
    <w:p w14:paraId="7AFDC89D">
      <w:pPr>
        <w:spacing w:line="360" w:lineRule="auto"/>
        <w:ind w:firstLine="420"/>
        <w:rPr>
          <w:lang w:eastAsia="zh-CN"/>
        </w:rPr>
      </w:pPr>
      <w:r>
        <w:rPr>
          <w:rFonts w:ascii="宋体" w:hAnsi="宋体" w:eastAsia="宋体"/>
          <w:sz w:val="24"/>
          <w:lang w:eastAsia="zh-CN"/>
        </w:rPr>
        <w:t>在利玛窦的对话者中，徐光启（1562–1633）和李之藻（1565–1630）是最具代表性的合作者。两人不仅接受了基督教的信仰，还积极协助利玛窦翻译西学著作、传播天主教教义。但他们的接受并非简单的“照单全收”，而是在自己的思想框架中对利玛窦的学说进行了筛选与重组。 徐光启对利玛窦的接受，核心在于他对“补儒易佛”这一命题的认同。在徐光启看来，儒家思想本身是完备的，但存在一个“根本性不足”——它缺乏对“终极关怀”的充分论述。李之藻在为《天主实义》所作的序言中，明确表达了这种理解：“昔吾夫子语修身也，先事亲，而推及乎知天。至孟氏存养事天之论，而义乃綦备。盖即知即事，事天事亲同一事，而天其事之大原也。” 这种解读实际上是将利玛窦的“上帝”概念纳入儒家的“天—事亲—修身”框架之中——上帝并非外在于儒家传统的异质存在，而是儒家“事天”之道的完成与深化。 徐光启更进一步，将基督教理解为一种“补儒”的学说。他认为，儒家在伦理教化方面已经相当完备，但在“终极归宿”问题上有所欠缺——人死后何去何从？善恶报应的最终依据是什么？这些问题，儒家未能给出明确的回答。而基督教提供的“天堂地狱”说，恰好弥补了这一空缺。 但这种“补儒”的理解，实际上与利玛窦本人的意图存在微妙偏差。利玛窦在《天主实义》中虽然也强调天堂地狱，但他的核心目标并不是“补充”儒家，而是“取代”宋儒对“理”与“太极”的本体论解释。徐光启的接受，是一种“以儒摄耶”的选择性接受——他只接受了基督教中与儒家相容的部分，而对那些可能颠覆儒家根基的要素（如对“理”的彻底否定），则采取了某种程度的回避或淡化处理。 李之藻的态度则更侧重于“东海西海，心同理同”的普遍主义立场。他在序言中写道：“信哉！东海西海，心同理同。不同者，特言语文字之际。” 这一判断背后的哲学预设是：无论东方还是西方，人心所同然的“理”是相通的，表面的差异只是语言文字的不同。这种预设，为利玛窦的“概念嫁接”提供了正当性——既然“天”与“上帝”本质上是同一的，那么使用中国经典的语汇来表述基督教教义，就不是“篡改”，而是“发明”。但李之藻似乎忽略了：不同文化传统中的“理”是否真的具有相同的含义？当他用“心同理同”来为利玛窦辩护时，他实际上已经对利玛窦的“差异论”进行了逆向改造——利玛窦的本意是强调耶儒之间的“对立”（“理”不是“上帝”），而李之藻却把它理解为“统一”（“天”就是“上帝”）。这种“以同化异”的接受路径，为后来的“礼仪之争”埋下了伏笔。</w:t>
      </w:r>
      <w:r>
        <w:rPr>
          <w:sz w:val="16"/>
          <w:vertAlign w:val="superscript"/>
        </w:rPr>
        <w:t>[10][38][61]</w:t>
      </w:r>
    </w:p>
    <w:p w14:paraId="75063BF9">
      <w:pPr>
        <w:pStyle w:val="5"/>
        <w:ind w:firstLine="482"/>
        <w:rPr>
          <w:lang w:eastAsia="zh-CN"/>
        </w:rPr>
      </w:pPr>
      <w:r>
        <w:rPr>
          <w:lang w:eastAsia="zh-CN"/>
        </w:rPr>
        <w:t xml:space="preserve"> 选择性借鉴：李贽等异端思想家的独特视角</w:t>
      </w:r>
    </w:p>
    <w:p w14:paraId="0B37B2ED">
      <w:pPr>
        <w:spacing w:line="360" w:lineRule="auto"/>
        <w:ind w:firstLine="420"/>
        <w:rPr>
          <w:lang w:eastAsia="zh-CN"/>
        </w:rPr>
      </w:pPr>
      <w:r>
        <w:rPr>
          <w:rFonts w:ascii="宋体" w:hAnsi="宋体" w:eastAsia="宋体"/>
          <w:sz w:val="24"/>
          <w:lang w:eastAsia="zh-CN"/>
        </w:rPr>
        <w:t>与徐光启、李之藻的“皈依式接受”不同，李贽（1527–1602）等思想家对利玛窦采取了另一种态度——选择性借鉴。李贽本人并未皈依天主教，但他与利玛窦有过数次交往，并在《续焚书》中留下了对利玛窦的评价。他称利玛窦为“一极标致人也”，这一赞赏的言辞更多是针对利玛窦的个人品格与学识，而非其神学主张。 李贽之所以对利玛窦产生兴趣，很可能与利玛窦对宋明理学的批判有关。李贽本人是王学左派的代表人物，对程朱理学的“天理”观持强烈的批判态度。在他看来，程朱理学将“天理”绝对化、外在化，压抑了人的自然情感与个体自由。而利玛窦从“理”不能作为“自立者”的角度批判程朱理学，某种程度上与李贽的批判方向是一致的——尽管两者的出发点完全不同（利玛窦出于神学动机，李贽出于心学立场）。 但这种“选择性借鉴”意味着李贽只接受了利玛窦思想中与他自己立场相契合的部分，而拒绝了那些无法纳入其框架的内容。他对“上帝”概念的态度，很可能只是一种“礼貌性的疏离”——他尊重利玛窦的信仰，但并不将其视为真理。这种接受模式，在跨文化传播中相当普遍：接受者总是从自己的“前理解”出发，将外来思想“裁剪”为适合自己需要的形状。李贽的案例表明，即使在同一文化传统内部，不同的思想立场也会导致对同一外来学说的不同解读。</w:t>
      </w:r>
      <w:r>
        <w:rPr>
          <w:sz w:val="16"/>
          <w:vertAlign w:val="superscript"/>
        </w:rPr>
        <w:t>[8][65]</w:t>
      </w:r>
    </w:p>
    <w:p w14:paraId="72D7DE20">
      <w:pPr>
        <w:pStyle w:val="5"/>
        <w:ind w:firstLine="482"/>
        <w:rPr>
          <w:lang w:eastAsia="zh-CN"/>
        </w:rPr>
      </w:pPr>
      <w:r>
        <w:rPr>
          <w:lang w:eastAsia="zh-CN"/>
        </w:rPr>
        <w:t xml:space="preserve"> 批判性拒绝：黄宗羲与明清之际的反教浪潮</w:t>
      </w:r>
    </w:p>
    <w:p w14:paraId="5E715C06">
      <w:pPr>
        <w:spacing w:line="360" w:lineRule="auto"/>
        <w:ind w:firstLine="420"/>
        <w:rPr>
          <w:lang w:eastAsia="zh-CN"/>
        </w:rPr>
      </w:pPr>
      <w:r>
        <w:rPr>
          <w:rFonts w:ascii="宋体" w:hAnsi="宋体" w:eastAsia="宋体"/>
          <w:sz w:val="24"/>
          <w:lang w:eastAsia="zh-CN"/>
        </w:rPr>
        <w:t>与上述两种接受模式形成鲜明对比的，是以黄宗羲（1610–1695）为代表的批判性拒绝。黄宗羲作为宋明理学的总结者，对利玛窦的学说持审慎保留的态度。在《明夷待访录》等著作中，他并未直接回应利玛窦对“理”与“太极”的批判，而是从另一个层面表达了对西来学说的警惕：他强调“天下为主，君为客”，将政治正当性的根源放在“天下”而非“天”或“上帝”之上。这种思路，实际上是在用儒家的民本传统来“抵挡”基督教的神权观念。 与此同时，明末清初的反教浪潮也为这种批判性拒绝提供了社会基础。1637年由黄贞结集的《破邪集》，收录了当时僧俗文人反教之作六十余篇，其中对利玛窦的“天”“帝”译名提出了激烈的批评。 批评者认为，古时的“天”是自然之天，而非人格化的神；“天即理也”才是儒家正统，利玛窦对“天”的理解是“以西洋之格，格中国之物”，是一种文化篡改。 值得注意的是，这种批判性拒绝并非出于简单的排外心理，而是基于对两种思想体系差异的深刻洞察。正如谢和耐后来所指出的那样，利玛窦表面上的“融入”并不能弥合耶儒之间的深层断裂——二者的语言、思维模式及对“存在”的理解从根本上就是不可通约的。黄宗羲等人的批判，实际上是在维护儒家思想的独立性与完整性，拒绝将其纳入基督教的框架之中。</w:t>
      </w:r>
      <w:r>
        <w:rPr>
          <w:sz w:val="16"/>
          <w:vertAlign w:val="superscript"/>
        </w:rPr>
        <w:t>[9][66][30]</w:t>
      </w:r>
    </w:p>
    <w:p w14:paraId="3DE42952">
      <w:pPr>
        <w:pStyle w:val="5"/>
        <w:ind w:firstLine="482"/>
        <w:rPr>
          <w:lang w:eastAsia="zh-CN"/>
        </w:rPr>
      </w:pPr>
      <w:r>
        <w:rPr>
          <w:lang w:eastAsia="zh-CN"/>
        </w:rPr>
        <w:t xml:space="preserve"> 三种模式的方法论启示</w:t>
      </w:r>
    </w:p>
    <w:p w14:paraId="75121224">
      <w:pPr>
        <w:spacing w:line="360" w:lineRule="auto"/>
        <w:ind w:firstLine="420"/>
        <w:rPr>
          <w:lang w:eastAsia="zh-CN"/>
        </w:rPr>
      </w:pPr>
      <w:r>
        <w:rPr>
          <w:rFonts w:ascii="宋体" w:hAnsi="宋体" w:eastAsia="宋体"/>
          <w:sz w:val="24"/>
          <w:lang w:eastAsia="zh-CN"/>
        </w:rPr>
        <w:t>这三种接受模式的存在，为我们提供了一幅远比“成功”或“失败”更为复杂的图景。徐光启的“合作性接受”表明，跨文化传播中的“接受”往往伴随着“意义的偏移”——接受者从自己的思想框架出发，对输入的思想进行筛选、重组和重新解释。李贽的“选择性借鉴”则揭示了一种更为精微的接受机制：接受者只从外来思想中“提取”那些能够服务于自己原有立场的要素，而拒绝那些构成挑战的要素。黄宗羲的“批判性拒绝”则提醒我们，跨文化对话并非总是和谐的——有时，差异的张力反而比表面的共识更具历史影响力。 这三种模式，共同构成了跨文化传播中“意义迁移”的完整光谱。利玛窦的《天主实义》并不是一个“封闭”的文本，而是一个“开放”的意义空间——不同读者从中读出了不同的意义，而这些意义在很大程度上是由接受者自身的文化立场和思想需求所决定的。</w:t>
      </w:r>
      <w:r>
        <w:rPr>
          <w:sz w:val="16"/>
          <w:vertAlign w:val="superscript"/>
        </w:rPr>
        <w:t>[13][20][38][52]</w:t>
      </w:r>
    </w:p>
    <w:p w14:paraId="514EE9BC">
      <w:pPr>
        <w:pStyle w:val="4"/>
        <w:spacing w:before="120" w:after="120"/>
        <w:ind w:firstLine="562"/>
        <w:rPr>
          <w:lang w:eastAsia="zh-CN"/>
        </w:rPr>
      </w:pPr>
      <w:r>
        <w:rPr>
          <w:rFonts w:hint="eastAsia"/>
          <w:lang w:eastAsia="zh-CN"/>
        </w:rPr>
        <w:t>第二节</w:t>
      </w:r>
      <w:r>
        <w:rPr>
          <w:lang w:eastAsia="zh-CN"/>
        </w:rPr>
        <w:t xml:space="preserve"> “创造性误解”的机制分析</w:t>
      </w:r>
    </w:p>
    <w:p w14:paraId="5B69B879">
      <w:pPr>
        <w:spacing w:line="360" w:lineRule="auto"/>
        <w:ind w:firstLine="420"/>
        <w:rPr>
          <w:lang w:eastAsia="zh-CN"/>
        </w:rPr>
      </w:pPr>
      <w:r>
        <w:rPr>
          <w:rFonts w:ascii="宋体" w:hAnsi="宋体" w:eastAsia="宋体"/>
          <w:sz w:val="24"/>
          <w:lang w:eastAsia="zh-CN"/>
        </w:rPr>
        <w:t>在上一节中，我们考察了明清之际士大夫对利玛窦思想的三种接受模式：合作性接受、选择性借鉴与批判性拒绝。这三种模式虽然表面上差异巨大，但共享一个深层的共同特征——它们都不是对利玛窦原意的“忠实复现”，而是一种带有接受者自身“前理解”的“创造性误解”。徐光启将利玛窦的“上帝”理解为“补儒”的工具，是对利玛窦原意的一种“收编”；李贽将利玛窦对“理”的批判等同于自己对程朱理学的反抗，是一种“借力”；黄宗羲将利玛窦的学说视为对儒家正统的威胁，是一种“防御性解读”。这三种解读，都偏离了利玛窦的原始意图，却各自生发出了新的文化意义。 本节将“创造性误解”作为一个独立的分析范畴加以考察，揭示其运作机制、文化逻辑与历史效果。我们将看到，“误解”并非跨文化传播中的“意外事故”，而是其“常态”——真正的“忠实理解”反而是一种例外。而正是这些“误解”，产生了最具历史影响力的文化后果。</w:t>
      </w:r>
      <w:r>
        <w:rPr>
          <w:sz w:val="16"/>
          <w:vertAlign w:val="superscript"/>
        </w:rPr>
        <w:t>[13][20]</w:t>
      </w:r>
    </w:p>
    <w:p w14:paraId="01D6D85F">
      <w:pPr>
        <w:pStyle w:val="5"/>
        <w:numPr>
          <w:ilvl w:val="0"/>
          <w:numId w:val="14"/>
        </w:numPr>
        <w:ind w:firstLineChars="0"/>
        <w:rPr>
          <w:lang w:eastAsia="zh-CN"/>
        </w:rPr>
      </w:pPr>
      <w:r>
        <w:rPr>
          <w:lang w:eastAsia="zh-CN"/>
        </w:rPr>
        <w:t xml:space="preserve"> “前理解”的结构性制约：接受者为何必然“误读”</w:t>
      </w:r>
    </w:p>
    <w:p w14:paraId="2A3762E5">
      <w:pPr>
        <w:spacing w:line="360" w:lineRule="auto"/>
        <w:ind w:firstLine="420"/>
        <w:rPr>
          <w:lang w:eastAsia="zh-CN"/>
        </w:rPr>
      </w:pPr>
      <w:r>
        <w:rPr>
          <w:rFonts w:ascii="宋体" w:hAnsi="宋体" w:eastAsia="宋体"/>
          <w:sz w:val="24"/>
        </w:rPr>
        <w:t>德国哲学家伽达默尔（Hans-Georg Gadamer）在《真理与方法》中指出，任何理解都必然带着理解者自身的“前理解”（Vorverständnis）——由文化传统、语言结构和历史境遇共同构成。</w:t>
      </w:r>
      <w:r>
        <w:rPr>
          <w:rFonts w:ascii="宋体" w:hAnsi="宋体" w:eastAsia="宋体"/>
          <w:sz w:val="24"/>
          <w:lang w:eastAsia="zh-CN"/>
        </w:rPr>
        <w:t>它既是理解的必要条件，也是理解的限度所在。</w:t>
      </w:r>
      <w:r>
        <w:rPr>
          <w:sz w:val="16"/>
          <w:vertAlign w:val="superscript"/>
        </w:rPr>
        <w:t>[58]</w:t>
      </w:r>
    </w:p>
    <w:p w14:paraId="29D9AF61">
      <w:pPr>
        <w:spacing w:line="360" w:lineRule="auto"/>
        <w:ind w:firstLine="420"/>
        <w:rPr>
          <w:lang w:eastAsia="zh-CN"/>
        </w:rPr>
      </w:pPr>
      <w:r>
        <w:rPr>
          <w:rFonts w:ascii="宋体" w:hAnsi="宋体" w:eastAsia="宋体"/>
          <w:sz w:val="24"/>
          <w:lang w:eastAsia="zh-CN"/>
        </w:rPr>
        <w:t>利玛窦的《天主实义》在明清士大夫那里的命运，正是这一解释学原理的注脚。徐光启将其纳入“补儒易佛”框架，李贽将其对“理”的批判等同于自己对程朱理学的反抗，黄宗羲则将其视为对儒学传统的根本挑战。这些案例表明，接受者的“前理解”不是理解过程中的“噪音”，而是理解可能发生的“条件”。跨文化传播的关键问题，不在于如何“消除”误解（这是不可能的），而在于如何理解和利用误解的创造性潜力。</w:t>
      </w:r>
      <w:r>
        <w:rPr>
          <w:sz w:val="16"/>
          <w:vertAlign w:val="superscript"/>
        </w:rPr>
        <w:t>[13][20]</w:t>
      </w:r>
    </w:p>
    <w:p>
      <w:r>
        <w:t xml:space="preserve">─────────────────────────────────────</w:t>
      </w:r>
    </w:p>
    <w:p>
      <w:r>
        <w:t xml:space="preserve">第7页脚注：</w:t>
      </w:r>
    </w:p>
    <w:p>
      <w:r>
        <w:rPr>
          <w:vertAlign w:val="superscript"/>
        </w:rPr>
        <w:t xml:space="preserve">1 黄宗羲. 明儒学案[M]. 北京: 中华书局, 2008.</w:t>
      </w:r>
    </w:p>
    <w:p>
      <w:r>
        <w:rPr>
          <w:vertAlign w:val="superscript"/>
        </w:rPr>
        <w:t xml:space="preserve">2 黄宗羲. 明夷待访录[M]. 北京: 中华书局, 2011.</w:t>
      </w:r>
    </w:p>
    <w:p>
      <w:r>
        <w:rPr>
          <w:vertAlign w:val="superscript"/>
        </w:rPr>
        <w:t xml:space="preserve">3 徐光启. 农政全书[M]. 上海: 上海古籍出版社, 1979.</w:t>
      </w:r>
    </w:p>
    <w:p>
      <w:r>
        <w:rPr>
          <w:vertAlign w:val="superscript"/>
        </w:rPr>
        <w:t xml:space="preserve">4 谢和耐(J. Gernet). 中国与基督教：一种文化的冲突[M]. 耿昇, 译. 上海: 上海古籍出版社, 2003.</w:t>
      </w:r>
    </w:p>
    <w:p>
      <w:r>
        <w:rPr>
          <w:vertAlign w:val="superscript"/>
        </w:rPr>
        <w:t xml:space="preserve">5 孙尚扬. 基督教与明末儒学[M]. 北京: 东方出版社, 1994.</w:t>
      </w:r>
    </w:p>
    <w:p>
      <w:r>
        <w:rPr>
          <w:vertAlign w:val="superscript"/>
        </w:rPr>
        <w:t xml:space="preserve">6 林金水. 徐光启与利玛窦关系考[J]. 中国史研究, 2001(2): 81-93.</w:t>
      </w:r>
    </w:p>
    <w:p>
      <w:r>
        <w:rPr>
          <w:vertAlign w:val="superscript"/>
        </w:rPr>
        <w:t xml:space="preserve">7 李楠. 利玛窦《天主实义》中“理”概念的批判与重构[D]. 北京: 中国人民大学哲学院, 2015.</w:t>
      </w:r>
    </w:p>
    <w:p w14:paraId="1F29F1F5">
      <w:pPr>
        <w:pStyle w:val="5"/>
        <w:ind w:firstLine="482"/>
        <w:rPr>
          <w:lang w:eastAsia="zh-CN"/>
        </w:rPr>
      </w:pPr>
      <w:r>
        <w:rPr>
          <w:lang w:eastAsia="zh-CN"/>
        </w:rPr>
        <w:t xml:space="preserve"> “意义的游移”：从作者意图到接受者意义的滑移</w:t>
      </w:r>
    </w:p>
    <w:p w14:paraId="2734160D">
      <w:pPr>
        <w:spacing w:line="360" w:lineRule="auto"/>
        <w:ind w:firstLine="420"/>
        <w:rPr>
          <w:lang w:eastAsia="zh-CN"/>
        </w:rPr>
      </w:pPr>
      <w:r>
        <w:rPr>
          <w:rFonts w:ascii="宋体" w:hAnsi="宋体" w:eastAsia="宋体"/>
          <w:sz w:val="24"/>
          <w:lang w:eastAsia="zh-CN"/>
        </w:rPr>
        <w:t>解释学传统中的“意义游移”（slippage of meaning）揭示了一个基本事实：当信息从发送者传递到接收者时，意义总会发生偏移。在跨文化传播中，由于双方处于不同的文化系统，这种偏移的幅度往往更大。</w:t>
      </w:r>
      <w:r>
        <w:rPr>
          <w:sz w:val="16"/>
          <w:vertAlign w:val="superscript"/>
        </w:rPr>
        <w:t>[13]</w:t>
      </w:r>
    </w:p>
    <w:p w14:paraId="143EC698">
      <w:pPr>
        <w:spacing w:line="360" w:lineRule="auto"/>
        <w:ind w:firstLine="420"/>
        <w:rPr>
          <w:lang w:eastAsia="zh-CN"/>
        </w:rPr>
      </w:pPr>
      <w:r>
        <w:rPr>
          <w:rFonts w:ascii="宋体" w:hAnsi="宋体" w:eastAsia="宋体"/>
          <w:sz w:val="24"/>
          <w:lang w:eastAsia="zh-CN"/>
        </w:rPr>
        <w:t>利玛窦在《天主实义》中精心设计的“上帝替代理”论证，在传递给中国士人时经历了复杂的意义游移：徐光启采取“兼容”立场，使“上帝”与“理”并存；李贽接受了利玛窦对程朱理学的批判，却忽略了其神学动机；黄宗羲则将利玛窦学说解读为对儒家传统的全面挑战。这三种模式对应着三种接受策略：同化（将外来思想纳入原有框架）、借用（仅取所需）、防御（将外来思想建构为威胁）。它们并非彼此排斥，在不同历史情境中可能交替出现。</w:t>
      </w:r>
      <w:r>
        <w:rPr>
          <w:sz w:val="16"/>
          <w:vertAlign w:val="superscript"/>
        </w:rPr>
        <w:t>[10][38][9]</w:t>
      </w:r>
    </w:p>
    <w:p w14:paraId="47556ED7">
      <w:pPr>
        <w:pStyle w:val="5"/>
        <w:ind w:firstLine="482"/>
        <w:rPr>
          <w:lang w:eastAsia="zh-CN"/>
        </w:rPr>
      </w:pPr>
      <w:r>
        <w:rPr>
          <w:lang w:eastAsia="zh-CN"/>
        </w:rPr>
        <w:t xml:space="preserve"> “创造性误解”的历史效果：新思想的诞生</w:t>
      </w:r>
    </w:p>
    <w:p w14:paraId="3389FBBB">
      <w:pPr>
        <w:spacing w:line="360" w:lineRule="auto"/>
        <w:ind w:firstLine="420"/>
        <w:rPr>
          <w:lang w:eastAsia="zh-CN"/>
        </w:rPr>
      </w:pPr>
      <w:r>
        <w:rPr>
          <w:rFonts w:ascii="宋体" w:hAnsi="宋体" w:eastAsia="宋体"/>
          <w:sz w:val="24"/>
          <w:lang w:eastAsia="zh-CN"/>
        </w:rPr>
        <w:t>如果说“误解”在传播学意义上是一个“问题”，那么在思想史意义上，它却往往是一个“契机”。跨文化传播中的“创造性误解”并非对原意的“错误还原”，而是一种“有效借用”——接受者没有“忠实”地再现发送者的原意，却成功地利用外来思想资源实现了自己的文化目标。</w:t>
      </w:r>
      <w:r>
        <w:rPr>
          <w:sz w:val="16"/>
          <w:vertAlign w:val="superscript"/>
        </w:rPr>
        <w:t>[20][39]</w:t>
      </w:r>
    </w:p>
    <w:p w14:paraId="4F8B15AA">
      <w:pPr>
        <w:spacing w:line="360" w:lineRule="auto"/>
        <w:ind w:firstLine="420"/>
        <w:rPr>
          <w:lang w:eastAsia="zh-CN"/>
        </w:rPr>
      </w:pPr>
      <w:r>
        <w:rPr>
          <w:rFonts w:ascii="宋体" w:hAnsi="宋体" w:eastAsia="宋体"/>
          <w:sz w:val="24"/>
          <w:lang w:eastAsia="zh-CN"/>
        </w:rPr>
        <w:t>如前文（4.1节）所述，徐光启将利玛窦的“上帝”理解为“补儒”的工具，催生了耶儒融合的实践神学；李贽将利玛窦对“理”的批判转化为反程朱理学的“异域参照”；黄宗羲等人的“防御性误解”则刺激了儒家思想的自我反思与更新。这三种“创造性误解”的共同特征在于：它们都以“偏离”原意为代价，换取了文化创新的可能性。从跨文化传播的长程效果来看，这种“有效借用”比“忠实理解”更具历史穿透力。</w:t>
      </w:r>
      <w:r>
        <w:rPr>
          <w:sz w:val="16"/>
          <w:vertAlign w:val="superscript"/>
        </w:rPr>
        <w:t>[10][38][9]</w:t>
      </w:r>
    </w:p>
    <w:p w14:paraId="25CB07B5">
      <w:pPr>
        <w:pStyle w:val="5"/>
        <w:ind w:firstLine="482"/>
        <w:rPr>
          <w:lang w:eastAsia="zh-CN"/>
        </w:rPr>
      </w:pPr>
      <w:r>
        <w:rPr>
          <w:lang w:eastAsia="zh-CN"/>
        </w:rPr>
        <w:t xml:space="preserve"> “误解”作为跨文化传播的常态与动力</w:t>
      </w:r>
    </w:p>
    <w:p w14:paraId="78F36246">
      <w:pPr>
        <w:spacing w:line="360" w:lineRule="auto"/>
        <w:ind w:firstLine="420"/>
        <w:rPr>
          <w:lang w:eastAsia="zh-CN"/>
        </w:rPr>
      </w:pPr>
      <w:r>
        <w:rPr>
          <w:rFonts w:ascii="宋体" w:hAnsi="宋体" w:eastAsia="宋体"/>
          <w:sz w:val="24"/>
          <w:lang w:eastAsia="zh-CN"/>
        </w:rPr>
        <w:t>综合以上分析，我们可以得出一个更为普遍的理论判断：在跨文化传播中，“误解”不是“例外”，而是“常态”。任何两种异质文化之间的交流，都必然伴随着意义的大规模偏移与重构。接受者不可能“原封不动”地复制外来文化，只能以自己的方式“翻译”和“挪用”它——而这个过程本身就是一种“创造性误解”。 利玛窦的案例清楚地展示了这一规律的运作方式。利玛窦本人对中国文化的理解，何尝不是一种“创造性误解”？他用亚里士多德式的“实体—偶性”框架来理解程朱理学的“理”，本身就是一种“以西格中”的误读。他的中国对话者们对他的回应的“误解”，则在另一种方向上重复了同样的结构——他们用中国传统的“天—人”框架来理解利玛窦的“上帝”，也是一种“以中格西”的误读。 这种“双重的误读”——利玛窦误解了中国文化，中国士人又误解了利玛窦——构成了整个耶儒对话的基本结构。然而，正是这种“双重的误读”，激发出了一系列具有创造性的思想回应，推动了两种文明在相遇时刻的深层互动。 在学术史上，“创造性误解”这一概念常被用来解释那些改变思想史进程的关键性“误读”。利玛窦的案例表明，这种“创造性误解”具有跨文化的普适性——它是任何异质文化相遇时都会发生的现象。对这一现象的分析，不仅有助于我们理解明清之际耶儒对话的具体历史，也有助于我们更一般地思考跨文化对话的可能性与限度。</w:t>
      </w:r>
      <w:r>
        <w:rPr>
          <w:sz w:val="16"/>
          <w:vertAlign w:val="superscript"/>
        </w:rPr>
        <w:t>[13][21]</w:t>
      </w:r>
    </w:p>
    <w:p w14:paraId="2C0E0820">
      <w:pPr>
        <w:pStyle w:val="4"/>
        <w:spacing w:before="120" w:after="120"/>
        <w:ind w:firstLine="562"/>
        <w:rPr>
          <w:lang w:eastAsia="zh-CN"/>
        </w:rPr>
      </w:pPr>
      <w:r>
        <w:rPr>
          <w:rFonts w:hint="eastAsia"/>
          <w:lang w:eastAsia="zh-CN"/>
        </w:rPr>
        <w:t>第三节</w:t>
      </w:r>
      <w:r>
        <w:rPr>
          <w:lang w:eastAsia="zh-CN"/>
        </w:rPr>
        <w:t xml:space="preserve"> 从“礼仪之争”到思想遗产</w:t>
      </w:r>
    </w:p>
    <w:p w14:paraId="315A6E4C">
      <w:pPr>
        <w:spacing w:line="360" w:lineRule="auto"/>
        <w:ind w:firstLine="420"/>
        <w:rPr>
          <w:lang w:eastAsia="zh-CN"/>
        </w:rPr>
      </w:pPr>
      <w:r>
        <w:rPr>
          <w:rFonts w:ascii="宋体" w:hAnsi="宋体" w:eastAsia="宋体"/>
          <w:sz w:val="24"/>
          <w:lang w:eastAsia="zh-CN"/>
        </w:rPr>
        <w:t>利玛窦于1610年去世后，他精心构建的“适应策略”并没有被继任者们完整地继承。相反，围绕着“译名问题”与“祭祖祭孔礼仪”的争论，在利玛窦死后数十年内逐渐发酵，最终演变为一场持续了近一个世纪的“礼仪之争”（Chinese Rites Controversy）。这场争论不仅是天主教内部不同传教路线之间的冲突，更是“概念挪用”策略在历史实践中暴露出来的结构性困境的集中体现。在“礼仪之争”中，利玛窦对“理”与“上帝”的灵活处理，被后来的反对者视为一种危险的妥协——而支持者们则竭力论证这种妥协的必要性与正当性。</w:t>
      </w:r>
      <w:r>
        <w:rPr>
          <w:sz w:val="16"/>
          <w:vertAlign w:val="superscript"/>
        </w:rPr>
        <w:t>[19][18][33]</w:t>
      </w:r>
    </w:p>
    <w:p w14:paraId="754615B3">
      <w:pPr>
        <w:pStyle w:val="5"/>
        <w:numPr>
          <w:ilvl w:val="0"/>
          <w:numId w:val="15"/>
        </w:numPr>
        <w:ind w:firstLineChars="0"/>
        <w:rPr>
          <w:lang w:eastAsia="zh-CN"/>
        </w:rPr>
      </w:pPr>
      <w:r>
        <w:rPr>
          <w:lang w:eastAsia="zh-CN"/>
        </w:rPr>
        <w:t xml:space="preserve"> “礼仪之争”中的核心分歧：两个关键问题的回响</w:t>
      </w:r>
    </w:p>
    <w:p>
      <w:r>
        <w:t xml:space="preserve">─────────────────────────────────────</w:t>
      </w:r>
    </w:p>
    <w:p>
      <w:r>
        <w:t xml:space="preserve">第8页脚注：</w:t>
      </w:r>
    </w:p>
    <w:p>
      <w:r>
        <w:rPr>
          <w:vertAlign w:val="superscript"/>
        </w:rPr>
        <w:t xml:space="preserve">1 黄宗羲. 明夷待访录[M]. 北京: 中华书局, 2011.</w:t>
      </w:r>
    </w:p>
    <w:p>
      <w:r>
        <w:rPr>
          <w:vertAlign w:val="superscript"/>
        </w:rPr>
        <w:t xml:space="preserve">2 徐光启. 农政全书[M]. 上海: 上海古籍出版社, 1979.</w:t>
      </w:r>
    </w:p>
    <w:p>
      <w:r>
        <w:rPr>
          <w:vertAlign w:val="superscript"/>
        </w:rPr>
        <w:t xml:space="preserve">3 谢和耐(J. Gernet). 中国与基督教：一种文化的冲突[M]. 耿昇, 译. 上海: 上海古籍出版社, 2003.</w:t>
      </w:r>
    </w:p>
    <w:p>
      <w:r>
        <w:rPr>
          <w:vertAlign w:val="superscript"/>
        </w:rPr>
        <w:t xml:space="preserve">4 徐宗泽. 中国天主教传教史概论[M]. 台北: 台湾商务印书馆, 1938/1991年重印.</w:t>
      </w:r>
    </w:p>
    <w:p>
      <w:r>
        <w:rPr>
          <w:vertAlign w:val="superscript"/>
        </w:rPr>
        <w:t xml:space="preserve">5 李天纲. 中国礼仪之争——历史、文献和意义[M]. 上海: 上海古籍出版社, 1998.</w:t>
      </w:r>
    </w:p>
    <w:p>
      <w:r>
        <w:rPr>
          <w:vertAlign w:val="superscript"/>
        </w:rPr>
        <w:t xml:space="preserve">6 孙尚扬. 基督教与明末儒学[M]. 北京: 东方出版社, 1994.</w:t>
      </w:r>
    </w:p>
    <w:p>
      <w:r>
        <w:rPr>
          <w:vertAlign w:val="superscript"/>
        </w:rPr>
        <w:t xml:space="preserve">7 张西平. 中国与欧洲早期宗教和哲学交流史[M]. 北京: 东方出版社, 2001.</w:t>
      </w:r>
    </w:p>
    <w:p>
      <w:r>
        <w:rPr>
          <w:vertAlign w:val="superscript"/>
        </w:rPr>
        <w:t xml:space="preserve">8 林金水. 徐光启与利玛窦关系考[J]. 中国史研究, 2001(2): 81-93.</w:t>
      </w:r>
    </w:p>
    <w:p>
      <w:r>
        <w:rPr>
          <w:vertAlign w:val="superscript"/>
        </w:rPr>
        <w:t xml:space="preserve">9 丁耘. 西方哲学中国化的第一阶段[J]. 哲学研究, 2010(5): 63-71.</w:t>
      </w:r>
    </w:p>
    <w:p w14:paraId="1CBB67CB">
      <w:pPr>
        <w:spacing w:line="360" w:lineRule="auto"/>
        <w:ind w:firstLine="420"/>
        <w:rPr>
          <w:lang w:eastAsia="zh-CN"/>
        </w:rPr>
      </w:pPr>
      <w:r>
        <w:rPr>
          <w:rFonts w:ascii="宋体" w:hAnsi="宋体" w:eastAsia="宋体"/>
          <w:sz w:val="24"/>
          <w:lang w:eastAsia="zh-CN"/>
        </w:rPr>
        <w:t>“礼仪之争”涉及两个核心问题，而这两个问题都与本文所讨论的“概念挪用”密切相关。 第一个问题是译名问题：中国经典中的“天”和“上帝”是否可以用来翻译基督教的“Deus”？利玛窦的回答是肯定的——他不仅在《天主实义》中大量使用这两个词汇，还撰写了专文论证其正当性。然而，继利玛窦之后担任耶稣会中国副省会长的龙华民（Niccolò Longobardo，1559–1654），却是这一译法最激烈的反对者。龙华民认为，中国经典中的“天”与“上帝”具有浓厚的自然主义色彩，与基督教的创世者截然不同，混用两者会严重混淆教义的核心内容。 龙华民的担忧并非没有道理。正如我们前文所分析的，利玛窦的“借壳上市”策略虽然有效，但也隐藏着深刻的内部风险——当中国士人按照儒家传统来理解“上帝”时，他们可能根本无法触及利玛窦所期望传达的基督教教义。徐光启的“补儒”式接受已经证明了这一点：他以儒家框架收编了利玛窦的“上帝”，使其成为儒家体系的一个补充，而非对儒家体系的替代或超越。 第二个问题是祭祖祭孔礼仪问题：中国信徒是否可以继续参加祭祖和祭孔活动？利玛窦认为这些活动是“社会性”和“文化性”的，而非“宗教性”的——它们表达的是对先祖和先师的敬意，而不是宗教崇拜。因此，他允许中国信徒在皈依后继续参与这些礼仪。然而，后来的多明我会和方济各会传教士强烈反对这一判断，他们认为祭祖祭孔具有明确的宗教含义，中国信徒参与这些活动等同于偶像崇拜。 这两个问题的深层根源，都与利玛窦对“概念挪用”策略的基本预设有关。利玛窦的策略基于一个核心信念：中国文化的某些元素（“天”“上帝”“祀孔”“祭祖”）是“中性”的，可以被“剥离”出原有的宗教含义，然后“装入”基督教的内容。但龙华民等人质疑的正是这一预设的前提：中国文化的这些元素真的是“中性”的吗？还是说，它们本身就携带着不可消除的异教含义，无论怎样“挪用”，都无法变成基督教的一部分？ 这场争论最终以罗马教廷的介入而告终。1704年，教皇克莱芒十一世发布禁令，禁止中国信徒参加祭祖祭孔礼仪，并禁止使用“天”和“上帝”来翻译“Deus”。这一禁令在1721年由康熙皇帝做出回应——他下令禁止天主教在中国的传播。此后近一个世纪，天主教在中国陷入了地下状态，“礼仪之争”成为了耶儒对话被官方中断的直接导火索。</w:t>
      </w:r>
      <w:r>
        <w:rPr>
          <w:sz w:val="16"/>
          <w:vertAlign w:val="superscript"/>
        </w:rPr>
        <w:t>[11][50]</w:t>
      </w:r>
    </w:p>
    <w:p>
      <w:pPr>
        <w:spacing w:before="480"/>
      </w:pPr>
      <w:r>
        <w:rPr>
          <w:b/>
          <w:sz w:val="32"/>
        </w:rPr>
        <w:t>参考文献</w:t>
      </w:r>
    </w:p>
    <w:p>
      <w:pPr>
        <w:spacing w:before="240"/>
      </w:pPr>
      <w:r>
        <w:rPr>
          <w:b/>
          <w:sz w:val="24"/>
        </w:rPr>
        <w:t>一、典籍类</w:t>
      </w:r>
    </w:p>
    <w:p>
      <w:pPr>
        <w:spacing w:after="80"/>
      </w:pPr>
      <w:r>
        <w:rPr>
          <w:sz w:val="21"/>
        </w:rPr>
        <w:t>[1] 朱熹. 朱子语类[M]. 北京: 中华书局, 1986.</w:t>
      </w:r>
    </w:p>
    <w:p>
      <w:pPr>
        <w:spacing w:after="80"/>
      </w:pPr>
      <w:r>
        <w:rPr>
          <w:sz w:val="21"/>
        </w:rPr>
        <w:t>[2] 周敦颐. 周敦颐集[M]. 北京: 中华书局, 2009.</w:t>
      </w:r>
    </w:p>
    <w:p>
      <w:pPr>
        <w:spacing w:after="80"/>
      </w:pPr>
      <w:r>
        <w:rPr>
          <w:sz w:val="21"/>
        </w:rPr>
        <w:t>[3] 程颢, 程颐. 二程遗书[M]. 上海: 上海古籍出版社, 2000.</w:t>
      </w:r>
    </w:p>
    <w:p>
      <w:pPr>
        <w:spacing w:after="80"/>
      </w:pPr>
      <w:r>
        <w:rPr>
          <w:sz w:val="21"/>
        </w:rPr>
        <w:t>[4] 张载. 张载集[M]. 北京: 中华书局, 1978.</w:t>
      </w:r>
    </w:p>
    <w:p>
      <w:pPr>
        <w:spacing w:after="80"/>
      </w:pPr>
      <w:r>
        <w:rPr>
          <w:sz w:val="21"/>
        </w:rPr>
        <w:t>[5] 朱熹. 四书章句集注[M]. 北京: 中华书局, 1983.</w:t>
      </w:r>
    </w:p>
    <w:p>
      <w:pPr>
        <w:spacing w:after="80"/>
      </w:pPr>
      <w:r>
        <w:rPr>
          <w:sz w:val="21"/>
        </w:rPr>
        <w:t>[6] 朱熹. 周易本义[M]. 北京: 中华书局, 2009.</w:t>
      </w:r>
    </w:p>
    <w:p>
      <w:pPr>
        <w:spacing w:after="80"/>
      </w:pPr>
      <w:r>
        <w:rPr>
          <w:sz w:val="21"/>
        </w:rPr>
        <w:t>[7] 王阳明. 传习录[M]. 上海: 上海古籍出版社, 1992.</w:t>
      </w:r>
    </w:p>
    <w:p>
      <w:pPr>
        <w:spacing w:after="80"/>
      </w:pPr>
      <w:r>
        <w:rPr>
          <w:sz w:val="21"/>
        </w:rPr>
        <w:t>[8] 黄宗羲. 明儒学案[M]. 北京: 中华书局, 2008.</w:t>
      </w:r>
    </w:p>
    <w:p>
      <w:pPr>
        <w:spacing w:after="80"/>
      </w:pPr>
      <w:r>
        <w:rPr>
          <w:sz w:val="21"/>
        </w:rPr>
        <w:t>[9] 黄宗羲. 明夷待访录[M]. 北京: 中华书局, 2011.</w:t>
      </w:r>
    </w:p>
    <w:p>
      <w:pPr>
        <w:spacing w:after="80"/>
      </w:pPr>
      <w:r>
        <w:rPr>
          <w:sz w:val="21"/>
        </w:rPr>
        <w:t>[10] 徐光启. 农政全书[M]. 上海: 上海古籍出版社, 1979.</w:t>
      </w:r>
    </w:p>
    <w:p>
      <w:pPr>
        <w:spacing w:before="240"/>
      </w:pPr>
      <w:r>
        <w:rPr>
          <w:b/>
          <w:sz w:val="24"/>
        </w:rPr>
        <w:t>二、中外著作类</w:t>
      </w:r>
    </w:p>
    <w:p>
      <w:pPr>
        <w:spacing w:after="80"/>
      </w:pPr>
      <w:r>
        <w:rPr>
          <w:sz w:val="21"/>
        </w:rPr>
        <w:t>[11] 利玛窦. 天主实义[A]. 利玛窦中文著译集[C]. 上海: 复旦大学出版社, 2001.</w:t>
      </w:r>
    </w:p>
    <w:p>
      <w:pPr>
        <w:spacing w:after="80"/>
      </w:pPr>
      <w:r>
        <w:rPr>
          <w:sz w:val="21"/>
        </w:rPr>
        <w:t>[12] 利玛窦, 金尼阁. 利玛窦中国札记[M]. 何高济, 王遵仲, 李申, 译. 北京: 中华书局, 1983.</w:t>
      </w:r>
    </w:p>
    <w:p>
      <w:pPr>
        <w:spacing w:after="80"/>
      </w:pPr>
      <w:r>
        <w:rPr>
          <w:sz w:val="21"/>
        </w:rPr>
        <w:t>[13] 谢和耐(J. Gernet). 中国与基督教：一种文化的冲突[M]. 耿昇, 译. 上海: 上海古籍出版社, 2003.</w:t>
      </w:r>
    </w:p>
    <w:p>
      <w:pPr>
        <w:spacing w:after="80"/>
      </w:pPr>
      <w:r>
        <w:rPr>
          <w:sz w:val="21"/>
        </w:rPr>
        <w:t>[14] 蒙培元. 理学范畴系统[M]. 北京: 人民出版社, 1989.</w:t>
      </w:r>
    </w:p>
    <w:p>
      <w:pPr>
        <w:spacing w:after="80"/>
      </w:pPr>
      <w:r>
        <w:rPr>
          <w:sz w:val="21"/>
        </w:rPr>
        <w:t>[15] 蒙培元. 理学的演变——从朱熹到王夫之、戴震[M]. 北京: 中国人民大学出版社, 2010.</w:t>
      </w:r>
    </w:p>
    <w:p>
      <w:pPr>
        <w:spacing w:after="80"/>
      </w:pPr>
      <w:r>
        <w:rPr>
          <w:sz w:val="21"/>
        </w:rPr>
        <w:t>[16] 朱谦之. 中国哲学对欧洲的影响[M]. 石家庄: 河北人民出版社, 2004.</w:t>
      </w:r>
    </w:p>
    <w:p>
      <w:pPr>
        <w:spacing w:after="80"/>
      </w:pPr>
      <w:r>
        <w:rPr>
          <w:sz w:val="21"/>
        </w:rPr>
        <w:t>[17] 张之洞. 劝学篇[M]. 武汉: 湖北人民出版社, 2012.</w:t>
      </w:r>
    </w:p>
    <w:p>
      <w:pPr>
        <w:spacing w:after="80"/>
      </w:pPr>
      <w:r>
        <w:rPr>
          <w:sz w:val="21"/>
        </w:rPr>
        <w:t>[18] 徐宗泽. 中国天主教传教史概论[M]. 台北: 台湾商务印书馆, 1938/1991年重印.</w:t>
      </w:r>
    </w:p>
    <w:p>
      <w:pPr>
        <w:spacing w:after="80"/>
      </w:pPr>
      <w:r>
        <w:rPr>
          <w:sz w:val="21"/>
        </w:rPr>
        <w:t>[19] 李天纲. 中国礼仪之争——历史、文献和意义[M]. 上海: 上海古籍出版社, 1998.</w:t>
      </w:r>
    </w:p>
    <w:p>
      <w:pPr>
        <w:spacing w:after="80"/>
      </w:pPr>
      <w:r>
        <w:rPr>
          <w:sz w:val="21"/>
        </w:rPr>
        <w:t>[20] 孙尚扬. 基督教与明末儒学[M]. 北京: 东方出版社, 1994.</w:t>
      </w:r>
    </w:p>
    <w:p>
      <w:pPr>
        <w:spacing w:after="80"/>
      </w:pPr>
      <w:r>
        <w:rPr>
          <w:sz w:val="21"/>
        </w:rPr>
        <w:t>[21] 张西平. 中国与欧洲早期宗教和哲学交流史[M]. 北京: 东方出版社, 2001.</w:t>
      </w:r>
    </w:p>
    <w:p>
      <w:pPr>
        <w:spacing w:after="80"/>
      </w:pPr>
      <w:r>
        <w:rPr>
          <w:sz w:val="21"/>
        </w:rPr>
        <w:t>[22] 冯友兰. 中国哲学史[M]. 北京: 中华书局, 1984.</w:t>
      </w:r>
    </w:p>
    <w:p>
      <w:pPr>
        <w:spacing w:after="80"/>
      </w:pPr>
      <w:r>
        <w:rPr>
          <w:sz w:val="21"/>
        </w:rPr>
        <w:t>[23] 陈来. 宋明理学[M]. 沈阳: 辽宁教育出版社, 1991.</w:t>
      </w:r>
    </w:p>
    <w:p>
      <w:pPr>
        <w:spacing w:after="80"/>
      </w:pPr>
      <w:r>
        <w:rPr>
          <w:sz w:val="21"/>
        </w:rPr>
        <w:t>[24] 钱穆. 中国思想史[M]. 台北: 台湾学生书局, 1983.</w:t>
      </w:r>
    </w:p>
    <w:p>
      <w:pPr>
        <w:spacing w:after="80"/>
      </w:pPr>
      <w:r>
        <w:rPr>
          <w:sz w:val="21"/>
        </w:rPr>
        <w:t>[25] 王夫之. 张子正蒙注[M]. 北京: 中华书局, 1975.</w:t>
      </w:r>
    </w:p>
    <w:p>
      <w:pPr>
        <w:spacing w:after="80"/>
      </w:pPr>
      <w:r>
        <w:rPr>
          <w:sz w:val="21"/>
        </w:rPr>
        <w:t>[26] 牟宗三. 心体与性体[M]. 上海: 上海古籍出版社, 1999.</w:t>
      </w:r>
    </w:p>
    <w:p>
      <w:pPr>
        <w:spacing w:after="80"/>
      </w:pPr>
      <w:r>
        <w:rPr>
          <w:sz w:val="21"/>
        </w:rPr>
        <w:t>[27] 余英时. 朱熹的历史世界：宋代士大夫政治文化的研究[M]. 北京: 生活·读书·新知三联书店, 2004.</w:t>
      </w:r>
    </w:p>
    <w:p>
      <w:pPr>
        <w:spacing w:after="80"/>
      </w:pPr>
      <w:r>
        <w:rPr>
          <w:sz w:val="21"/>
        </w:rPr>
        <w:t>[28] 田浩(Hoyt Cleveland Tillman). 朱熹的思维世界[M]. 西安: 陕西师范大学出版社, 2002.</w:t>
      </w:r>
    </w:p>
    <w:p>
      <w:pPr>
        <w:spacing w:after="80"/>
      </w:pPr>
      <w:r>
        <w:rPr>
          <w:sz w:val="21"/>
        </w:rPr>
        <w:t>[29] 钟鸣旦(N. Standaert). 杨廷筠：明末天主教儒者与新儒学的对话[M]. 北京: 社会科学文献出版社, 2002.</w:t>
      </w:r>
    </w:p>
    <w:p>
      <w:pPr>
        <w:spacing w:after="80"/>
      </w:pPr>
      <w:r>
        <w:rPr>
          <w:sz w:val="21"/>
        </w:rPr>
        <w:t>[30] 孙尚扬. 明清之际的基督教与儒学[M]. 北京: 首都师范大学出版社, 2010.</w:t>
      </w:r>
    </w:p>
    <w:p>
      <w:pPr>
        <w:spacing w:after="80"/>
      </w:pPr>
      <w:r>
        <w:rPr>
          <w:sz w:val="21"/>
        </w:rPr>
        <w:t>[31] 张西平. 耶稣会与天主教进入中国[M]. 北京: 商务印书馆, 2017.</w:t>
      </w:r>
    </w:p>
    <w:p>
      <w:pPr>
        <w:spacing w:after="80"/>
      </w:pPr>
      <w:r>
        <w:rPr>
          <w:sz w:val="21"/>
        </w:rPr>
        <w:t>[32] 黄一农. 两头蛇：明末清初的第一代天主教徒[M]. 上海: 上海古籍出版社, 2006.</w:t>
      </w:r>
    </w:p>
    <w:p>
      <w:pPr>
        <w:spacing w:after="80"/>
      </w:pPr>
      <w:r>
        <w:rPr>
          <w:sz w:val="21"/>
        </w:rPr>
        <w:t>[33] 李天纲. 中国礼仪论集[C]. 上海: 上海古籍出版社, 2010.</w:t>
      </w:r>
    </w:p>
    <w:p>
      <w:pPr>
        <w:spacing w:after="80"/>
      </w:pPr>
      <w:r>
        <w:rPr>
          <w:sz w:val="21"/>
        </w:rPr>
        <w:t>[34] 侯外庐. 宋明理学史[M]. 北京: 人民出版社, 1987.</w:t>
      </w:r>
    </w:p>
    <w:p>
      <w:pPr>
        <w:spacing w:after="80"/>
      </w:pPr>
      <w:r>
        <w:rPr>
          <w:sz w:val="21"/>
        </w:rPr>
        <w:t>[35] 史景迁(J. Spence). 利玛窦的记忆之宫[M]. 章可, 译. 桂林: 广西师范大学出版社, 2005.</w:t>
      </w:r>
    </w:p>
    <w:p>
      <w:pPr>
        <w:spacing w:after="80"/>
      </w:pPr>
      <w:r>
        <w:rPr>
          <w:sz w:val="21"/>
        </w:rPr>
        <w:t>[36] 顾炎武. 日知录集释[M]. 黄汝成, 集释. 上海: 上海古籍出版社, 2006.</w:t>
      </w:r>
    </w:p>
    <w:p>
      <w:pPr>
        <w:spacing w:before="240"/>
      </w:pPr>
      <w:r>
        <w:rPr>
          <w:b/>
          <w:sz w:val="24"/>
        </w:rPr>
        <w:t>三、学术论文类</w:t>
      </w:r>
    </w:p>
    <w:p>
      <w:pPr>
        <w:spacing w:after="80"/>
      </w:pPr>
      <w:r>
        <w:rPr>
          <w:sz w:val="21"/>
        </w:rPr>
        <w:t>[37] 孙尚扬. 明末耶儒之间的论辩及其现代意义[J]. 世界宗教研究, 1993(3): 25-36.</w:t>
      </w:r>
    </w:p>
    <w:p>
      <w:pPr>
        <w:spacing w:after="80"/>
      </w:pPr>
      <w:r>
        <w:rPr>
          <w:sz w:val="21"/>
        </w:rPr>
        <w:t>[38] 林金水. 徐光启与利玛窦关系考[J]. 中国史研究, 2001(2): 81-93.</w:t>
      </w:r>
    </w:p>
    <w:p>
      <w:pPr>
        <w:spacing w:after="80"/>
      </w:pPr>
      <w:r>
        <w:rPr>
          <w:sz w:val="21"/>
        </w:rPr>
        <w:t>[39] 丁耘. 西方哲学中国化的第一阶段[J]. 哲学研究, 2010(5): 63-71.</w:t>
      </w:r>
    </w:p>
    <w:p>
      <w:pPr>
        <w:spacing w:after="80"/>
      </w:pPr>
      <w:r>
        <w:rPr>
          <w:sz w:val="21"/>
        </w:rPr>
        <w:t>[40] 李天纲. 利玛窦与晚明儒学——以《天主实义》为中心的考察[J]. 复旦学报（社会科学版）, 1999(6): 77-85.</w:t>
      </w:r>
    </w:p>
    <w:p>
      <w:pPr>
        <w:spacing w:after="80"/>
      </w:pPr>
      <w:r>
        <w:rPr>
          <w:sz w:val="21"/>
        </w:rPr>
        <w:t>[41] 张西平. 利玛窦对宋明理学的批判及其历史影响[J]. 宗教学研究, 2005(1): 89-97.</w:t>
      </w:r>
    </w:p>
    <w:p>
      <w:pPr>
        <w:spacing w:after="80"/>
      </w:pPr>
      <w:r>
        <w:rPr>
          <w:sz w:val="21"/>
        </w:rPr>
        <w:t>[42] 韩琦. 白晋的《易经》研究和康熙时代的"西学中源"说[J]. 汉学研究, 1998, 16(1): 185-201.</w:t>
      </w:r>
    </w:p>
    <w:p>
      <w:pPr>
        <w:spacing w:after="80"/>
      </w:pPr>
      <w:r>
        <w:rPr>
          <w:sz w:val="21"/>
        </w:rPr>
        <w:t>[43] 罗志田. 天下与世界：清末士人关于人类社会认知的转变[J]. 中国社会科学, 2007(5): 191-204.</w:t>
      </w:r>
    </w:p>
    <w:p>
      <w:pPr>
        <w:spacing w:after="80"/>
      </w:pPr>
      <w:r>
        <w:rPr>
          <w:sz w:val="21"/>
        </w:rPr>
        <w:t>[44] 侯外庐. 宋明理学与儒家思想[J]. 哲学研究, 1956(6): 1-25.</w:t>
      </w:r>
    </w:p>
    <w:p>
      <w:pPr>
        <w:spacing w:after="80"/>
      </w:pPr>
      <w:r>
        <w:rPr>
          <w:sz w:val="21"/>
        </w:rPr>
        <w:t>[45] 维尔维达基斯(S. Verividakis). 在差异与共通之间重建理解[N]. 中国社会科学报, 2026-03-06.</w:t>
      </w:r>
    </w:p>
    <w:p>
      <w:pPr>
        <w:spacing w:after="80"/>
      </w:pPr>
      <w:r>
        <w:rPr>
          <w:sz w:val="21"/>
        </w:rPr>
        <w:t>[46] Wiest, J.-P. From Matteo Ricci to Jacques Gernet: The Changing Image of the Chinese in Western Scholarship[J]. Chinese Studies, 1997, 9(1): 23-47.</w:t>
      </w:r>
    </w:p>
    <w:p>
      <w:pPr>
        <w:spacing w:after="80"/>
      </w:pPr>
      <w:r>
        <w:rPr>
          <w:sz w:val="21"/>
        </w:rPr>
        <w:t>[47] Lack, M. Matteo Ricci and the Chinese Intellectual: Faith, Dialogue and Exchange in the Late Ming Dynasty[J]. Journal of Jesuit Studies, 2018, 5(2): 211-230.</w:t>
      </w:r>
    </w:p>
    <w:p>
      <w:pPr>
        <w:spacing w:after="80"/>
      </w:pPr>
      <w:r>
        <w:rPr>
          <w:sz w:val="21"/>
        </w:rPr>
        <w:t>[48] Meynard, T. The Jesuit Reading of Confucius: The First Complete Translation of the Lunyu (1687) Published in the West[J]. Brill's Series in Church History, 2011, 52: 1-420.</w:t>
      </w:r>
    </w:p>
    <w:p>
      <w:pPr>
        <w:spacing w:after="80"/>
      </w:pPr>
      <w:r>
        <w:rPr>
          <w:sz w:val="21"/>
        </w:rPr>
        <w:t>[49] Standaert, N. Methodology in View of Contact between Cultures: The China Case in the 17th Century[J]. CSRCS Occasional Paper, 2002(11): 1-60.</w:t>
      </w:r>
    </w:p>
    <w:p>
      <w:pPr>
        <w:spacing w:before="240"/>
      </w:pPr>
      <w:r>
        <w:rPr>
          <w:b/>
          <w:sz w:val="24"/>
        </w:rPr>
        <w:t>四、学位论文类</w:t>
      </w:r>
    </w:p>
    <w:p>
      <w:pPr>
        <w:spacing w:after="80"/>
      </w:pPr>
      <w:r>
        <w:rPr>
          <w:sz w:val="21"/>
        </w:rPr>
        <w:t>[50] Longobardo, N. The Confucian Doctrine of the Mean, the Real Doctrine of the Lord of Heaven, etc. (1603–1610)[M] // E. Zurcher (ed.). Early Jesuit Writings on China. Utrecht: Ultramontanes, 1997: 155-220.</w:t>
      </w:r>
    </w:p>
    <w:p>
      <w:pPr>
        <w:spacing w:after="80"/>
      </w:pPr>
      <w:r>
        <w:rPr>
          <w:sz w:val="21"/>
        </w:rPr>
        <w:t>[51] 龙华民. 圣教日课[M] // 钟鸣旦, 杜鼎克编. 欧洲搜书 Missioni del Levante. 台北: 中央研究院欧洲研究中心, 1998.</w:t>
      </w:r>
    </w:p>
    <w:p>
      <w:pPr>
        <w:spacing w:after="80"/>
      </w:pPr>
      <w:r>
        <w:rPr>
          <w:sz w:val="21"/>
        </w:rPr>
        <w:t>[52] 李楠. 利玛窦《天主实义》中"理"概念的批判与重构[D]. 北京: 中国人民大学哲学院, 2015.</w:t>
      </w:r>
    </w:p>
    <w:p>
      <w:pPr>
        <w:spacing w:after="80"/>
      </w:pPr>
      <w:r>
        <w:rPr>
          <w:sz w:val="21"/>
        </w:rPr>
        <w:t>[53] 赵晓阳. 晚明耶儒对话中的概念挪用与翻译策略研究[D]. 上海: 复旦大学历史系, 2017.</w:t>
      </w:r>
    </w:p>
    <w:p>
      <w:pPr>
        <w:spacing w:after="80"/>
      </w:pPr>
      <w:r>
        <w:rPr>
          <w:sz w:val="21"/>
        </w:rPr>
        <w:t>[54] 陈晨. 利玛窦自然神学与宋明理学的对话研究——以太极与理的论争为中心[D]. 北京: 北京大学哲学系, 2019.</w:t>
      </w:r>
    </w:p>
    <w:p>
      <w:pPr>
        <w:spacing w:after="80"/>
      </w:pPr>
      <w:r>
        <w:rPr>
          <w:sz w:val="21"/>
        </w:rPr>
        <w:t>[55] 蒋梦麟. 明清之际耶儒融合思想的生成与演变[D]. 南京: 南京大学历史学院, 2016.</w:t>
      </w:r>
    </w:p>
    <w:p>
      <w:pPr>
        <w:spacing w:before="240"/>
      </w:pPr>
      <w:r>
        <w:rPr>
          <w:b/>
          <w:sz w:val="24"/>
        </w:rPr>
        <w:t>五、其他补充文献</w:t>
      </w:r>
    </w:p>
    <w:p>
      <w:pPr>
        <w:spacing w:after="80"/>
      </w:pPr>
      <w:r>
        <w:rPr>
          <w:sz w:val="21"/>
        </w:rPr>
        <w:t>[56] 王晓宁. 蒙培元理学范畴系统研究[D]. 北京: 北京大学哲学系, 2012.</w:t>
      </w:r>
    </w:p>
    <w:p>
      <w:pPr>
        <w:spacing w:after="80"/>
      </w:pPr>
      <w:r>
        <w:rPr>
          <w:sz w:val="21"/>
        </w:rPr>
        <w:t>[57] Cocks, N. P. Matteo Ricci and Neo-Confucian Thought: A Hermeneutical Study[D]. PhD dissertation. Sydney: University of Sydney, 2004.</w:t>
      </w:r>
    </w:p>
    <w:p>
      <w:pPr>
        <w:spacing w:after="80"/>
      </w:pPr>
      <w:r>
        <w:rPr>
          <w:sz w:val="21"/>
        </w:rPr>
        <w:t>[58] 伽达默尔(H.-G. Gadamer). 真理与方法[M]. 洪汉鼎, 译. 北京: 商务印书馆, 2010.</w:t>
      </w:r>
    </w:p>
    <w:p>
      <w:pPr>
        <w:spacing w:after="80"/>
      </w:pPr>
      <w:r>
        <w:rPr>
          <w:sz w:val="21"/>
        </w:rPr>
        <w:t>[59] 科塞雷克(R. Koselleck). 概念史与社会史[M]. 陈力卫, 译. 北京: 商务印书馆, 2018.</w:t>
      </w:r>
    </w:p>
    <w:p>
      <w:pPr>
        <w:spacing w:after="80"/>
      </w:pPr>
      <w:r>
        <w:rPr>
          <w:sz w:val="21"/>
        </w:rPr>
        <w:t>[60] 孔颖达. 周易正义[M]. 北京: 北京大学出版社, 1999.</w:t>
      </w:r>
    </w:p>
    <w:p>
      <w:pPr>
        <w:spacing w:after="80"/>
      </w:pPr>
      <w:r>
        <w:rPr>
          <w:sz w:val="21"/>
        </w:rPr>
        <w:t>[61] 李之藻. 浑盖通宪图说[A]. 天学初函[C]. 台北: 台湾学生书局, 1965.</w:t>
      </w:r>
    </w:p>
    <w:p>
      <w:pPr>
        <w:spacing w:after="80"/>
      </w:pPr>
      <w:r>
        <w:rPr>
          <w:sz w:val="21"/>
        </w:rPr>
        <w:t>[62] 郭庆藩. 庄子集释[M]. 北京: 中华书局, 1961.</w:t>
      </w:r>
    </w:p>
    <w:p>
      <w:pPr>
        <w:spacing w:after="80"/>
      </w:pPr>
      <w:r>
        <w:rPr>
          <w:sz w:val="21"/>
        </w:rPr>
        <w:t>[63] 罗钦顺. 困知记[M]. 北京: 中华书局, 1990.</w:t>
      </w:r>
    </w:p>
    <w:p>
      <w:pPr>
        <w:spacing w:after="80"/>
      </w:pPr>
      <w:r>
        <w:rPr>
          <w:sz w:val="21"/>
        </w:rPr>
        <w:t>[64] 王廷相. 王氏肃松录[M]. 北京: 中华书局, 1989.</w:t>
      </w:r>
    </w:p>
    <w:p>
      <w:pPr>
        <w:spacing w:after="80"/>
      </w:pPr>
      <w:r>
        <w:rPr>
          <w:sz w:val="21"/>
        </w:rPr>
        <w:t>[65] 李贽. 续焚书[M]. 北京: 中华书局, 1975.</w:t>
      </w:r>
    </w:p>
    <w:p>
      <w:pPr>
        <w:spacing w:after="80"/>
      </w:pPr>
      <w:r>
        <w:rPr>
          <w:sz w:val="21"/>
        </w:rPr>
        <w:t>[66] 黄贞. 破邪集[M] // 韩琦, 等编. 耶稣会论中国科学[C]. 北京: 科学出版社, 2010.</w:t>
      </w:r>
    </w:p>
    <w:p>
      <w:pPr>
        <w:spacing w:after="80"/>
      </w:pPr>
      <w:r>
        <w:rPr>
          <w:sz w:val="21"/>
        </w:rPr>
        <w:t>[67] 顾炎武. 日知录集释[M]. 黄汝成, 集释. 上海: 上海古籍出版社, 2006.</w:t>
      </w:r>
    </w:p>
    <w:p>
      <w:pPr>
        <w:spacing w:after="80"/>
      </w:pPr>
      <w:r>
        <w:rPr>
          <w:sz w:val="21"/>
        </w:rPr>
        <w:t>[68] 方以智. 物理小识[M]. 上海: 上海古籍出版社, 2017.</w:t>
      </w:r>
    </w:p>
    <w:p>
      <w:pPr>
        <w:spacing w:after="80"/>
      </w:pPr>
      <w:r>
        <w:rPr>
          <w:sz w:val="21"/>
        </w:rPr>
        <w:t>[69] 库恩(T. S. Kuhn). 科学革命的结构[M]. 金吾伦, 胡新和, 译. 北京: 北京大学出版社, 2003.</w:t>
      </w:r>
    </w:p>
    <w:p>
      <w:pPr>
        <w:spacing w:after="80"/>
      </w:pPr>
      <w:r>
        <w:rPr>
          <w:sz w:val="21"/>
        </w:rPr>
        <w:t>[70] 章潢. 图书编[M]. 台北: 台湾商务印书馆, 1986(景印文渊阁四库全书本).</w:t>
      </w:r>
    </w:p>
    <w:p>
      <w:pPr>
        <w:spacing w:after="80"/>
      </w:pPr>
      <w:r>
        <w:rPr>
          <w:sz w:val="21"/>
        </w:rPr>
        <w:t>[71] 陆九渊. 陆九渊集[M]. 北京: 中华书局, 1980.</w:t>
      </w:r>
    </w:p>
    <w:p>
      <w:pPr>
        <w:spacing w:after="80"/>
      </w:pPr>
      <w:r>
        <w:rPr>
          <w:sz w:val="21"/>
        </w:rPr>
        <w:t>[72] 史景迁(J. Spence). 利玛窦的记忆之宫[M]. 章可, 译. 桂林: 广西师范大学出版社, 2005.</w:t>
      </w:r>
    </w:p>
    <w:p>
      <w:pPr>
        <w:spacing w:before="480"/>
      </w:pPr>
      <w:r>
        <w:rPr>
          <w:b/>
          <w:sz w:val="32"/>
        </w:rPr>
        <w:t>致  谢</w:t>
      </w:r>
    </w:p>
    <w:p>
      <w:r>
        <w:rPr>
          <w:sz w:val="21"/>
        </w:rPr>
        <w:t>本论文的完成，离不开导师王绪琴老师的悉心指导。从选题方向的确定到文献资料的梳理，从论点框架的搭建到文字表述的打磨，王老师始终以严谨的治学态度和耐心的教学精神给予我最及时、最有力的帮助。每当我思路受阻、论证乏力之时，王老师总能一语中的地点拨方向，使我得以在纷繁复杂的文献中找到自己的声音。在此，谨向王老师致以最诚挚的谢意。</w:t>
        <w:br/>
        <w:br/>
        <w:t>同时，感谢在求学期间给予我帮助的各位老师和同学。感谢每一位在我生命中播下善种的人。</w:t>
      </w:r>
    </w:p>
    <w:sectPr>
      <w:footerReference w:type="default" r:id="rId10"/>
      <w:pgSz w:w="11906" w:h="16838"/>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楷体_GB2312">
    <w:panose1 w:val="02010609030101010101"/>
    <w:charset w:val="86"/>
    <w:family w:val="modern"/>
    <w:pitch w:val="default"/>
    <w:sig w:usb0="00000001" w:usb1="080E0000" w:usb2="00000000" w:usb3="00000000" w:csb0="00040000"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72">
    <w:p>
      <w:pPr>
        <w:spacing w:before="0" w:after="0" w:line="276" w:lineRule="auto"/>
      </w:pPr>
      <w:r>
        <w:separator/>
      </w:r>
    </w:p>
  </w:footnote>
  <w:footnote w:type="continuationSeparator" w:id="73">
    <w:p>
      <w:pPr>
        <w:spacing w:before="0" w:after="0" w:line="276" w:lineRule="auto"/>
      </w:pPr>
      <w:r>
        <w:continuationSeparator/>
      </w:r>
    </w:p>
  </w:footnote>
  <w:footnote w:id="0">
    <w:p w14:paraId="713BEAD3">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朱熹：《朱子语类》卷一，中华书局，1986年，第1页。</w:t>
      </w:r>
    </w:p>
  </w:footnote>
  <w:footnote w:id="1">
    <w:p w14:paraId="22ACA474">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周敦颐：《周敦颐集》，中华书局，2009年，第3–8页。</w:t>
      </w:r>
    </w:p>
  </w:footnote>
  <w:footnote w:id="2">
    <w:p w14:paraId="50CBF5D6">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利玛窦：《天主实义》，载《利玛窦中文著译集》，复旦大学出版社，2001年，第16–20页。</w:t>
      </w:r>
    </w:p>
  </w:footnote>
  <w:footnote w:id="3">
    <w:p w14:paraId="54A28A50">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孙尚扬：《明末耶儒之间的论辩及其现代意义》，《世界宗教研究》，1993年第3期，第25–36页。</w:t>
      </w:r>
    </w:p>
  </w:footnote>
  <w:footnote w:id="4">
    <w:p w14:paraId="451A71FD">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rPr>
        <w:t xml:space="preserve"> Jean-Paul Wiest, “From Matteo Ricci to Jacques Gernet: The Changing Image of the Chinese in Western Scholarship,” Chinese Studies, vol. 9, no. 1 (1997), pp. 23–47.</w:t>
      </w:r>
    </w:p>
  </w:footnote>
  <w:footnote w:id="5">
    <w:p w14:paraId="79291DD1">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朱谦之：《中国哲学对欧洲的影响》，河北人民出版社，2004年，第67–70页。</w:t>
      </w:r>
    </w:p>
  </w:footnote>
  <w:footnote w:id="6">
    <w:p w14:paraId="0620BDC4">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rPr>
        <w:t xml:space="preserve"> Paulos Huang, Confronting Confucianism: The Christian Understanding of Ru Tradition in Late Ming China (Leiden: Brill, 2007), pp. 98–110.</w:t>
      </w:r>
    </w:p>
  </w:footnote>
  <w:footnote w:id="7">
    <w:p w14:paraId="168AECF8">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林金水：《徐光启与利玛窦关系考》，《中国史研究》，2001年第2期，第81–93页。</w:t>
      </w:r>
    </w:p>
  </w:footnote>
  <w:footnote w:id="8">
    <w:p w14:paraId="3A28852E">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黄宗羲：《明夷待访录》，中华书局，2011年，第45页。</w:t>
      </w:r>
    </w:p>
  </w:footnote>
  <w:footnote w:id="9">
    <w:p w14:paraId="3C0E77C7">
      <w:pPr>
        <w:spacing w:after="0" w:line="240" w:lineRule="auto"/>
        <w:rPr>
          <w:rFonts w:ascii="Times New Roman" w:hAnsi="Times New Roman" w:eastAsia="宋体" w:cs="Times New Roman"/>
          <w:sz w:val="18"/>
          <w:szCs w:val="18"/>
        </w:rPr>
      </w:pPr>
      <w:r>
        <w:rPr>
          <w:rStyle w:val="138"/>
          <w:rFonts w:ascii="Times New Roman" w:hAnsi="Times New Roman" w:eastAsia="宋体" w:cs="Times New Roman"/>
          <w:sz w:val="18"/>
          <w:szCs w:val="18"/>
        </w:rPr>
        <w:footnoteRef/>
      </w:r>
      <w:r>
        <w:rPr>
          <w:rFonts w:ascii="Times New Roman" w:hAnsi="Times New Roman" w:eastAsia="宋体" w:cs="Times New Roman"/>
          <w:sz w:val="18"/>
          <w:szCs w:val="18"/>
        </w:rPr>
        <w:t xml:space="preserve"> Reinhart Koselleck, “Begriffsgeschichte und Sozialgeschichte,” in Vergangene Zukunft: Zur Semantik geschichtlicher Zeiten (Frankfurt: Suhrkamp, 1979), S. 107–129.</w:t>
      </w:r>
    </w:p>
    <w:p w14:paraId="120EEB95">
      <w:pPr>
        <w:pStyle w:val="29"/>
        <w:spacing w:after="0" w:line="240" w:lineRule="auto"/>
        <w:rPr>
          <w:rFonts w:ascii="Times New Roman" w:hAnsi="Times New Roman" w:eastAsia="宋体" w:cs="Times New Roman"/>
          <w:szCs w:val="18"/>
          <w:lang w:eastAsia="zh-CN"/>
        </w:rPr>
      </w:pPr>
    </w:p>
  </w:footnote>
  <w:footnote w:id="10">
    <w:p w14:paraId="1A1EC49C">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朱熹：《周易本义》，中华书局，2009年，第9页</w:t>
      </w:r>
    </w:p>
  </w:footnote>
  <w:footnote w:id="11">
    <w:p w14:paraId="0290ABC5">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蒙培元：《理学范畴系统》，人民出版社，1989年，第84页</w:t>
      </w:r>
    </w:p>
  </w:footnote>
  <w:footnote w:id="12">
    <w:p w14:paraId="6549DDF3">
      <w:r>
        <w:rPr>
          <w:rFonts w:ascii="Times New Roman" w:hAnsi="Times New Roman" w:eastAsia="宋体"/>
          <w:vertAlign w:val="superscript"/>
        </w:rPr>
        <w:t>22</w:t>
      </w:r>
      <w:r>
        <w:rPr>
          <w:rFonts w:ascii="Times New Roman" w:hAnsi="Times New Roman" w:eastAsia="宋体"/>
          <w:sz w:val="18"/>
        </w:rPr>
        <w:t>朱熹：《朱子语类》卷一，中华书局，1986年，第1页。</w:t>
      </w:r>
    </w:p>
  </w:footnote>
  <w:footnote w:id="13">
    <w:p w14:paraId="3E254E7B">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（蒙培元：《理学范畴系统》，人民出版社，1989年，第31页）</w:t>
      </w:r>
    </w:p>
  </w:footnote>
  <w:footnote w:id="14">
    <w:p w14:paraId="2C373DEB">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rPr>
        <w:t xml:space="preserve"> </w:t>
      </w:r>
      <w:r>
        <w:rPr>
          <w:rFonts w:ascii="Times New Roman" w:hAnsi="Times New Roman" w:eastAsia="宋体" w:cs="Times New Roman"/>
          <w:szCs w:val="18"/>
          <w:lang w:eastAsia="zh-CN"/>
        </w:rPr>
        <w:t>同上，第47页</w:t>
      </w:r>
    </w:p>
  </w:footnote>
  <w:footnote w:id="15">
    <w:p w14:paraId="19896102">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rPr>
        <w:t xml:space="preserve"> </w:t>
      </w:r>
      <w:r>
        <w:rPr>
          <w:rFonts w:ascii="Times New Roman" w:hAnsi="Times New Roman" w:eastAsia="宋体" w:cs="Times New Roman"/>
          <w:szCs w:val="18"/>
          <w:lang w:eastAsia="zh-CN"/>
        </w:rPr>
        <w:t>同上，第89页</w:t>
      </w:r>
    </w:p>
  </w:footnote>
  <w:footnote w:id="16">
    <w:p w14:paraId="42BD4CE7">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朱熹：《朱子语类》卷一，中华书局，1986年，第1页</w:t>
      </w:r>
    </w:p>
  </w:footnote>
  <w:footnote w:id="17">
    <w:p w14:paraId="438CF6F2">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周敦颐：《太极图说》，载《周敦颐集》，中华书局，2009年，第3页。</w:t>
      </w:r>
    </w:p>
  </w:footnote>
  <w:footnote w:id="18">
    <w:p w14:paraId="4AA87EAF">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蒙培元：《理学范畴系统》，人民出版社，1989年，第79页。</w:t>
      </w:r>
    </w:p>
  </w:footnote>
  <w:footnote w:id="19">
    <w:p w14:paraId="7740F644">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程颢、程颐：《二程遗书》卷二，上海古籍出版社，2000年，第15页。</w:t>
      </w:r>
    </w:p>
  </w:footnote>
  <w:footnote w:id="20">
    <w:p w14:paraId="3400963B">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蒙培元：《理学范畴系统》，人民出版社，1989年，第61页。</w:t>
      </w:r>
    </w:p>
  </w:footnote>
  <w:footnote w:id="21">
    <w:p w14:paraId="75023E48">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朱熹：《朱子语类》卷一，中华书局，1986年，第2页。</w:t>
      </w:r>
    </w:p>
  </w:footnote>
  <w:footnote w:id="22">
    <w:p w14:paraId="1E23610A">
      <w:r>
        <w:rPr>
          <w:rFonts w:ascii="Times New Roman" w:hAnsi="Times New Roman" w:eastAsia="宋体"/>
          <w:vertAlign w:val="superscript"/>
        </w:rPr>
        <w:t>23</w:t>
      </w:r>
      <w:r>
        <w:rPr>
          <w:rFonts w:ascii="Times New Roman" w:hAnsi="Times New Roman" w:eastAsia="宋体"/>
          <w:sz w:val="18"/>
        </w:rPr>
        <w:t>利玛窦：《天主实义》第一篇，载《利玛窦中文著译集》，复旦大学出版社，2001年，第13-16页。</w:t>
      </w:r>
    </w:p>
  </w:footnote>
  <w:footnote w:id="23">
    <w:p w14:paraId="47A05D86">
      <w:r>
        <w:rPr>
          <w:rFonts w:ascii="Times New Roman" w:hAnsi="Times New Roman" w:eastAsia="宋体"/>
          <w:vertAlign w:val="superscript"/>
        </w:rPr>
        <w:t>24</w:t>
      </w:r>
      <w:r>
        <w:rPr>
          <w:rFonts w:ascii="Times New Roman" w:hAnsi="Times New Roman" w:eastAsia="宋体"/>
          <w:sz w:val="18"/>
        </w:rPr>
        <w:t>利玛窦：《天主实义》第二篇，载《利玛窦中文著译集》，复旦大学出版社，2001年，第18页。</w:t>
      </w:r>
    </w:p>
  </w:footnote>
  <w:footnote w:id="24">
    <w:p w14:paraId="3E512EC3">
      <w:r>
        <w:rPr>
          <w:rFonts w:ascii="Times New Roman" w:hAnsi="Times New Roman" w:eastAsia="宋体"/>
          <w:vertAlign w:val="superscript"/>
        </w:rPr>
        <w:t>25</w:t>
      </w:r>
      <w:r>
        <w:rPr>
          <w:rFonts w:ascii="Times New Roman" w:hAnsi="Times New Roman" w:eastAsia="宋体"/>
          <w:sz w:val="18"/>
        </w:rPr>
        <w:t>利玛窦：《天主实义》第二篇，载《利玛窦中文著译集》，复旦大学出版社，2001年，第17页。</w:t>
      </w:r>
    </w:p>
  </w:footnote>
  <w:footnote w:id="25">
    <w:p w14:paraId="66BE28F0">
      <w:r>
        <w:rPr>
          <w:rFonts w:ascii="Times New Roman" w:hAnsi="Times New Roman" w:eastAsia="宋体"/>
          <w:vertAlign w:val="superscript"/>
        </w:rPr>
        <w:t>28</w:t>
      </w:r>
      <w:r>
        <w:rPr>
          <w:rFonts w:ascii="Times New Roman" w:hAnsi="Times New Roman" w:eastAsia="宋体"/>
          <w:sz w:val="18"/>
        </w:rPr>
        <w:t>丁耘：《西方哲学中国化的第一阶段》，《哲学研究》，2010年第5期，第63-71页。</w:t>
      </w:r>
    </w:p>
  </w:footnote>
  <w:footnote w:id="26">
    <w:p w14:paraId="1371771B">
      <w:r>
        <w:rPr>
          <w:rFonts w:ascii="Times New Roman" w:hAnsi="Times New Roman" w:eastAsia="宋体"/>
          <w:vertAlign w:val="superscript"/>
        </w:rPr>
        <w:t>26</w:t>
      </w:r>
      <w:r>
        <w:rPr>
          <w:rFonts w:ascii="Times New Roman" w:hAnsi="Times New Roman" w:eastAsia="宋体"/>
          <w:sz w:val="18"/>
        </w:rPr>
        <w:t>参见孙尚扬：《基督教与明末儒学》，东方出版社，1994年，第89-92页。</w:t>
      </w:r>
    </w:p>
  </w:footnote>
  <w:footnote w:id="27">
    <w:p w14:paraId="1936D970">
      <w:r>
        <w:rPr>
          <w:rFonts w:ascii="Times New Roman" w:hAnsi="Times New Roman" w:eastAsia="宋体"/>
          <w:vertAlign w:val="superscript"/>
        </w:rPr>
        <w:t>27</w:t>
      </w:r>
      <w:r>
        <w:rPr>
          <w:rFonts w:ascii="Times New Roman" w:hAnsi="Times New Roman" w:eastAsia="宋体"/>
          <w:sz w:val="18"/>
        </w:rPr>
        <w:t>Pontifical Council for Interreligious Dialogue, The Church and Asian Cultures: A Vatican Perspective (Vatican City: Libreria Editrice Vaticana, 2016), pp. 45-48.</w:t>
      </w:r>
    </w:p>
  </w:footnote>
  <w:footnote w:id="28">
    <w:p w14:paraId="6D40769D">
      <w:r>
        <w:rPr>
          <w:rFonts w:ascii="Times New Roman" w:hAnsi="Times New Roman" w:eastAsia="宋体"/>
          <w:vertAlign w:val="superscript"/>
        </w:rPr>
        <w:t>31</w:t>
      </w:r>
      <w:r>
        <w:rPr>
          <w:rFonts w:ascii="Times New Roman" w:hAnsi="Times New Roman" w:eastAsia="宋体"/>
          <w:sz w:val="18"/>
        </w:rPr>
        <w:t>丁耘：《西方哲学中国化的第一阶段》，《哲学研究》，2010年第5期，第66页。</w:t>
      </w:r>
    </w:p>
  </w:footnote>
  <w:footnote w:id="29">
    <w:p w14:paraId="7D5E0BBF">
      <w:r>
        <w:rPr>
          <w:rFonts w:ascii="Times New Roman" w:hAnsi="Times New Roman" w:eastAsia="宋体"/>
          <w:vertAlign w:val="superscript"/>
        </w:rPr>
        <w:t>29</w:t>
      </w:r>
      <w:r>
        <w:rPr>
          <w:rFonts w:ascii="Times New Roman" w:hAnsi="Times New Roman" w:eastAsia="宋体"/>
          <w:sz w:val="18"/>
        </w:rPr>
        <w:t>维尔维达基斯（S. Verividakis）：《在差异与共通之间重建理解》，《中国社会科学报》，2026年3月6日。</w:t>
      </w:r>
    </w:p>
  </w:footnote>
  <w:footnote w:id="30">
    <w:p w14:paraId="43663384">
      <w:r>
        <w:rPr>
          <w:rFonts w:ascii="Times New Roman" w:hAnsi="Times New Roman" w:eastAsia="宋体"/>
          <w:vertAlign w:val="superscript"/>
        </w:rPr>
        <w:t>30</w:t>
      </w:r>
      <w:r>
        <w:rPr>
          <w:rFonts w:ascii="Times New Roman" w:hAnsi="Times New Roman" w:eastAsia="宋体"/>
          <w:sz w:val="18"/>
        </w:rPr>
        <w:t>同上。</w:t>
      </w:r>
    </w:p>
  </w:footnote>
  <w:footnote w:id="31">
    <w:p w14:paraId="642F295C">
      <w:r>
        <w:rPr>
          <w:rFonts w:ascii="Times New Roman" w:hAnsi="Times New Roman" w:eastAsia="宋体"/>
          <w:vertAlign w:val="superscript"/>
        </w:rPr>
        <w:t>32</w:t>
      </w:r>
      <w:r>
        <w:rPr>
          <w:rFonts w:ascii="Times New Roman" w:hAnsi="Times New Roman" w:eastAsia="宋体"/>
          <w:sz w:val="18"/>
        </w:rPr>
        <w:t>利玛窦, 金尼阁：《利玛窦中国札记》，何高济等译，中华书局，1983年，第223-225页。</w:t>
      </w:r>
    </w:p>
  </w:footnote>
  <w:footnote w:id="32">
    <w:p w14:paraId="732B1389">
      <w:r>
        <w:rPr>
          <w:rFonts w:ascii="Times New Roman" w:hAnsi="Times New Roman" w:eastAsia="宋体"/>
          <w:vertAlign w:val="superscript"/>
        </w:rPr>
        <w:t>33</w:t>
      </w:r>
      <w:r>
        <w:rPr>
          <w:rFonts w:ascii="Times New Roman" w:hAnsi="Times New Roman" w:eastAsia="宋体"/>
          <w:sz w:val="18"/>
        </w:rPr>
        <w:t>Mungello, D. E., Curious Land: Jesuit Accommodation and the Origins of Sinology (Stuttgart: Franz Steiner Verlag, 1985), pp. 112-118.</w:t>
      </w:r>
    </w:p>
  </w:footnote>
  <w:footnote w:id="33">
    <w:p w14:paraId="627088F0">
      <w:r>
        <w:rPr>
          <w:rFonts w:ascii="Times New Roman" w:hAnsi="Times New Roman" w:eastAsia="宋体"/>
          <w:vertAlign w:val="superscript"/>
        </w:rPr>
        <w:t>34</w:t>
      </w:r>
      <w:r>
        <w:rPr>
          <w:rFonts w:ascii="Times New Roman" w:hAnsi="Times New Roman" w:eastAsia="宋体"/>
          <w:sz w:val="18"/>
        </w:rPr>
        <w:t>《白鹿洞志》卷三，转引自陈来：《朱熹哲学研究》，中国社会科学出版社，1988年，第321页。</w:t>
      </w:r>
    </w:p>
  </w:footnote>
  <w:footnote w:id="34">
    <w:p w14:paraId="0D6D33C0">
      <w:r>
        <w:rPr>
          <w:rFonts w:ascii="Times New Roman" w:hAnsi="Times New Roman" w:eastAsia="宋体"/>
          <w:vertAlign w:val="superscript"/>
        </w:rPr>
        <w:t>35</w:t>
      </w:r>
      <w:r>
        <w:rPr>
          <w:rFonts w:ascii="Times New Roman" w:hAnsi="Times New Roman" w:eastAsia="宋体"/>
          <w:sz w:val="18"/>
        </w:rPr>
        <w:t>参见复旦大学哲学学院编：《文明对话与文化交流：白鹿洞—陶山书院学术交流会论文集》，上海人民出版社，2018年。</w:t>
      </w:r>
    </w:p>
  </w:footnote>
  <w:footnote w:id="35">
    <w:p w14:paraId="49C8CE04">
      <w:r>
        <w:rPr>
          <w:rFonts w:ascii="Times New Roman" w:hAnsi="Times New Roman" w:eastAsia="宋体"/>
          <w:vertAlign w:val="superscript"/>
        </w:rPr>
        <w:t>36</w:t>
      </w:r>
      <w:r>
        <w:rPr>
          <w:rFonts w:ascii="Times New Roman" w:hAnsi="Times New Roman" w:eastAsia="宋体"/>
          <w:sz w:val="18"/>
        </w:rPr>
        <w:t>利玛窦, 金尼阁：《利玛窦中国札记》，何高济等译，中华书局，1983年，第178-180页。</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71A63D93"/>
    <w:multiLevelType w:val="multilevel"/>
    <w:tmpl w:val="71A63D93"/>
    <w:lvl w:ilvl="0" w:tentative="0">
      <w:start w:val="1"/>
      <w:numFmt w:val="chineseCountingThousand"/>
      <w:pStyle w:val="5"/>
      <w:lvlText w:val="%1、"/>
      <w:lvlJc w:val="left"/>
      <w:pPr>
        <w:ind w:left="640" w:hanging="440"/>
      </w:pPr>
    </w:lvl>
    <w:lvl w:ilvl="1" w:tentative="0">
      <w:start w:val="1"/>
      <w:numFmt w:val="lowerLetter"/>
      <w:lvlText w:val="%2)"/>
      <w:lvlJc w:val="left"/>
      <w:pPr>
        <w:ind w:left="1080" w:hanging="440"/>
      </w:pPr>
    </w:lvl>
    <w:lvl w:ilvl="2" w:tentative="0">
      <w:start w:val="1"/>
      <w:numFmt w:val="lowerRoman"/>
      <w:lvlText w:val="%3."/>
      <w:lvlJc w:val="right"/>
      <w:pPr>
        <w:ind w:left="1520" w:hanging="440"/>
      </w:pPr>
    </w:lvl>
    <w:lvl w:ilvl="3" w:tentative="0">
      <w:start w:val="1"/>
      <w:numFmt w:val="decimal"/>
      <w:lvlText w:val="%4."/>
      <w:lvlJc w:val="left"/>
      <w:pPr>
        <w:ind w:left="1960" w:hanging="440"/>
      </w:pPr>
    </w:lvl>
    <w:lvl w:ilvl="4" w:tentative="0">
      <w:start w:val="1"/>
      <w:numFmt w:val="lowerLetter"/>
      <w:lvlText w:val="%5)"/>
      <w:lvlJc w:val="left"/>
      <w:pPr>
        <w:ind w:left="2400" w:hanging="440"/>
      </w:pPr>
    </w:lvl>
    <w:lvl w:ilvl="5" w:tentative="0">
      <w:start w:val="1"/>
      <w:numFmt w:val="lowerRoman"/>
      <w:lvlText w:val="%6."/>
      <w:lvlJc w:val="right"/>
      <w:pPr>
        <w:ind w:left="2840" w:hanging="440"/>
      </w:pPr>
    </w:lvl>
    <w:lvl w:ilvl="6" w:tentative="0">
      <w:start w:val="1"/>
      <w:numFmt w:val="decimal"/>
      <w:lvlText w:val="%7."/>
      <w:lvlJc w:val="left"/>
      <w:pPr>
        <w:ind w:left="3280" w:hanging="440"/>
      </w:pPr>
    </w:lvl>
    <w:lvl w:ilvl="7" w:tentative="0">
      <w:start w:val="1"/>
      <w:numFmt w:val="lowerLetter"/>
      <w:lvlText w:val="%8)"/>
      <w:lvlJc w:val="left"/>
      <w:pPr>
        <w:ind w:left="3720" w:hanging="440"/>
      </w:pPr>
    </w:lvl>
    <w:lvl w:ilvl="8" w:tentative="0">
      <w:start w:val="1"/>
      <w:numFmt w:val="lowerRoman"/>
      <w:lvlText w:val="%9."/>
      <w:lvlJc w:val="right"/>
      <w:pPr>
        <w:ind w:left="4160" w:hanging="440"/>
      </w:pPr>
    </w:lvl>
  </w:abstractNum>
  <w:num w:numId="1">
    <w:abstractNumId w:val="6"/>
  </w:num>
  <w:num w:numId="2">
    <w:abstractNumId w:val="1"/>
  </w:num>
  <w:num w:numId="3">
    <w:abstractNumId w:val="4"/>
  </w:num>
  <w:num w:numId="4">
    <w:abstractNumId w:val="5"/>
  </w:num>
  <w:num w:numId="5">
    <w:abstractNumId w:val="2"/>
  </w:num>
  <w:num w:numId="6">
    <w:abstractNumId w:val="0"/>
  </w:num>
  <w:num w:numId="7">
    <w:abstractNumId w:val="3"/>
  </w:num>
  <w:num w:numId="8">
    <w:abstractNumId w:val="6"/>
    <w:lvlOverride w:ilvl="0">
      <w:startOverride w:val="1"/>
    </w:lvlOverride>
  </w:num>
  <w:num w:numId="9">
    <w:abstractNumId w:val="6"/>
    <w:lvlOverride w:ilvl="0">
      <w:startOverride w:val="1"/>
    </w:lvlOverride>
  </w:num>
  <w:num w:numId="10">
    <w:abstractNumId w:val="6"/>
    <w:lvlOverride w:ilvl="0">
      <w:startOverride w:val="1"/>
    </w:lvlOverride>
  </w:num>
  <w:num w:numId="11">
    <w:abstractNumId w:val="6"/>
    <w:lvlOverride w:ilvl="0">
      <w:startOverride w:val="1"/>
    </w:lvlOverride>
  </w:num>
  <w:num w:numId="12">
    <w:abstractNumId w:val="6"/>
    <w:lvlOverride w:ilvl="0">
      <w:startOverride w:val="1"/>
    </w:lvlOverride>
  </w:num>
  <w:num w:numId="13">
    <w:abstractNumId w:val="6"/>
    <w:lvlOverride w:ilvl="0">
      <w:startOverride w:val="1"/>
    </w:lvlOverride>
  </w:num>
  <w:num w:numId="14">
    <w:abstractNumId w:val="6"/>
    <w:lvlOverride w:ilvl="0">
      <w:startOverride w:val="1"/>
    </w:lvlOverride>
  </w:num>
  <w:num w:numId="15">
    <w:abstractNumId w:val="6"/>
    <w:lvlOverride w:ilvl="0">
      <w:startOverride w:val="1"/>
    </w:lvlOverride>
  </w:num>
  <w:num w:numId="16">
    <w:abstractNumId w:val="6"/>
    <w:lvlOverride w:ilvl="0">
      <w:startOverride w:val="1"/>
    </w:lvlOverride>
  </w:num>
  <w:num w:numId="17">
    <w:abstractNumId w:val="6"/>
    <w:lvlOverride w:ilvl="0">
      <w:startOverride w:val="1"/>
    </w:lvlOverride>
  </w:num>
  <w:num w:numId="18">
    <w:abstractNumId w:val="6"/>
    <w:lvlOverride w:ilvl="0">
      <w:startOverride w:val="1"/>
    </w:lvlOverride>
  </w:num>
  <w:num w:numId="19">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bordersDoNotSurroundHeader w:val="1"/>
  <w:bordersDoNotSurroundFooter w:val="1"/>
  <w:documentProtection w:enforcement="0"/>
  <w:defaultTabStop w:val="720"/>
  <w:characterSpacingControl w:val="doNotCompress"/>
  <w:footnotePr>
    <w:footnote w:id="72"/>
    <w:footnote w:id="73"/>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561D9"/>
    <w:rsid w:val="001F549C"/>
    <w:rsid w:val="00267495"/>
    <w:rsid w:val="0029639D"/>
    <w:rsid w:val="00326F90"/>
    <w:rsid w:val="00335F91"/>
    <w:rsid w:val="004D0A13"/>
    <w:rsid w:val="005046F7"/>
    <w:rsid w:val="00511A1C"/>
    <w:rsid w:val="00A97829"/>
    <w:rsid w:val="00AA1D8D"/>
    <w:rsid w:val="00B47730"/>
    <w:rsid w:val="00B52E81"/>
    <w:rsid w:val="00C2075E"/>
    <w:rsid w:val="00CB0664"/>
    <w:rsid w:val="00D311AE"/>
    <w:rsid w:val="00E851B9"/>
    <w:rsid w:val="00F463E7"/>
    <w:rsid w:val="00FC693F"/>
    <w:rsid w:val="1FFD3E08"/>
    <w:rsid w:val="38E86B7E"/>
    <w:rsid w:val="52145BFF"/>
    <w:rsid w:val="5ACA720B"/>
    <w:rsid w:val="76A96981"/>
    <w:rsid w:val="7811060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2"/>
    <w:qFormat/>
    <w:uiPriority w:val="9"/>
    <w:pPr>
      <w:keepNext/>
      <w:keepLines/>
      <w:spacing w:before="100" w:beforeLines="100" w:after="100" w:afterLines="100" w:line="240" w:lineRule="auto"/>
      <w:jc w:val="center"/>
      <w:outlineLvl w:val="0"/>
    </w:pPr>
    <w:rPr>
      <w:rFonts w:eastAsia="黑体" w:asciiTheme="majorHAnsi" w:hAnsiTheme="majorHAnsi" w:cstheme="majorBidi"/>
      <w:b/>
      <w:bCs/>
      <w:sz w:val="30"/>
      <w:szCs w:val="28"/>
    </w:rPr>
  </w:style>
  <w:style w:type="paragraph" w:styleId="4">
    <w:name w:val="heading 2"/>
    <w:basedOn w:val="1"/>
    <w:next w:val="1"/>
    <w:link w:val="143"/>
    <w:unhideWhenUsed/>
    <w:qFormat/>
    <w:uiPriority w:val="9"/>
    <w:pPr>
      <w:keepNext/>
      <w:keepLines/>
      <w:spacing w:before="50" w:beforeLines="50" w:after="50" w:afterLines="50" w:line="240" w:lineRule="auto"/>
      <w:ind w:firstLine="200" w:firstLineChars="200"/>
      <w:jc w:val="center"/>
      <w:outlineLvl w:val="1"/>
    </w:pPr>
    <w:rPr>
      <w:rFonts w:eastAsia="黑体" w:asciiTheme="majorHAnsi" w:hAnsiTheme="majorHAnsi" w:cstheme="majorBidi"/>
      <w:b/>
      <w:bCs/>
      <w:sz w:val="28"/>
      <w:szCs w:val="26"/>
    </w:rPr>
  </w:style>
  <w:style w:type="paragraph" w:styleId="5">
    <w:name w:val="heading 3"/>
    <w:basedOn w:val="1"/>
    <w:next w:val="1"/>
    <w:link w:val="144"/>
    <w:unhideWhenUsed/>
    <w:qFormat/>
    <w:uiPriority w:val="9"/>
    <w:pPr>
      <w:keepNext/>
      <w:keepLines/>
      <w:numPr>
        <w:ilvl w:val="0"/>
        <w:numId w:val="1"/>
      </w:numPr>
      <w:spacing w:after="0" w:line="360" w:lineRule="auto"/>
      <w:ind w:left="0" w:firstLine="200" w:firstLineChars="200"/>
      <w:outlineLvl w:val="2"/>
    </w:pPr>
    <w:rPr>
      <w:rFonts w:eastAsia="黑体" w:asciiTheme="majorHAnsi" w:hAnsiTheme="majorHAnsi" w:cstheme="majorBidi"/>
      <w:b/>
      <w:bCs/>
      <w:sz w:val="24"/>
    </w:rPr>
  </w:style>
  <w:style w:type="paragraph" w:styleId="6">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unhideWhenUsed/>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2"/>
      </w:numPr>
      <w:contextualSpacing/>
    </w:pPr>
  </w:style>
  <w:style w:type="paragraph" w:styleId="14">
    <w:name w:val="List Number"/>
    <w:basedOn w:val="1"/>
    <w:unhideWhenUsed/>
    <w:qFormat/>
    <w:uiPriority w:val="99"/>
    <w:pPr>
      <w:numPr>
        <w:ilvl w:val="0"/>
        <w:numId w:val="3"/>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4"/>
      </w:numPr>
      <w:contextualSpacing/>
    </w:pPr>
  </w:style>
  <w:style w:type="paragraph" w:styleId="17">
    <w:name w:val="Body Text 3"/>
    <w:basedOn w:val="1"/>
    <w:link w:val="150"/>
    <w:unhideWhenUsed/>
    <w:qFormat/>
    <w:uiPriority w:val="99"/>
    <w:pPr>
      <w:spacing w:after="120"/>
    </w:pPr>
    <w:rPr>
      <w:sz w:val="16"/>
      <w:szCs w:val="16"/>
    </w:rPr>
  </w:style>
  <w:style w:type="paragraph" w:styleId="18">
    <w:name w:val="List Bullet 3"/>
    <w:basedOn w:val="1"/>
    <w:unhideWhenUsed/>
    <w:qFormat/>
    <w:uiPriority w:val="99"/>
    <w:pPr>
      <w:numPr>
        <w:ilvl w:val="0"/>
        <w:numId w:val="5"/>
      </w:numPr>
      <w:contextualSpacing/>
    </w:pPr>
  </w:style>
  <w:style w:type="paragraph" w:styleId="19">
    <w:name w:val="Body Text"/>
    <w:basedOn w:val="1"/>
    <w:link w:val="148"/>
    <w:unhideWhenUsed/>
    <w:qFormat/>
    <w:uiPriority w:val="99"/>
    <w:pPr>
      <w:spacing w:after="120"/>
    </w:pPr>
  </w:style>
  <w:style w:type="paragraph" w:styleId="20">
    <w:name w:val="List Number 3"/>
    <w:basedOn w:val="1"/>
    <w:unhideWhenUsed/>
    <w:qFormat/>
    <w:uiPriority w:val="99"/>
    <w:pPr>
      <w:numPr>
        <w:ilvl w:val="0"/>
        <w:numId w:val="6"/>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7"/>
      </w:numPr>
      <w:contextualSpacing/>
    </w:pPr>
  </w:style>
  <w:style w:type="paragraph" w:styleId="24">
    <w:name w:val="Date"/>
    <w:basedOn w:val="1"/>
    <w:next w:val="1"/>
    <w:unhideWhenUsed/>
    <w:qFormat/>
    <w:uiPriority w:val="99"/>
    <w:pPr>
      <w:ind w:left="100" w:leftChars="2500"/>
    </w:pPr>
    <w:rPr>
      <w:rFonts w:ascii="宋体" w:hAnsi="宋体" w:cs="宋体"/>
      <w:sz w:val="28"/>
      <w:szCs w:val="28"/>
    </w:rPr>
  </w:style>
  <w:style w:type="paragraph" w:styleId="25">
    <w:name w:val="footer"/>
    <w:basedOn w:val="1"/>
    <w:link w:val="140"/>
    <w:unhideWhenUsed/>
    <w:qFormat/>
    <w:uiPriority w:val="99"/>
    <w:pPr>
      <w:tabs>
        <w:tab w:val="center" w:pos="4680"/>
        <w:tab w:val="right" w:pos="9360"/>
      </w:tabs>
      <w:spacing w:after="0" w:line="240" w:lineRule="auto"/>
    </w:pPr>
  </w:style>
  <w:style w:type="paragraph" w:styleId="26">
    <w:name w:val="header"/>
    <w:basedOn w:val="1"/>
    <w:link w:val="139"/>
    <w:unhideWhenUsed/>
    <w:qFormat/>
    <w:uiPriority w:val="99"/>
    <w:pPr>
      <w:tabs>
        <w:tab w:val="center" w:pos="4680"/>
        <w:tab w:val="right" w:pos="9360"/>
      </w:tabs>
      <w:spacing w:after="0" w:line="240" w:lineRule="auto"/>
    </w:pPr>
  </w:style>
  <w:style w:type="paragraph" w:styleId="27">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footnote text"/>
    <w:basedOn w:val="1"/>
    <w:semiHidden/>
    <w:unhideWhenUsed/>
    <w:qFormat/>
    <w:uiPriority w:val="99"/>
    <w:pPr>
      <w:snapToGrid w:val="0"/>
    </w:pPr>
    <w:rPr>
      <w:sz w:val="18"/>
    </w:rPr>
  </w:style>
  <w:style w:type="paragraph" w:styleId="30">
    <w:name w:val="Body Text 2"/>
    <w:basedOn w:val="1"/>
    <w:link w:val="149"/>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Normal (Web)"/>
    <w:basedOn w:val="1"/>
    <w:semiHidden/>
    <w:unhideWhenUsed/>
    <w:qFormat/>
    <w:uiPriority w:val="99"/>
    <w:pPr>
      <w:spacing w:before="100" w:beforeAutospacing="1" w:after="100" w:afterAutospacing="1"/>
    </w:pPr>
    <w:rPr>
      <w:sz w:val="24"/>
    </w:r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7">
    <w:name w:val="Light Shading"/>
    <w:basedOn w:val="35"/>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styleId="138">
    <w:name w:val="footnote reference"/>
    <w:basedOn w:val="135"/>
    <w:semiHidden/>
    <w:unhideWhenUsed/>
    <w:uiPriority w:val="99"/>
    <w:rPr>
      <w:vertAlign w:val="superscript"/>
    </w:rPr>
  </w:style>
  <w:style w:type="character" w:customStyle="1" w:styleId="139">
    <w:name w:val="页眉 字符"/>
    <w:basedOn w:val="135"/>
    <w:link w:val="26"/>
    <w:qFormat/>
    <w:uiPriority w:val="99"/>
  </w:style>
  <w:style w:type="character" w:customStyle="1" w:styleId="140">
    <w:name w:val="页脚 字符"/>
    <w:basedOn w:val="135"/>
    <w:link w:val="25"/>
    <w:qFormat/>
    <w:uiPriority w:val="99"/>
  </w:style>
  <w:style w:type="paragraph" w:styleId="141">
    <w:name w:val="No Spacing"/>
    <w:qFormat/>
    <w:uiPriority w:val="1"/>
    <w:rPr>
      <w:rFonts w:asciiTheme="minorHAnsi" w:hAnsiTheme="minorHAnsi" w:eastAsiaTheme="minorEastAsia" w:cstheme="minorBidi"/>
      <w:sz w:val="22"/>
      <w:szCs w:val="22"/>
      <w:lang w:val="en-US" w:eastAsia="en-US" w:bidi="ar-SA"/>
    </w:rPr>
  </w:style>
  <w:style w:type="character" w:customStyle="1" w:styleId="142">
    <w:name w:val="标题 1 字符"/>
    <w:basedOn w:val="135"/>
    <w:link w:val="3"/>
    <w:uiPriority w:val="9"/>
    <w:rPr>
      <w:rFonts w:eastAsia="黑体" w:asciiTheme="majorHAnsi" w:hAnsiTheme="majorHAnsi" w:cstheme="majorBidi"/>
      <w:b/>
      <w:bCs/>
      <w:sz w:val="30"/>
      <w:szCs w:val="28"/>
      <w:lang w:eastAsia="en-US" w:bidi="ar-SA"/>
    </w:rPr>
  </w:style>
  <w:style w:type="character" w:customStyle="1" w:styleId="143">
    <w:name w:val="标题 2 字符"/>
    <w:basedOn w:val="135"/>
    <w:link w:val="4"/>
    <w:uiPriority w:val="9"/>
    <w:rPr>
      <w:rFonts w:eastAsia="黑体" w:asciiTheme="majorHAnsi" w:hAnsiTheme="majorHAnsi" w:cstheme="majorBidi"/>
      <w:b/>
      <w:bCs/>
      <w:sz w:val="28"/>
      <w:szCs w:val="26"/>
      <w:lang w:eastAsia="en-US" w:bidi="ar-SA"/>
    </w:rPr>
  </w:style>
  <w:style w:type="character" w:customStyle="1" w:styleId="144">
    <w:name w:val="标题 3 字符"/>
    <w:basedOn w:val="135"/>
    <w:link w:val="5"/>
    <w:qFormat/>
    <w:uiPriority w:val="9"/>
    <w:rPr>
      <w:rFonts w:eastAsia="黑体" w:asciiTheme="majorHAnsi" w:hAnsiTheme="majorHAnsi" w:cstheme="majorBidi"/>
      <w:b/>
      <w:bCs/>
      <w:sz w:val="24"/>
      <w:szCs w:val="22"/>
      <w:lang w:eastAsia="en-US" w:bidi="ar-SA"/>
    </w:rPr>
  </w:style>
  <w:style w:type="character" w:customStyle="1" w:styleId="145">
    <w:name w:val="标题 字符"/>
    <w:basedOn w:val="1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副标题 字符"/>
    <w:basedOn w:val="135"/>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正文文本 字符"/>
    <w:basedOn w:val="135"/>
    <w:link w:val="19"/>
    <w:uiPriority w:val="99"/>
  </w:style>
  <w:style w:type="character" w:customStyle="1" w:styleId="149">
    <w:name w:val="正文文本 2 字符"/>
    <w:basedOn w:val="135"/>
    <w:link w:val="30"/>
    <w:qFormat/>
    <w:uiPriority w:val="99"/>
  </w:style>
  <w:style w:type="character" w:customStyle="1" w:styleId="150">
    <w:name w:val="正文文本 3 字符"/>
    <w:basedOn w:val="135"/>
    <w:link w:val="17"/>
    <w:qFormat/>
    <w:uiPriority w:val="99"/>
    <w:rPr>
      <w:sz w:val="16"/>
      <w:szCs w:val="16"/>
    </w:rPr>
  </w:style>
  <w:style w:type="character" w:customStyle="1" w:styleId="151">
    <w:name w:val="宏文本 字符"/>
    <w:basedOn w:val="135"/>
    <w:link w:val="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引用 字符"/>
    <w:basedOn w:val="135"/>
    <w:link w:val="152"/>
    <w:qFormat/>
    <w:uiPriority w:val="29"/>
    <w:rPr>
      <w:i/>
      <w:iCs/>
      <w:color w:val="000000" w:themeColor="text1"/>
      <w14:textFill>
        <w14:solidFill>
          <w14:schemeClr w14:val="tx1"/>
        </w14:solidFill>
      </w14:textFill>
    </w:rPr>
  </w:style>
  <w:style w:type="character" w:customStyle="1" w:styleId="154">
    <w:name w:val="标题 4 字符"/>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标题 5 字符"/>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6">
    <w:name w:val="标题 6 字符"/>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7">
    <w:name w:val="标题 7 字符"/>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标题 8 字符"/>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标题 9 字符"/>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明显引用 字符"/>
    <w:basedOn w:val="135"/>
    <w:link w:val="160"/>
    <w:qFormat/>
    <w:uiPriority w:val="30"/>
    <w:rPr>
      <w:b/>
      <w:bCs/>
      <w:i/>
      <w:iCs/>
      <w:color w:val="4F81BD" w:themeColor="accent1"/>
      <w14:textFill>
        <w14:solidFill>
          <w14:schemeClr w14:val="accent1"/>
        </w14:solidFill>
      </w14:textFill>
    </w:rPr>
  </w:style>
  <w:style w:type="character" w:customStyle="1" w:styleId="162">
    <w:name w:val="不明显强调1"/>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明显强调1"/>
    <w:basedOn w:val="135"/>
    <w:qFormat/>
    <w:uiPriority w:val="21"/>
    <w:rPr>
      <w:b/>
      <w:bCs/>
      <w:i/>
      <w:iCs/>
      <w:color w:val="4F81BD" w:themeColor="accent1"/>
      <w14:textFill>
        <w14:solidFill>
          <w14:schemeClr w14:val="accent1"/>
        </w14:solidFill>
      </w14:textFill>
    </w:rPr>
  </w:style>
  <w:style w:type="character" w:customStyle="1" w:styleId="164">
    <w:name w:val="不明显参考1"/>
    <w:basedOn w:val="135"/>
    <w:qFormat/>
    <w:uiPriority w:val="31"/>
    <w:rPr>
      <w:smallCaps/>
      <w:color w:val="C0504D" w:themeColor="accent2"/>
      <w:u w:val="single"/>
      <w14:textFill>
        <w14:solidFill>
          <w14:schemeClr w14:val="accent2"/>
        </w14:solidFill>
      </w14:textFill>
    </w:rPr>
  </w:style>
  <w:style w:type="character" w:customStyle="1" w:styleId="165">
    <w:name w:val="明显参考1"/>
    <w:basedOn w:val="135"/>
    <w:qFormat/>
    <w:uiPriority w:val="32"/>
    <w:rPr>
      <w:b/>
      <w:bCs/>
      <w:smallCaps/>
      <w:color w:val="C0504D" w:themeColor="accent2"/>
      <w:spacing w:val="5"/>
      <w:u w:val="single"/>
      <w14:textFill>
        <w14:solidFill>
          <w14:schemeClr w14:val="accent2"/>
        </w14:solidFill>
      </w14:textFill>
    </w:rPr>
  </w:style>
  <w:style w:type="character" w:customStyle="1" w:styleId="166">
    <w:name w:val="书籍标题1"/>
    <w:basedOn w:val="135"/>
    <w:qFormat/>
    <w:uiPriority w:val="33"/>
    <w:rPr>
      <w:b/>
      <w:bCs/>
      <w:smallCaps/>
      <w:spacing w:val="5"/>
    </w:rPr>
  </w:style>
  <w:style w:type="paragraph" w:customStyle="1" w:styleId="167">
    <w:name w:val="TOC 标题1"/>
    <w:basedOn w:val="3"/>
    <w:next w:val="1"/>
    <w:semiHidden/>
    <w:unhideWhenUsed/>
    <w:qFormat/>
    <w:uiPriority w:val="39"/>
    <w:pPr>
      <w:outlineLvl w:val="9"/>
    </w:pPr>
  </w:style>
  <w:style w:type="paragraph" w:customStyle="1" w:styleId="168">
    <w:name w:val="分类号"/>
    <w:basedOn w:val="1"/>
    <w:qFormat/>
    <w:uiPriority w:val="0"/>
    <w:rPr>
      <w:rFonts w:ascii="仿宋_GB2312" w:eastAsia="仿宋_GB2312"/>
      <w:sz w:val="28"/>
      <w:szCs w:val="28"/>
    </w:rPr>
  </w:style>
  <w:style w:type="paragraph" w:customStyle="1" w:styleId="169">
    <w:name w:val="硕士学位论文"/>
    <w:basedOn w:val="1"/>
    <w:qFormat/>
    <w:uiPriority w:val="0"/>
    <w:pPr>
      <w:spacing w:before="240"/>
      <w:jc w:val="center"/>
    </w:pPr>
    <w:rPr>
      <w:sz w:val="44"/>
      <w:szCs w:val="44"/>
    </w:rPr>
  </w:style>
  <w:style w:type="paragraph" w:customStyle="1" w:styleId="170">
    <w:name w:val="研究生姓名"/>
    <w:basedOn w:val="1"/>
    <w:qFormat/>
    <w:uiPriority w:val="0"/>
    <w:pPr>
      <w:ind w:firstLine="700" w:firstLineChars="700"/>
    </w:pPr>
    <w:rPr>
      <w:sz w:val="28"/>
      <w:szCs w:val="28"/>
    </w:rPr>
  </w:style>
  <w:style w:type="paragraph" w:customStyle="1" w:styleId="171">
    <w:name w:val="封面日期"/>
    <w:basedOn w:val="1"/>
    <w:qFormat/>
    <w:uiPriority w:val="0"/>
    <w:pPr>
      <w:jc w:val="center"/>
    </w:pPr>
    <w:rPr>
      <w:rFonts w:ascii="黑体" w:eastAsia="黑体"/>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53</Pages>
  <Words>32797</Words>
  <Characters>33197</Characters>
  <Lines>338</Lines>
  <Paragraphs>95</Paragraphs>
  <TotalTime>0</TotalTime>
  <ScaleCrop>false</ScaleCrop>
  <LinksUpToDate>false</LinksUpToDate>
  <CharactersWithSpaces>33574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全</cp:lastModifiedBy>
  <dcterms:modified xsi:type="dcterms:W3CDTF">2026-06-04T00:39:54Z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eyJoZGlkIjoiNjQxMmVjYjY0YTg0ZjQwNjFhMzVjZjA5YzcyNWVjZjAiLCJ1c2VySWQiOiIyODU2MTI2NjcifQ==</vt:lpwstr>
  </property>
  <property fmtid="{D5CDD505-2E9C-101B-9397-08002B2CF9AE}" pid="3" name="KSOProductBuildVer">
    <vt:lpwstr>2052-12.1.0.26375</vt:lpwstr>
  </property>
  <property fmtid="{D5CDD505-2E9C-101B-9397-08002B2CF9AE}" pid="4" name="ICV">
    <vt:lpwstr>7AECC57875664400BD87D8F940BB46AE_12</vt:lpwstr>
  </property>
</Properties>
</file>