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720" w:lineRule="exact" w:before="720" w:after="360"/>
        <w:jc w:val="center"/>
      </w:pPr>
      <w:r>
        <w:rPr>
          <w:rFonts w:ascii="黑体" w:hAnsi="黑体" w:eastAsia="黑体"/>
          <w:b/>
          <w:sz w:val="44"/>
        </w:rPr>
        <w:t>人民币国际化进程与前景分析</w:t>
      </w:r>
    </w:p>
    <w:p/>
    <w:p>
      <w:pPr>
        <w:pStyle w:val="Heading1"/>
        <w:jc w:val="left"/>
      </w:pPr>
      <w:r>
        <w:t>一、引言</w:t>
      </w:r>
    </w:p>
    <w:p>
      <w:pPr>
        <w:spacing w:line="400" w:lineRule="exact" w:before="0" w:after="0"/>
        <w:ind w:firstLine="420"/>
        <w:jc w:val="both"/>
      </w:pPr>
      <w:r>
        <w:rPr>
          <w:rFonts w:ascii="宋体" w:hAnsi="宋体" w:eastAsia="宋体"/>
          <w:sz w:val="24"/>
        </w:rPr>
        <w:t>货币国际化是一国经济实力和综合国力提升的必然产物。自</w:t>
      </w:r>
      <w:r>
        <w:rPr>
          <w:rFonts w:ascii="Times New Roman" w:hAnsi="Times New Roman"/>
          <w:sz w:val="24"/>
        </w:rPr>
        <w:t>2009</w:t>
      </w:r>
      <w:r>
        <w:rPr>
          <w:rFonts w:ascii="宋体" w:hAnsi="宋体" w:eastAsia="宋体"/>
          <w:sz w:val="24"/>
        </w:rPr>
        <w:t>年中国正式启动跨境贸易人民币结算试点以来，人民币国际化走过了从无到有、从点到面的发展历程。</w:t>
      </w:r>
      <w:r>
        <w:rPr>
          <w:rFonts w:ascii="Times New Roman" w:hAnsi="Times New Roman"/>
          <w:sz w:val="24"/>
        </w:rPr>
        <w:t>2015</w:t>
      </w:r>
      <w:r>
        <w:rPr>
          <w:rFonts w:ascii="宋体" w:hAnsi="宋体" w:eastAsia="宋体"/>
          <w:sz w:val="24"/>
        </w:rPr>
        <w:t>年</w:t>
      </w:r>
      <w:r>
        <w:rPr>
          <w:rFonts w:ascii="Times New Roman" w:hAnsi="Times New Roman"/>
          <w:sz w:val="24"/>
        </w:rPr>
        <w:t>11</w:t>
      </w:r>
      <w:r>
        <w:rPr>
          <w:rFonts w:ascii="宋体" w:hAnsi="宋体" w:eastAsia="宋体"/>
          <w:sz w:val="24"/>
        </w:rPr>
        <w:t>月，国际货币基金组织（</w:t>
      </w:r>
      <w:r>
        <w:rPr>
          <w:rFonts w:ascii="Times New Roman" w:hAnsi="Times New Roman"/>
          <w:sz w:val="24"/>
        </w:rPr>
        <w:t>IMF</w:t>
      </w:r>
      <w:r>
        <w:rPr>
          <w:rFonts w:ascii="宋体" w:hAnsi="宋体" w:eastAsia="宋体"/>
          <w:sz w:val="24"/>
        </w:rPr>
        <w:t>）正式将人民币纳入特别提款权（</w:t>
      </w:r>
      <w:r>
        <w:rPr>
          <w:rFonts w:ascii="Times New Roman" w:hAnsi="Times New Roman"/>
          <w:sz w:val="24"/>
        </w:rPr>
        <w:t>SDR</w:t>
      </w:r>
      <w:r>
        <w:rPr>
          <w:rFonts w:ascii="宋体" w:hAnsi="宋体" w:eastAsia="宋体"/>
          <w:sz w:val="24"/>
        </w:rPr>
        <w:t>）货币篮子，权重为</w:t>
      </w:r>
      <w:r>
        <w:rPr>
          <w:rFonts w:ascii="Times New Roman" w:hAnsi="Times New Roman"/>
          <w:sz w:val="24"/>
        </w:rPr>
        <w:t>10.92%</w:t>
      </w:r>
      <w:r>
        <w:rPr>
          <w:rFonts w:ascii="宋体" w:hAnsi="宋体" w:eastAsia="宋体"/>
          <w:sz w:val="24"/>
        </w:rPr>
        <w:t>，</w:t>
      </w:r>
      <w:r>
        <w:rPr>
          <w:rFonts w:ascii="Times New Roman" w:hAnsi="Times New Roman"/>
          <w:sz w:val="24"/>
        </w:rPr>
        <w:t>2022</w:t>
      </w:r>
      <w:r>
        <w:rPr>
          <w:rFonts w:ascii="宋体" w:hAnsi="宋体" w:eastAsia="宋体"/>
          <w:sz w:val="24"/>
        </w:rPr>
        <w:t>年进一步提升至</w:t>
      </w:r>
      <w:r>
        <w:rPr>
          <w:rFonts w:ascii="Times New Roman" w:hAnsi="Times New Roman"/>
          <w:sz w:val="24"/>
        </w:rPr>
        <w:t>12.28%</w:t>
      </w:r>
      <w:r>
        <w:rPr>
          <w:rFonts w:ascii="宋体" w:hAnsi="宋体" w:eastAsia="宋体"/>
          <w:sz w:val="24"/>
        </w:rPr>
        <w:t>，标志着人民币在国际货币体系中的地位得到了制度性认可。</w:t>
      </w:r>
    </w:p>
    <w:p>
      <w:pPr>
        <w:spacing w:line="400" w:lineRule="exact" w:before="0" w:after="0"/>
        <w:ind w:firstLine="420"/>
        <w:jc w:val="both"/>
      </w:pPr>
      <w:r>
        <w:rPr>
          <w:rFonts w:ascii="宋体" w:hAnsi="宋体" w:eastAsia="宋体"/>
          <w:sz w:val="24"/>
        </w:rPr>
        <w:t>然而，当前国际货币体系仍然呈现以美元为主导的格局。据国际清算银行（</w:t>
      </w:r>
      <w:r>
        <w:rPr>
          <w:rFonts w:ascii="Times New Roman" w:hAnsi="Times New Roman"/>
          <w:sz w:val="24"/>
        </w:rPr>
        <w:t>BIS</w:t>
      </w:r>
      <w:r>
        <w:rPr>
          <w:rFonts w:ascii="宋体" w:hAnsi="宋体" w:eastAsia="宋体"/>
          <w:sz w:val="24"/>
        </w:rPr>
        <w:t>）数据，美元在全球外汇储备中的占比约为</w:t>
      </w:r>
      <w:r>
        <w:rPr>
          <w:rFonts w:ascii="Times New Roman" w:hAnsi="Times New Roman"/>
          <w:sz w:val="24"/>
        </w:rPr>
        <w:t>59%</w:t>
      </w:r>
      <w:r>
        <w:rPr>
          <w:rFonts w:ascii="宋体" w:hAnsi="宋体" w:eastAsia="宋体"/>
          <w:sz w:val="24"/>
        </w:rPr>
        <w:t>，在全球外汇交易中占比约</w:t>
      </w:r>
      <w:r>
        <w:rPr>
          <w:rFonts w:ascii="Times New Roman" w:hAnsi="Times New Roman"/>
          <w:sz w:val="24"/>
        </w:rPr>
        <w:t>88%</w:t>
      </w:r>
      <w:r>
        <w:rPr>
          <w:rFonts w:ascii="宋体" w:hAnsi="宋体" w:eastAsia="宋体"/>
          <w:sz w:val="24"/>
        </w:rPr>
        <w:t>，而人民币在全球支付中的份额仅约</w:t>
      </w:r>
      <w:r>
        <w:rPr>
          <w:rFonts w:ascii="Times New Roman" w:hAnsi="Times New Roman"/>
          <w:sz w:val="24"/>
        </w:rPr>
        <w:t>4.7%</w:t>
      </w:r>
      <w:r>
        <w:rPr>
          <w:rFonts w:ascii="宋体" w:hAnsi="宋体" w:eastAsia="宋体"/>
          <w:sz w:val="24"/>
        </w:rPr>
        <w:t>（</w:t>
      </w:r>
      <w:r>
        <w:rPr>
          <w:rFonts w:ascii="Times New Roman" w:hAnsi="Times New Roman"/>
          <w:sz w:val="24"/>
        </w:rPr>
        <w:t>SWIFT, 2025</w:t>
      </w:r>
      <w:r>
        <w:rPr>
          <w:rFonts w:ascii="宋体" w:hAnsi="宋体" w:eastAsia="宋体"/>
          <w:sz w:val="24"/>
        </w:rPr>
        <w:t>）。人民币国际化既取得了显著进展，也面临诸多挑战。本文旨在梳理人民币国际化的发展阶段、分析当前面临的主要问题，并对其未来前景进行展望。</w:t>
      </w:r>
    </w:p>
    <w:p>
      <w:pPr>
        <w:pStyle w:val="Heading1"/>
        <w:jc w:val="left"/>
      </w:pPr>
      <w:r>
        <w:t>二、人民币国际化的发展历程</w:t>
      </w:r>
    </w:p>
    <w:p>
      <w:pPr>
        <w:spacing w:line="400" w:lineRule="exact" w:before="0" w:after="0"/>
        <w:ind w:firstLine="420"/>
        <w:jc w:val="both"/>
      </w:pPr>
      <w:r>
        <w:rPr>
          <w:rFonts w:ascii="Times New Roman" w:hAnsi="Times New Roman"/>
          <w:sz w:val="24"/>
        </w:rPr>
        <w:t>2009</w:t>
      </w:r>
      <w:r>
        <w:rPr>
          <w:rFonts w:ascii="宋体" w:hAnsi="宋体" w:eastAsia="宋体"/>
          <w:sz w:val="24"/>
        </w:rPr>
        <w:t>年</w:t>
      </w:r>
      <w:r>
        <w:rPr>
          <w:rFonts w:ascii="Times New Roman" w:hAnsi="Times New Roman"/>
          <w:sz w:val="24"/>
        </w:rPr>
        <w:t>7</w:t>
      </w:r>
      <w:r>
        <w:rPr>
          <w:rFonts w:ascii="宋体" w:hAnsi="宋体" w:eastAsia="宋体"/>
          <w:sz w:val="24"/>
        </w:rPr>
        <w:t>月，中国人民银行等六部门联合发布《跨境贸易人民币结算试点管理办法》，率先在上海、广州、深圳、珠海、东莞五城市开展跨境贸易人民币结算试点。这一政策标志着人民币国际化的正式启动。</w:t>
      </w:r>
    </w:p>
    <w:p>
      <w:pPr>
        <w:spacing w:line="400" w:lineRule="exact" w:before="0" w:after="0"/>
        <w:ind w:firstLine="420"/>
        <w:jc w:val="both"/>
      </w:pPr>
      <w:r>
        <w:rPr>
          <w:rFonts w:ascii="宋体" w:hAnsi="宋体" w:eastAsia="宋体"/>
          <w:sz w:val="24"/>
        </w:rPr>
        <w:t>随后几年，人民币国际化在贸易结算、跨境直接投资、货币互换等领域快速推进：</w:t>
      </w:r>
    </w:p>
    <w:p>
      <w:pPr>
        <w:pStyle w:val="Heading2"/>
        <w:jc w:val="left"/>
      </w:pPr>
      <w:r>
        <w:t>（一）起步阶段（2009—2015年）</w:t>
      </w:r>
    </w:p>
    <w:p>
      <w:pPr>
        <w:pStyle w:val="Heading2"/>
        <w:jc w:val="left"/>
      </w:pPr>
      <w:r>
        <w:t>起步阶段的具体进展</w:t>
      </w:r>
    </w:p>
    <w:p>
      <w:pPr>
        <w:spacing w:line="400" w:lineRule="exact" w:before="0" w:after="0"/>
        <w:ind w:left="420" w:firstLine="0"/>
        <w:jc w:val="both"/>
      </w:pPr>
      <w:r>
        <w:rPr>
          <w:rFonts w:ascii="Times New Roman" w:hAnsi="Times New Roman"/>
          <w:sz w:val="24"/>
        </w:rPr>
        <w:t xml:space="preserve">1. </w:t>
      </w:r>
      <w:r>
        <w:rPr>
          <w:rFonts w:ascii="宋体" w:hAnsi="宋体" w:eastAsia="宋体"/>
          <w:sz w:val="24"/>
        </w:rPr>
        <w:t>贸易结算：跨境贸易人民币结算金额从</w:t>
      </w:r>
      <w:r>
        <w:rPr>
          <w:rFonts w:ascii="Times New Roman" w:hAnsi="Times New Roman"/>
          <w:sz w:val="24"/>
        </w:rPr>
        <w:t>2010</w:t>
      </w:r>
      <w:r>
        <w:rPr>
          <w:rFonts w:ascii="宋体" w:hAnsi="宋体" w:eastAsia="宋体"/>
          <w:sz w:val="24"/>
        </w:rPr>
        <w:t>年的</w:t>
      </w:r>
      <w:r>
        <w:rPr>
          <w:rFonts w:ascii="Times New Roman" w:hAnsi="Times New Roman"/>
          <w:sz w:val="24"/>
        </w:rPr>
        <w:t>5,000</w:t>
      </w:r>
      <w:r>
        <w:rPr>
          <w:rFonts w:ascii="宋体" w:hAnsi="宋体" w:eastAsia="宋体"/>
          <w:sz w:val="24"/>
        </w:rPr>
        <w:t>亿元增长至</w:t>
      </w:r>
      <w:r>
        <w:rPr>
          <w:rFonts w:ascii="Times New Roman" w:hAnsi="Times New Roman"/>
          <w:sz w:val="24"/>
        </w:rPr>
        <w:t>2015</w:t>
      </w:r>
      <w:r>
        <w:rPr>
          <w:rFonts w:ascii="宋体" w:hAnsi="宋体" w:eastAsia="宋体"/>
          <w:sz w:val="24"/>
        </w:rPr>
        <w:t>年的</w:t>
      </w:r>
      <w:r>
        <w:rPr>
          <w:rFonts w:ascii="Times New Roman" w:hAnsi="Times New Roman"/>
          <w:sz w:val="24"/>
        </w:rPr>
        <w:t>7.2</w:t>
      </w:r>
      <w:r>
        <w:rPr>
          <w:rFonts w:ascii="宋体" w:hAnsi="宋体" w:eastAsia="宋体"/>
          <w:sz w:val="24"/>
        </w:rPr>
        <w:t>万亿元，年均增速超过</w:t>
      </w:r>
      <w:r>
        <w:rPr>
          <w:rFonts w:ascii="Times New Roman" w:hAnsi="Times New Roman"/>
          <w:sz w:val="24"/>
        </w:rPr>
        <w:t>60%</w:t>
      </w:r>
      <w:r>
        <w:rPr>
          <w:rFonts w:ascii="宋体" w:hAnsi="宋体" w:eastAsia="宋体"/>
          <w:sz w:val="24"/>
        </w:rPr>
        <w:t>。</w:t>
      </w:r>
    </w:p>
    <w:p>
      <w:pPr>
        <w:spacing w:line="400" w:lineRule="exact" w:before="0" w:after="0"/>
        <w:ind w:left="420" w:firstLine="0"/>
        <w:jc w:val="both"/>
      </w:pPr>
      <w:r>
        <w:rPr>
          <w:rFonts w:ascii="Times New Roman" w:hAnsi="Times New Roman"/>
          <w:sz w:val="24"/>
        </w:rPr>
        <w:t xml:space="preserve">2. </w:t>
      </w:r>
      <w:r>
        <w:rPr>
          <w:rFonts w:ascii="宋体" w:hAnsi="宋体" w:eastAsia="宋体"/>
          <w:sz w:val="24"/>
        </w:rPr>
        <w:t>货币互换：中国人民银行与</w:t>
      </w:r>
      <w:r>
        <w:rPr>
          <w:rFonts w:ascii="Times New Roman" w:hAnsi="Times New Roman"/>
          <w:sz w:val="24"/>
        </w:rPr>
        <w:t>40</w:t>
      </w:r>
      <w:r>
        <w:rPr>
          <w:rFonts w:ascii="宋体" w:hAnsi="宋体" w:eastAsia="宋体"/>
          <w:sz w:val="24"/>
        </w:rPr>
        <w:t>多个国家和地区央行签署了双边本币互换协议，总规模超过</w:t>
      </w:r>
      <w:r>
        <w:rPr>
          <w:rFonts w:ascii="Times New Roman" w:hAnsi="Times New Roman"/>
          <w:sz w:val="24"/>
        </w:rPr>
        <w:t>3</w:t>
      </w:r>
      <w:r>
        <w:rPr>
          <w:rFonts w:ascii="宋体" w:hAnsi="宋体" w:eastAsia="宋体"/>
          <w:sz w:val="24"/>
        </w:rPr>
        <w:t>万亿元。</w:t>
      </w:r>
    </w:p>
    <w:p>
      <w:pPr>
        <w:spacing w:line="400" w:lineRule="exact" w:before="0" w:after="0"/>
        <w:ind w:left="420" w:firstLine="0"/>
        <w:jc w:val="both"/>
      </w:pPr>
      <w:r>
        <w:rPr>
          <w:rFonts w:ascii="Times New Roman" w:hAnsi="Times New Roman"/>
          <w:sz w:val="24"/>
        </w:rPr>
        <w:t xml:space="preserve">3. </w:t>
      </w:r>
      <w:r>
        <w:rPr>
          <w:rFonts w:ascii="宋体" w:hAnsi="宋体" w:eastAsia="宋体"/>
          <w:sz w:val="24"/>
        </w:rPr>
        <w:t>离岸市场：香港、伦敦、新加坡等地相继建立人民币离岸中心，</w:t>
      </w:r>
      <w:r>
        <w:rPr>
          <w:rFonts w:ascii="Times New Roman" w:hAnsi="Times New Roman"/>
          <w:sz w:val="24"/>
        </w:rPr>
        <w:t>CNH</w:t>
      </w:r>
      <w:r>
        <w:rPr>
          <w:rFonts w:ascii="宋体" w:hAnsi="宋体" w:eastAsia="宋体"/>
          <w:sz w:val="24"/>
        </w:rPr>
        <w:t>（离岸人民币）市场初步形成。</w:t>
      </w:r>
    </w:p>
    <w:p>
      <w:pPr>
        <w:spacing w:line="400" w:lineRule="exact" w:before="0" w:after="0"/>
        <w:ind w:left="420" w:firstLine="0"/>
        <w:jc w:val="both"/>
      </w:pPr>
      <w:r>
        <w:rPr>
          <w:rFonts w:ascii="Times New Roman" w:hAnsi="Times New Roman"/>
          <w:sz w:val="24"/>
        </w:rPr>
        <w:t>4. SDR</w:t>
      </w:r>
      <w:r>
        <w:rPr>
          <w:rFonts w:ascii="宋体" w:hAnsi="宋体" w:eastAsia="宋体"/>
          <w:sz w:val="24"/>
        </w:rPr>
        <w:t>入篮：</w:t>
      </w:r>
      <w:r>
        <w:rPr>
          <w:rFonts w:ascii="Times New Roman" w:hAnsi="Times New Roman"/>
          <w:sz w:val="24"/>
        </w:rPr>
        <w:t>2015</w:t>
      </w:r>
      <w:r>
        <w:rPr>
          <w:rFonts w:ascii="宋体" w:hAnsi="宋体" w:eastAsia="宋体"/>
          <w:sz w:val="24"/>
        </w:rPr>
        <w:t>年</w:t>
      </w:r>
      <w:r>
        <w:rPr>
          <w:rFonts w:ascii="Times New Roman" w:hAnsi="Times New Roman"/>
          <w:sz w:val="24"/>
        </w:rPr>
        <w:t>11</w:t>
      </w:r>
      <w:r>
        <w:rPr>
          <w:rFonts w:ascii="宋体" w:hAnsi="宋体" w:eastAsia="宋体"/>
          <w:sz w:val="24"/>
        </w:rPr>
        <w:t>月，</w:t>
      </w:r>
      <w:r>
        <w:rPr>
          <w:rFonts w:ascii="Times New Roman" w:hAnsi="Times New Roman"/>
          <w:sz w:val="24"/>
        </w:rPr>
        <w:t>IMF</w:t>
      </w:r>
      <w:r>
        <w:rPr>
          <w:rFonts w:ascii="宋体" w:hAnsi="宋体" w:eastAsia="宋体"/>
          <w:sz w:val="24"/>
        </w:rPr>
        <w:t>执行董事会决定将人民币纳入</w:t>
      </w:r>
      <w:r>
        <w:rPr>
          <w:rFonts w:ascii="Times New Roman" w:hAnsi="Times New Roman"/>
          <w:sz w:val="24"/>
        </w:rPr>
        <w:t>SDR</w:t>
      </w:r>
      <w:r>
        <w:rPr>
          <w:rFonts w:ascii="宋体" w:hAnsi="宋体" w:eastAsia="宋体"/>
          <w:sz w:val="24"/>
        </w:rPr>
        <w:t>货币篮子，于</w:t>
      </w:r>
      <w:r>
        <w:rPr>
          <w:rFonts w:ascii="Times New Roman" w:hAnsi="Times New Roman"/>
          <w:sz w:val="24"/>
        </w:rPr>
        <w:t>2016</w:t>
      </w:r>
      <w:r>
        <w:rPr>
          <w:rFonts w:ascii="宋体" w:hAnsi="宋体" w:eastAsia="宋体"/>
          <w:sz w:val="24"/>
        </w:rPr>
        <w:t>年</w:t>
      </w:r>
      <w:r>
        <w:rPr>
          <w:rFonts w:ascii="Times New Roman" w:hAnsi="Times New Roman"/>
          <w:sz w:val="24"/>
        </w:rPr>
        <w:t>10</w:t>
      </w:r>
      <w:r>
        <w:rPr>
          <w:rFonts w:ascii="宋体" w:hAnsi="宋体" w:eastAsia="宋体"/>
          <w:sz w:val="24"/>
        </w:rPr>
        <w:t>月正式生效，成为继美元、欧元、日元、英镑之后的第五种</w:t>
      </w:r>
      <w:r>
        <w:rPr>
          <w:rFonts w:ascii="Times New Roman" w:hAnsi="Times New Roman"/>
          <w:sz w:val="24"/>
        </w:rPr>
        <w:t>SDR</w:t>
      </w:r>
      <w:r>
        <w:rPr>
          <w:rFonts w:ascii="宋体" w:hAnsi="宋体" w:eastAsia="宋体"/>
          <w:sz w:val="24"/>
        </w:rPr>
        <w:t>篮子货币。</w:t>
      </w:r>
    </w:p>
    <w:p>
      <w:pPr>
        <w:pStyle w:val="Heading2"/>
        <w:jc w:val="left"/>
      </w:pPr>
      <w:r>
        <w:t>（二）调整阶段（2016—2021年）</w:t>
      </w:r>
    </w:p>
    <w:p>
      <w:pPr>
        <w:spacing w:line="400" w:lineRule="exact" w:before="0" w:after="0"/>
        <w:ind w:firstLine="420"/>
        <w:jc w:val="both"/>
      </w:pPr>
      <w:r>
        <w:rPr>
          <w:rFonts w:ascii="Times New Roman" w:hAnsi="Times New Roman"/>
          <w:sz w:val="24"/>
        </w:rPr>
        <w:t>2015</w:t>
      </w:r>
      <w:r>
        <w:rPr>
          <w:rFonts w:ascii="宋体" w:hAnsi="宋体" w:eastAsia="宋体"/>
          <w:sz w:val="24"/>
        </w:rPr>
        <w:t>年“</w:t>
      </w:r>
      <w:r>
        <w:rPr>
          <w:rFonts w:ascii="Times New Roman" w:hAnsi="Times New Roman"/>
          <w:sz w:val="24"/>
        </w:rPr>
        <w:t>8</w:t>
      </w:r>
      <w:r>
        <w:rPr>
          <w:rFonts w:ascii="宋体" w:hAnsi="宋体" w:eastAsia="宋体"/>
          <w:sz w:val="24"/>
        </w:rPr>
        <w:t>·</w:t>
      </w:r>
      <w:r>
        <w:rPr>
          <w:rFonts w:ascii="Times New Roman" w:hAnsi="Times New Roman"/>
          <w:sz w:val="24"/>
        </w:rPr>
        <w:t>11</w:t>
      </w:r>
      <w:r>
        <w:rPr>
          <w:rFonts w:ascii="宋体" w:hAnsi="宋体" w:eastAsia="宋体"/>
          <w:sz w:val="24"/>
        </w:rPr>
        <w:t>”汇改之后，人民币国际化进入调整期。受美联储加息预期、中国经济增速放缓、资本流出压力增大等因素影响，人民币跨境使用规模出现阶段性回落。</w:t>
      </w:r>
    </w:p>
    <w:p>
      <w:pPr>
        <w:spacing w:line="400" w:lineRule="exact" w:before="0" w:after="0"/>
        <w:ind w:firstLine="420"/>
        <w:jc w:val="both"/>
      </w:pPr>
      <w:r>
        <w:rPr>
          <w:rFonts w:ascii="宋体" w:hAnsi="宋体" w:eastAsia="宋体"/>
          <w:sz w:val="24"/>
        </w:rPr>
        <w:t>但这一阶段的调整并非倒退，而是从数量扩张转向质量提升：</w:t>
      </w:r>
    </w:p>
    <w:p>
      <w:pPr>
        <w:pStyle w:val="Heading2"/>
        <w:jc w:val="left"/>
      </w:pPr>
      <w:r>
        <w:t>调整阶段的具体进展</w:t>
      </w:r>
    </w:p>
    <w:p>
      <w:pPr>
        <w:spacing w:line="400" w:lineRule="exact" w:before="0" w:after="0"/>
        <w:ind w:left="420" w:firstLine="0"/>
        <w:jc w:val="both"/>
      </w:pPr>
      <w:r>
        <w:rPr>
          <w:rFonts w:ascii="Times New Roman" w:hAnsi="Times New Roman"/>
          <w:sz w:val="24"/>
        </w:rPr>
        <w:t xml:space="preserve">1. </w:t>
      </w:r>
      <w:r>
        <w:rPr>
          <w:rFonts w:ascii="宋体" w:hAnsi="宋体" w:eastAsia="宋体"/>
          <w:sz w:val="24"/>
        </w:rPr>
        <w:t>金融市场开放：沪港通（</w:t>
      </w:r>
      <w:r>
        <w:rPr>
          <w:rFonts w:ascii="Times New Roman" w:hAnsi="Times New Roman"/>
          <w:sz w:val="24"/>
        </w:rPr>
        <w:t>2014</w:t>
      </w:r>
      <w:r>
        <w:rPr>
          <w:rFonts w:ascii="宋体" w:hAnsi="宋体" w:eastAsia="宋体"/>
          <w:sz w:val="24"/>
        </w:rPr>
        <w:t>）、深港通（</w:t>
      </w:r>
      <w:r>
        <w:rPr>
          <w:rFonts w:ascii="Times New Roman" w:hAnsi="Times New Roman"/>
          <w:sz w:val="24"/>
        </w:rPr>
        <w:t>2016</w:t>
      </w:r>
      <w:r>
        <w:rPr>
          <w:rFonts w:ascii="宋体" w:hAnsi="宋体" w:eastAsia="宋体"/>
          <w:sz w:val="24"/>
        </w:rPr>
        <w:t>）、债券通（</w:t>
      </w:r>
      <w:r>
        <w:rPr>
          <w:rFonts w:ascii="Times New Roman" w:hAnsi="Times New Roman"/>
          <w:sz w:val="24"/>
        </w:rPr>
        <w:t>2017</w:t>
      </w:r>
      <w:r>
        <w:rPr>
          <w:rFonts w:ascii="宋体" w:hAnsi="宋体" w:eastAsia="宋体"/>
          <w:sz w:val="24"/>
        </w:rPr>
        <w:t>）、沪伦通（</w:t>
      </w:r>
      <w:r>
        <w:rPr>
          <w:rFonts w:ascii="Times New Roman" w:hAnsi="Times New Roman"/>
          <w:sz w:val="24"/>
        </w:rPr>
        <w:t>2019</w:t>
      </w:r>
      <w:r>
        <w:rPr>
          <w:rFonts w:ascii="宋体" w:hAnsi="宋体" w:eastAsia="宋体"/>
          <w:sz w:val="24"/>
        </w:rPr>
        <w:t>）等互联互通机制陆续推出，为境外投资者参与中国金融市场提供了便利渠道。</w:t>
      </w:r>
    </w:p>
    <w:p>
      <w:pPr>
        <w:spacing w:line="400" w:lineRule="exact" w:before="0" w:after="0"/>
        <w:ind w:left="420" w:firstLine="0"/>
        <w:jc w:val="both"/>
      </w:pPr>
      <w:r>
        <w:rPr>
          <w:rFonts w:ascii="Times New Roman" w:hAnsi="Times New Roman"/>
          <w:sz w:val="24"/>
        </w:rPr>
        <w:t xml:space="preserve">2. </w:t>
      </w:r>
      <w:r>
        <w:rPr>
          <w:rFonts w:ascii="宋体" w:hAnsi="宋体" w:eastAsia="宋体"/>
          <w:sz w:val="24"/>
        </w:rPr>
        <w:t>原油期货人民币计价：</w:t>
      </w:r>
      <w:r>
        <w:rPr>
          <w:rFonts w:ascii="Times New Roman" w:hAnsi="Times New Roman"/>
          <w:sz w:val="24"/>
        </w:rPr>
        <w:t>2018</w:t>
      </w:r>
      <w:r>
        <w:rPr>
          <w:rFonts w:ascii="宋体" w:hAnsi="宋体" w:eastAsia="宋体"/>
          <w:sz w:val="24"/>
        </w:rPr>
        <w:t>年</w:t>
      </w:r>
      <w:r>
        <w:rPr>
          <w:rFonts w:ascii="Times New Roman" w:hAnsi="Times New Roman"/>
          <w:sz w:val="24"/>
        </w:rPr>
        <w:t>3</w:t>
      </w:r>
      <w:r>
        <w:rPr>
          <w:rFonts w:ascii="宋体" w:hAnsi="宋体" w:eastAsia="宋体"/>
          <w:sz w:val="24"/>
        </w:rPr>
        <w:t>月，上海国际能源交易中心推出以人民币计价的原油期货合约，这是中国首个面向境外投资者的期货品种。</w:t>
      </w:r>
    </w:p>
    <w:p>
      <w:pPr>
        <w:spacing w:line="400" w:lineRule="exact" w:before="0" w:after="0"/>
        <w:ind w:left="420" w:firstLine="0"/>
        <w:jc w:val="both"/>
      </w:pPr>
      <w:r>
        <w:rPr>
          <w:rFonts w:ascii="Times New Roman" w:hAnsi="Times New Roman"/>
          <w:sz w:val="24"/>
        </w:rPr>
        <w:t>3. CIPS</w:t>
      </w:r>
      <w:r>
        <w:rPr>
          <w:rFonts w:ascii="宋体" w:hAnsi="宋体" w:eastAsia="宋体"/>
          <w:sz w:val="24"/>
        </w:rPr>
        <w:t>系统建设：人民币跨境支付系统（</w:t>
      </w:r>
      <w:r>
        <w:rPr>
          <w:rFonts w:ascii="Times New Roman" w:hAnsi="Times New Roman"/>
          <w:sz w:val="24"/>
        </w:rPr>
        <w:t>CIPS</w:t>
      </w:r>
      <w:r>
        <w:rPr>
          <w:rFonts w:ascii="宋体" w:hAnsi="宋体" w:eastAsia="宋体"/>
          <w:sz w:val="24"/>
        </w:rPr>
        <w:t>）一期于</w:t>
      </w:r>
      <w:r>
        <w:rPr>
          <w:rFonts w:ascii="Times New Roman" w:hAnsi="Times New Roman"/>
          <w:sz w:val="24"/>
        </w:rPr>
        <w:t>2015</w:t>
      </w:r>
      <w:r>
        <w:rPr>
          <w:rFonts w:ascii="宋体" w:hAnsi="宋体" w:eastAsia="宋体"/>
          <w:sz w:val="24"/>
        </w:rPr>
        <w:t>年上线，二期于</w:t>
      </w:r>
      <w:r>
        <w:rPr>
          <w:rFonts w:ascii="Times New Roman" w:hAnsi="Times New Roman"/>
          <w:sz w:val="24"/>
        </w:rPr>
        <w:t>2018</w:t>
      </w:r>
      <w:r>
        <w:rPr>
          <w:rFonts w:ascii="宋体" w:hAnsi="宋体" w:eastAsia="宋体"/>
          <w:sz w:val="24"/>
        </w:rPr>
        <w:t>年投产，为人民币跨境清算提供了独立、高效的基础设施。</w:t>
      </w:r>
    </w:p>
    <w:p>
      <w:pPr>
        <w:spacing w:line="400" w:lineRule="exact" w:before="0" w:after="0"/>
        <w:ind w:left="420" w:firstLine="0"/>
        <w:jc w:val="both"/>
      </w:pPr>
      <w:r>
        <w:rPr>
          <w:rFonts w:ascii="Times New Roman" w:hAnsi="Times New Roman"/>
          <w:sz w:val="24"/>
        </w:rPr>
        <w:t xml:space="preserve">4. </w:t>
      </w:r>
      <w:r>
        <w:rPr>
          <w:rFonts w:ascii="宋体" w:hAnsi="宋体" w:eastAsia="宋体"/>
          <w:sz w:val="24"/>
        </w:rPr>
        <w:t>数字人民币试点：</w:t>
      </w:r>
      <w:r>
        <w:rPr>
          <w:rFonts w:ascii="Times New Roman" w:hAnsi="Times New Roman"/>
          <w:sz w:val="24"/>
        </w:rPr>
        <w:t>2020</w:t>
      </w:r>
      <w:r>
        <w:rPr>
          <w:rFonts w:ascii="宋体" w:hAnsi="宋体" w:eastAsia="宋体"/>
          <w:sz w:val="24"/>
        </w:rPr>
        <w:t>年起，中国人民银行在多个城市开展数字人民币（</w:t>
      </w:r>
      <w:r>
        <w:rPr>
          <w:rFonts w:ascii="Times New Roman" w:hAnsi="Times New Roman"/>
          <w:sz w:val="24"/>
        </w:rPr>
        <w:t>e-CNY</w:t>
      </w:r>
      <w:r>
        <w:rPr>
          <w:rFonts w:ascii="宋体" w:hAnsi="宋体" w:eastAsia="宋体"/>
          <w:sz w:val="24"/>
        </w:rPr>
        <w:t>）试点，探索央行数字货币在跨境支付中的应用潜力。</w:t>
      </w:r>
    </w:p>
    <w:p>
      <w:pPr>
        <w:pStyle w:val="Heading2"/>
        <w:jc w:val="left"/>
      </w:pPr>
      <w:r>
        <w:t>（三）加速阶段（2022年至今）</w:t>
      </w:r>
    </w:p>
    <w:p>
      <w:pPr>
        <w:spacing w:line="400" w:lineRule="exact" w:before="0" w:after="0"/>
        <w:ind w:firstLine="420"/>
        <w:jc w:val="both"/>
      </w:pPr>
      <w:r>
        <w:rPr>
          <w:rFonts w:ascii="Times New Roman" w:hAnsi="Times New Roman"/>
          <w:sz w:val="24"/>
        </w:rPr>
        <w:t>2022</w:t>
      </w:r>
      <w:r>
        <w:rPr>
          <w:rFonts w:ascii="宋体" w:hAnsi="宋体" w:eastAsia="宋体"/>
          <w:sz w:val="24"/>
        </w:rPr>
        <w:t>年俄乌冲突爆发后，美国对俄罗斯实施金融制裁，将部分俄罗斯银行排除在</w:t>
      </w:r>
      <w:r>
        <w:rPr>
          <w:rFonts w:ascii="Times New Roman" w:hAnsi="Times New Roman"/>
          <w:sz w:val="24"/>
        </w:rPr>
        <w:t>SWIFT</w:t>
      </w:r>
      <w:r>
        <w:rPr>
          <w:rFonts w:ascii="宋体" w:hAnsi="宋体" w:eastAsia="宋体"/>
          <w:sz w:val="24"/>
        </w:rPr>
        <w:t>系统之外。这一事件引发全球对美元霸权的重新思考，推动了许多国家加速“去美元化”进程，客观上为人民币国际化提供了新的战略机遇。</w:t>
      </w:r>
    </w:p>
    <w:p>
      <w:pPr>
        <w:pStyle w:val="Heading2"/>
        <w:jc w:val="left"/>
      </w:pPr>
      <w:r>
        <w:t>加速阶段的具体进展</w:t>
      </w:r>
    </w:p>
    <w:p>
      <w:pPr>
        <w:spacing w:line="400" w:lineRule="exact" w:before="0" w:after="0"/>
        <w:ind w:left="420" w:firstLine="0"/>
        <w:jc w:val="both"/>
      </w:pPr>
      <w:r>
        <w:rPr>
          <w:rFonts w:ascii="Times New Roman" w:hAnsi="Times New Roman"/>
          <w:sz w:val="24"/>
        </w:rPr>
        <w:t xml:space="preserve">1. </w:t>
      </w:r>
      <w:r>
        <w:rPr>
          <w:rFonts w:ascii="宋体" w:hAnsi="宋体" w:eastAsia="宋体"/>
          <w:sz w:val="24"/>
        </w:rPr>
        <w:t>全球支付份额持续上升：据</w:t>
      </w:r>
      <w:r>
        <w:rPr>
          <w:rFonts w:ascii="Times New Roman" w:hAnsi="Times New Roman"/>
          <w:sz w:val="24"/>
        </w:rPr>
        <w:t>SWIFT</w:t>
      </w:r>
      <w:r>
        <w:rPr>
          <w:rFonts w:ascii="宋体" w:hAnsi="宋体" w:eastAsia="宋体"/>
          <w:sz w:val="24"/>
        </w:rPr>
        <w:t>数据，人民币在全球支付中的份额从</w:t>
      </w:r>
      <w:r>
        <w:rPr>
          <w:rFonts w:ascii="Times New Roman" w:hAnsi="Times New Roman"/>
          <w:sz w:val="24"/>
        </w:rPr>
        <w:t>2022</w:t>
      </w:r>
      <w:r>
        <w:rPr>
          <w:rFonts w:ascii="宋体" w:hAnsi="宋体" w:eastAsia="宋体"/>
          <w:sz w:val="24"/>
        </w:rPr>
        <w:t>年初的约</w:t>
      </w:r>
      <w:r>
        <w:rPr>
          <w:rFonts w:ascii="Times New Roman" w:hAnsi="Times New Roman"/>
          <w:sz w:val="24"/>
        </w:rPr>
        <w:t>2%</w:t>
      </w:r>
      <w:r>
        <w:rPr>
          <w:rFonts w:ascii="宋体" w:hAnsi="宋体" w:eastAsia="宋体"/>
          <w:sz w:val="24"/>
        </w:rPr>
        <w:t>上升至</w:t>
      </w:r>
      <w:r>
        <w:rPr>
          <w:rFonts w:ascii="Times New Roman" w:hAnsi="Times New Roman"/>
          <w:sz w:val="24"/>
        </w:rPr>
        <w:t>2025</w:t>
      </w:r>
      <w:r>
        <w:rPr>
          <w:rFonts w:ascii="宋体" w:hAnsi="宋体" w:eastAsia="宋体"/>
          <w:sz w:val="24"/>
        </w:rPr>
        <w:t>年的</w:t>
      </w:r>
      <w:r>
        <w:rPr>
          <w:rFonts w:ascii="Times New Roman" w:hAnsi="Times New Roman"/>
          <w:sz w:val="24"/>
        </w:rPr>
        <w:t>4.7%</w:t>
      </w:r>
      <w:r>
        <w:rPr>
          <w:rFonts w:ascii="宋体" w:hAnsi="宋体" w:eastAsia="宋体"/>
          <w:sz w:val="24"/>
        </w:rPr>
        <w:t>，超越日元成为全球第四大支付货币。</w:t>
      </w:r>
    </w:p>
    <w:p>
      <w:pPr>
        <w:spacing w:line="400" w:lineRule="exact" w:before="0" w:after="0"/>
        <w:ind w:left="420" w:firstLine="0"/>
        <w:jc w:val="both"/>
      </w:pPr>
      <w:r>
        <w:rPr>
          <w:rFonts w:ascii="Times New Roman" w:hAnsi="Times New Roman"/>
          <w:sz w:val="24"/>
        </w:rPr>
        <w:t xml:space="preserve">2. </w:t>
      </w:r>
      <w:r>
        <w:rPr>
          <w:rFonts w:ascii="宋体" w:hAnsi="宋体" w:eastAsia="宋体"/>
          <w:sz w:val="24"/>
        </w:rPr>
        <w:t>双边本币结算扩大：中国与俄罗斯、巴西、阿根廷、沙特等多国签署本币结算协议，减少对美元的依赖。</w:t>
      </w:r>
    </w:p>
    <w:p>
      <w:pPr>
        <w:spacing w:line="400" w:lineRule="exact" w:before="0" w:after="0"/>
        <w:ind w:left="420" w:firstLine="0"/>
        <w:jc w:val="both"/>
      </w:pPr>
      <w:r>
        <w:rPr>
          <w:rFonts w:ascii="Times New Roman" w:hAnsi="Times New Roman"/>
          <w:sz w:val="24"/>
        </w:rPr>
        <w:t xml:space="preserve">3. </w:t>
      </w:r>
      <w:r>
        <w:rPr>
          <w:rFonts w:ascii="宋体" w:hAnsi="宋体" w:eastAsia="宋体"/>
          <w:sz w:val="24"/>
        </w:rPr>
        <w:t>“一带一路”沿线推广：人民币在中国与“一带一路”沿线国家的跨境收付金额占比从</w:t>
      </w:r>
      <w:r>
        <w:rPr>
          <w:rFonts w:ascii="Times New Roman" w:hAnsi="Times New Roman"/>
          <w:sz w:val="24"/>
        </w:rPr>
        <w:t>2018</w:t>
      </w:r>
      <w:r>
        <w:rPr>
          <w:rFonts w:ascii="宋体" w:hAnsi="宋体" w:eastAsia="宋体"/>
          <w:sz w:val="24"/>
        </w:rPr>
        <w:t>年的</w:t>
      </w:r>
      <w:r>
        <w:rPr>
          <w:rFonts w:ascii="Times New Roman" w:hAnsi="Times New Roman"/>
          <w:sz w:val="24"/>
        </w:rPr>
        <w:t>35%</w:t>
      </w:r>
      <w:r>
        <w:rPr>
          <w:rFonts w:ascii="宋体" w:hAnsi="宋体" w:eastAsia="宋体"/>
          <w:sz w:val="24"/>
        </w:rPr>
        <w:t>提升至</w:t>
      </w:r>
      <w:r>
        <w:rPr>
          <w:rFonts w:ascii="Times New Roman" w:hAnsi="Times New Roman"/>
          <w:sz w:val="24"/>
        </w:rPr>
        <w:t>2024</w:t>
      </w:r>
      <w:r>
        <w:rPr>
          <w:rFonts w:ascii="宋体" w:hAnsi="宋体" w:eastAsia="宋体"/>
          <w:sz w:val="24"/>
        </w:rPr>
        <w:t>年的</w:t>
      </w:r>
      <w:r>
        <w:rPr>
          <w:rFonts w:ascii="Times New Roman" w:hAnsi="Times New Roman"/>
          <w:sz w:val="24"/>
        </w:rPr>
        <w:t>50%</w:t>
      </w:r>
      <w:r>
        <w:rPr>
          <w:rFonts w:ascii="宋体" w:hAnsi="宋体" w:eastAsia="宋体"/>
          <w:sz w:val="24"/>
        </w:rPr>
        <w:t>以上（中国人民银行</w:t>
      </w:r>
      <w:r>
        <w:rPr>
          <w:rFonts w:ascii="Times New Roman" w:hAnsi="Times New Roman"/>
          <w:sz w:val="24"/>
        </w:rPr>
        <w:t>, 2025</w:t>
      </w:r>
      <w:r>
        <w:rPr>
          <w:rFonts w:ascii="宋体" w:hAnsi="宋体" w:eastAsia="宋体"/>
          <w:sz w:val="24"/>
        </w:rPr>
        <w:t>）。</w:t>
      </w:r>
    </w:p>
    <w:p>
      <w:pPr>
        <w:spacing w:line="400" w:lineRule="exact" w:before="0" w:after="0"/>
        <w:ind w:left="420" w:firstLine="0"/>
        <w:jc w:val="both"/>
      </w:pPr>
      <w:r>
        <w:rPr>
          <w:rFonts w:ascii="Times New Roman" w:hAnsi="Times New Roman"/>
          <w:sz w:val="24"/>
        </w:rPr>
        <w:t xml:space="preserve">4. </w:t>
      </w:r>
      <w:r>
        <w:rPr>
          <w:rFonts w:ascii="宋体" w:hAnsi="宋体" w:eastAsia="宋体"/>
          <w:sz w:val="24"/>
        </w:rPr>
        <w:t>外汇储备地位提升：据</w:t>
      </w:r>
      <w:r>
        <w:rPr>
          <w:rFonts w:ascii="Times New Roman" w:hAnsi="Times New Roman"/>
          <w:sz w:val="24"/>
        </w:rPr>
        <w:t>IMF</w:t>
      </w:r>
      <w:r>
        <w:rPr>
          <w:rFonts w:ascii="宋体" w:hAnsi="宋体" w:eastAsia="宋体"/>
          <w:sz w:val="24"/>
        </w:rPr>
        <w:t>《</w:t>
      </w:r>
      <w:r>
        <w:rPr>
          <w:rFonts w:ascii="Times New Roman" w:hAnsi="Times New Roman"/>
          <w:sz w:val="24"/>
        </w:rPr>
        <w:t>COFER</w:t>
      </w:r>
      <w:r>
        <w:rPr>
          <w:rFonts w:ascii="宋体" w:hAnsi="宋体" w:eastAsia="宋体"/>
          <w:sz w:val="24"/>
        </w:rPr>
        <w:t>》数据，人民币在全球官方外汇储备中的占比约为</w:t>
      </w:r>
      <w:r>
        <w:rPr>
          <w:rFonts w:ascii="Times New Roman" w:hAnsi="Times New Roman"/>
          <w:sz w:val="24"/>
        </w:rPr>
        <w:t>2.9%</w:t>
      </w:r>
      <w:r>
        <w:rPr>
          <w:rFonts w:ascii="宋体" w:hAnsi="宋体" w:eastAsia="宋体"/>
          <w:sz w:val="24"/>
        </w:rPr>
        <w:t>，较</w:t>
      </w:r>
      <w:r>
        <w:rPr>
          <w:rFonts w:ascii="Times New Roman" w:hAnsi="Times New Roman"/>
          <w:sz w:val="24"/>
        </w:rPr>
        <w:t>2016</w:t>
      </w:r>
      <w:r>
        <w:rPr>
          <w:rFonts w:ascii="宋体" w:hAnsi="宋体" w:eastAsia="宋体"/>
          <w:sz w:val="24"/>
        </w:rPr>
        <w:t>年的</w:t>
      </w:r>
      <w:r>
        <w:rPr>
          <w:rFonts w:ascii="Times New Roman" w:hAnsi="Times New Roman"/>
          <w:sz w:val="24"/>
        </w:rPr>
        <w:t>1.1%</w:t>
      </w:r>
      <w:r>
        <w:rPr>
          <w:rFonts w:ascii="宋体" w:hAnsi="宋体" w:eastAsia="宋体"/>
          <w:sz w:val="24"/>
        </w:rPr>
        <w:t>有显著提升。</w:t>
      </w:r>
    </w:p>
    <w:p>
      <w:pPr>
        <w:pStyle w:val="Heading1"/>
        <w:jc w:val="left"/>
      </w:pPr>
      <w:r>
        <w:t>三、人民币国际化面临的主要挑战</w:t>
      </w:r>
    </w:p>
    <w:p>
      <w:pPr>
        <w:spacing w:line="400" w:lineRule="exact" w:before="0" w:after="0"/>
        <w:ind w:firstLine="420"/>
        <w:jc w:val="both"/>
      </w:pPr>
      <w:r>
        <w:rPr>
          <w:rFonts w:ascii="宋体" w:hAnsi="宋体" w:eastAsia="宋体"/>
          <w:sz w:val="24"/>
        </w:rPr>
        <w:t>尽管人民币国际化取得了长足进展，但与美元、欧元相比仍存在较大差距，面临以下主要挑战：</w:t>
      </w:r>
    </w:p>
    <w:p>
      <w:pPr>
        <w:pStyle w:val="Heading2"/>
        <w:jc w:val="left"/>
      </w:pPr>
      <w:r>
        <w:t>（一）资本账户开放程度有限</w:t>
      </w:r>
    </w:p>
    <w:p>
      <w:pPr>
        <w:spacing w:line="400" w:lineRule="exact" w:before="0" w:after="0"/>
        <w:ind w:firstLine="420"/>
        <w:jc w:val="both"/>
      </w:pPr>
      <w:r>
        <w:rPr>
          <w:rFonts w:ascii="宋体" w:hAnsi="宋体" w:eastAsia="宋体"/>
          <w:sz w:val="24"/>
        </w:rPr>
        <w:t>人民币国际化的核心障碍之一是中国资本账户尚未完全开放。中国实行有管理的浮动汇率制度，对资本流动仍存在一定程度的管制。根据</w:t>
      </w:r>
      <w:r>
        <w:rPr>
          <w:rFonts w:ascii="Times New Roman" w:hAnsi="Times New Roman"/>
          <w:sz w:val="24"/>
        </w:rPr>
        <w:t>IMF</w:t>
      </w:r>
      <w:r>
        <w:rPr>
          <w:rFonts w:ascii="宋体" w:hAnsi="宋体" w:eastAsia="宋体"/>
          <w:sz w:val="24"/>
        </w:rPr>
        <w:t>对资本账户开放的评估，中国在资本项目</w:t>
      </w:r>
      <w:r>
        <w:rPr>
          <w:rFonts w:ascii="Times New Roman" w:hAnsi="Times New Roman"/>
          <w:sz w:val="24"/>
        </w:rPr>
        <w:t>40</w:t>
      </w:r>
      <w:r>
        <w:rPr>
          <w:rFonts w:ascii="宋体" w:hAnsi="宋体" w:eastAsia="宋体"/>
          <w:sz w:val="24"/>
        </w:rPr>
        <w:t>个子项中，约有</w:t>
      </w:r>
      <w:r>
        <w:rPr>
          <w:rFonts w:ascii="Times New Roman" w:hAnsi="Times New Roman"/>
          <w:sz w:val="24"/>
        </w:rPr>
        <w:t>70%</w:t>
      </w:r>
      <w:r>
        <w:rPr>
          <w:rFonts w:ascii="宋体" w:hAnsi="宋体" w:eastAsia="宋体"/>
          <w:sz w:val="24"/>
        </w:rPr>
        <w:t>实现了可兑换或部分可兑换，但涉及证券投资、衍生品交易等高风险领域仍保留较多限制。</w:t>
      </w:r>
    </w:p>
    <w:p>
      <w:pPr>
        <w:spacing w:line="400" w:lineRule="exact" w:before="0" w:after="0"/>
        <w:ind w:firstLine="420"/>
        <w:jc w:val="both"/>
      </w:pPr>
      <w:r>
        <w:rPr>
          <w:rFonts w:ascii="宋体" w:hAnsi="宋体" w:eastAsia="宋体"/>
          <w:sz w:val="24"/>
        </w:rPr>
        <w:t>资本管制虽然有助于维护金融稳定，但也限制了人民币作为国际投资和储备货币的功能。境外持有人民币资产的意愿与人民币自由兑换的程度密切相关，在资本账户开放不足的情况下，人民币的国际使用场景受到制约。</w:t>
      </w:r>
    </w:p>
    <w:p>
      <w:pPr>
        <w:pStyle w:val="Heading2"/>
        <w:jc w:val="left"/>
      </w:pPr>
      <w:r>
        <w:t>（二）金融市场深度与广度不足</w:t>
      </w:r>
    </w:p>
    <w:p>
      <w:pPr>
        <w:spacing w:line="400" w:lineRule="exact" w:before="0" w:after="0"/>
        <w:ind w:firstLine="420"/>
        <w:jc w:val="both"/>
      </w:pPr>
      <w:r>
        <w:rPr>
          <w:rFonts w:ascii="宋体" w:hAnsi="宋体" w:eastAsia="宋体"/>
          <w:sz w:val="24"/>
        </w:rPr>
        <w:t>一个成熟的国际化货币需要背后有深度和广度兼具的金融市场作为支撑。中国债券市场规模已位居全球第二，但市场的开放程度、流动性和国际化水平仍有提升空间：</w:t>
      </w:r>
    </w:p>
    <w:p>
      <w:pPr>
        <w:pStyle w:val="Heading2"/>
        <w:jc w:val="left"/>
      </w:pPr>
      <w:r>
        <w:t>金融市场不足的三个表现</w:t>
      </w:r>
    </w:p>
    <w:p>
      <w:pPr>
        <w:spacing w:line="400" w:lineRule="exact" w:before="0" w:after="0"/>
        <w:ind w:left="420" w:firstLine="0"/>
        <w:jc w:val="both"/>
      </w:pPr>
      <w:r>
        <w:rPr>
          <w:rFonts w:ascii="Times New Roman" w:hAnsi="Times New Roman"/>
          <w:sz w:val="24"/>
        </w:rPr>
        <w:t xml:space="preserve">1. </w:t>
      </w:r>
      <w:r>
        <w:rPr>
          <w:rFonts w:ascii="宋体" w:hAnsi="宋体" w:eastAsia="宋体"/>
          <w:sz w:val="24"/>
        </w:rPr>
        <w:t>境外投资者占比偏低：截至</w:t>
      </w:r>
      <w:r>
        <w:rPr>
          <w:rFonts w:ascii="Times New Roman" w:hAnsi="Times New Roman"/>
          <w:sz w:val="24"/>
        </w:rPr>
        <w:t>2025</w:t>
      </w:r>
      <w:r>
        <w:rPr>
          <w:rFonts w:ascii="宋体" w:hAnsi="宋体" w:eastAsia="宋体"/>
          <w:sz w:val="24"/>
        </w:rPr>
        <w:t>年，境外机构持有中国债券的规模约为</w:t>
      </w:r>
      <w:r>
        <w:rPr>
          <w:rFonts w:ascii="Times New Roman" w:hAnsi="Times New Roman"/>
          <w:sz w:val="24"/>
        </w:rPr>
        <w:t>4.5</w:t>
      </w:r>
      <w:r>
        <w:rPr>
          <w:rFonts w:ascii="宋体" w:hAnsi="宋体" w:eastAsia="宋体"/>
          <w:sz w:val="24"/>
        </w:rPr>
        <w:t>万亿元，占中国债券市场总托管量的比重不足</w:t>
      </w:r>
      <w:r>
        <w:rPr>
          <w:rFonts w:ascii="Times New Roman" w:hAnsi="Times New Roman"/>
          <w:sz w:val="24"/>
        </w:rPr>
        <w:t>4%</w:t>
      </w:r>
      <w:r>
        <w:rPr>
          <w:rFonts w:ascii="宋体" w:hAnsi="宋体" w:eastAsia="宋体"/>
          <w:sz w:val="24"/>
        </w:rPr>
        <w:t>，远低于日本（约</w:t>
      </w:r>
      <w:r>
        <w:rPr>
          <w:rFonts w:ascii="Times New Roman" w:hAnsi="Times New Roman"/>
          <w:sz w:val="24"/>
        </w:rPr>
        <w:t>13%</w:t>
      </w:r>
      <w:r>
        <w:rPr>
          <w:rFonts w:ascii="宋体" w:hAnsi="宋体" w:eastAsia="宋体"/>
          <w:sz w:val="24"/>
        </w:rPr>
        <w:t>）和美国（约</w:t>
      </w:r>
      <w:r>
        <w:rPr>
          <w:rFonts w:ascii="Times New Roman" w:hAnsi="Times New Roman"/>
          <w:sz w:val="24"/>
        </w:rPr>
        <w:t>30%</w:t>
      </w:r>
      <w:r>
        <w:rPr>
          <w:rFonts w:ascii="宋体" w:hAnsi="宋体" w:eastAsia="宋体"/>
          <w:sz w:val="24"/>
        </w:rPr>
        <w:t>）的水平。</w:t>
      </w:r>
    </w:p>
    <w:p>
      <w:pPr>
        <w:spacing w:line="400" w:lineRule="exact" w:before="0" w:after="0"/>
        <w:ind w:left="420" w:firstLine="0"/>
        <w:jc w:val="both"/>
      </w:pPr>
      <w:r>
        <w:rPr>
          <w:rFonts w:ascii="Times New Roman" w:hAnsi="Times New Roman"/>
          <w:sz w:val="24"/>
        </w:rPr>
        <w:t xml:space="preserve">2. </w:t>
      </w:r>
      <w:r>
        <w:rPr>
          <w:rFonts w:ascii="宋体" w:hAnsi="宋体" w:eastAsia="宋体"/>
          <w:sz w:val="24"/>
        </w:rPr>
        <w:t>衍生品市场不发达：人民币利率、汇率衍生品市场的品种和规模与发达国家相比仍有差距，限制了境外投资者对冲人民币风险的能力。</w:t>
      </w:r>
    </w:p>
    <w:p>
      <w:pPr>
        <w:spacing w:line="400" w:lineRule="exact" w:before="0" w:after="0"/>
        <w:ind w:left="420" w:firstLine="0"/>
        <w:jc w:val="both"/>
      </w:pPr>
      <w:r>
        <w:rPr>
          <w:rFonts w:ascii="Times New Roman" w:hAnsi="Times New Roman"/>
          <w:sz w:val="24"/>
        </w:rPr>
        <w:t xml:space="preserve">3. </w:t>
      </w:r>
      <w:r>
        <w:rPr>
          <w:rFonts w:ascii="宋体" w:hAnsi="宋体" w:eastAsia="宋体"/>
          <w:sz w:val="24"/>
        </w:rPr>
        <w:t>法律制度与国际接轨：中国金融法律体系的透明度和可预期性仍有待提高，境外投资者对中国法律框架和监管规则的理解和信任需要时间积累。</w:t>
      </w:r>
    </w:p>
    <w:p>
      <w:pPr>
        <w:pStyle w:val="Heading2"/>
        <w:jc w:val="left"/>
      </w:pPr>
      <w:r>
        <w:t>（三）汇率市场化改革尚需深化</w:t>
      </w:r>
    </w:p>
    <w:p>
      <w:pPr>
        <w:spacing w:line="400" w:lineRule="exact" w:before="0" w:after="0"/>
        <w:ind w:firstLine="420"/>
        <w:jc w:val="both"/>
      </w:pPr>
      <w:r>
        <w:rPr>
          <w:rFonts w:ascii="宋体" w:hAnsi="宋体" w:eastAsia="宋体"/>
          <w:sz w:val="24"/>
        </w:rPr>
        <w:t>汇率的市场化是货币国际化的重要前提。</w:t>
      </w:r>
      <w:r>
        <w:rPr>
          <w:rFonts w:ascii="Times New Roman" w:hAnsi="Times New Roman"/>
          <w:sz w:val="24"/>
        </w:rPr>
        <w:t>2005</w:t>
      </w:r>
      <w:r>
        <w:rPr>
          <w:rFonts w:ascii="宋体" w:hAnsi="宋体" w:eastAsia="宋体"/>
          <w:sz w:val="24"/>
        </w:rPr>
        <w:t>年汇改以来，人民币汇率形成机制经历了多次完善，但仍存在行政干预色彩较浓、市场定价机制不够充分的问题。</w:t>
      </w:r>
    </w:p>
    <w:p>
      <w:pPr>
        <w:spacing w:line="400" w:lineRule="exact" w:before="0" w:after="0"/>
        <w:ind w:firstLine="420"/>
        <w:jc w:val="both"/>
      </w:pPr>
      <w:r>
        <w:rPr>
          <w:rFonts w:ascii="宋体" w:hAnsi="宋体" w:eastAsia="宋体"/>
          <w:sz w:val="24"/>
        </w:rPr>
        <w:t>根据中国人民银行发布的《人民币汇率形成机制改革报告》，人民币对美元汇率的日内波动幅度仍受到中间价机制和波动区间（±</w:t>
      </w:r>
      <w:r>
        <w:rPr>
          <w:rFonts w:ascii="Times New Roman" w:hAnsi="Times New Roman"/>
          <w:sz w:val="24"/>
        </w:rPr>
        <w:t>2%</w:t>
      </w:r>
      <w:r>
        <w:rPr>
          <w:rFonts w:ascii="宋体" w:hAnsi="宋体" w:eastAsia="宋体"/>
          <w:sz w:val="24"/>
        </w:rPr>
        <w:t>）的限制。这种有管理的汇率制度虽然有助于防范系统性金融风险，但也意味着人民币汇率尚未完全反映市场供求关系，影响了其作为国际计价和结算货币的吸引力。</w:t>
      </w:r>
    </w:p>
    <w:p>
      <w:pPr>
        <w:pStyle w:val="Heading2"/>
        <w:jc w:val="left"/>
      </w:pPr>
      <w:r>
        <w:t>（四）地缘政治与制度竞争</w:t>
      </w:r>
    </w:p>
    <w:p>
      <w:pPr>
        <w:spacing w:line="400" w:lineRule="exact" w:before="0" w:after="0"/>
        <w:ind w:firstLine="420"/>
        <w:jc w:val="both"/>
      </w:pPr>
      <w:r>
        <w:rPr>
          <w:rFonts w:ascii="宋体" w:hAnsi="宋体" w:eastAsia="宋体"/>
          <w:sz w:val="24"/>
        </w:rPr>
        <w:t>当前国际货币体系的变革不仅是一个经济问题，也是一个政治问题。美元的国际地位背后是美国强大的军事、科技和制度优势。人民币国际化面临的地缘政治挑战包括：</w:t>
      </w:r>
    </w:p>
    <w:p>
      <w:pPr>
        <w:pStyle w:val="Heading2"/>
        <w:jc w:val="left"/>
      </w:pPr>
      <w:r>
        <w:t>地缘政治挑战的三个维度</w:t>
      </w:r>
    </w:p>
    <w:p>
      <w:pPr>
        <w:spacing w:line="400" w:lineRule="exact" w:before="0" w:after="0"/>
        <w:ind w:left="420" w:firstLine="0"/>
        <w:jc w:val="both"/>
      </w:pPr>
      <w:r>
        <w:rPr>
          <w:rFonts w:ascii="Times New Roman" w:hAnsi="Times New Roman"/>
          <w:sz w:val="24"/>
        </w:rPr>
        <w:t xml:space="preserve">1. </w:t>
      </w:r>
      <w:r>
        <w:rPr>
          <w:rFonts w:ascii="宋体" w:hAnsi="宋体" w:eastAsia="宋体"/>
          <w:sz w:val="24"/>
        </w:rPr>
        <w:t>美国的战略遏制：美国将中国视为主要战略竞争对手，在科技、贸易、金融等领域对华施加压力，可能影响人民币国际化的外部环境。</w:t>
      </w:r>
    </w:p>
    <w:p>
      <w:pPr>
        <w:spacing w:line="400" w:lineRule="exact" w:before="0" w:after="0"/>
        <w:ind w:left="420" w:firstLine="0"/>
        <w:jc w:val="both"/>
      </w:pPr>
      <w:r>
        <w:rPr>
          <w:rFonts w:ascii="Times New Roman" w:hAnsi="Times New Roman"/>
          <w:sz w:val="24"/>
        </w:rPr>
        <w:t xml:space="preserve">2. </w:t>
      </w:r>
      <w:r>
        <w:rPr>
          <w:rFonts w:ascii="宋体" w:hAnsi="宋体" w:eastAsia="宋体"/>
          <w:sz w:val="24"/>
        </w:rPr>
        <w:t>制度信任不足：部分国家对中国的制度体系和政策透明度仍存疑虑，影响其持有和使用人民币的意愿。</w:t>
      </w:r>
    </w:p>
    <w:p>
      <w:pPr>
        <w:spacing w:line="400" w:lineRule="exact" w:before="0" w:after="0"/>
        <w:ind w:left="420" w:firstLine="0"/>
        <w:jc w:val="both"/>
      </w:pPr>
      <w:r>
        <w:rPr>
          <w:rFonts w:ascii="Times New Roman" w:hAnsi="Times New Roman"/>
          <w:sz w:val="24"/>
        </w:rPr>
        <w:t xml:space="preserve">3. </w:t>
      </w:r>
      <w:r>
        <w:rPr>
          <w:rFonts w:ascii="宋体" w:hAnsi="宋体" w:eastAsia="宋体"/>
          <w:sz w:val="24"/>
        </w:rPr>
        <w:t>路径依赖：现有的国际货币体系以美元为中心，全球贸易、金融和储备体系已形成强大的路径依赖，替代成本高昂。</w:t>
      </w:r>
    </w:p>
    <w:p>
      <w:pPr>
        <w:pStyle w:val="Heading1"/>
        <w:jc w:val="left"/>
      </w:pPr>
      <w:r>
        <w:t>四、人民币国际化的前景展望</w:t>
      </w:r>
    </w:p>
    <w:p>
      <w:pPr>
        <w:spacing w:line="400" w:lineRule="exact" w:before="0" w:after="0"/>
        <w:ind w:firstLine="420"/>
        <w:jc w:val="both"/>
      </w:pPr>
      <w:r>
        <w:rPr>
          <w:rFonts w:ascii="宋体" w:hAnsi="宋体" w:eastAsia="宋体"/>
          <w:sz w:val="24"/>
        </w:rPr>
        <w:t>尽管面临诸多挑战，人民币国际化的长期趋势依然向好。以下从几个维度展望其发展前景：</w:t>
      </w:r>
    </w:p>
    <w:p>
      <w:pPr>
        <w:pStyle w:val="Heading2"/>
        <w:jc w:val="left"/>
      </w:pPr>
      <w:r>
        <w:t>（一）经济基本面支撑</w:t>
      </w:r>
    </w:p>
    <w:p>
      <w:pPr>
        <w:spacing w:line="400" w:lineRule="exact" w:before="0" w:after="0"/>
        <w:ind w:firstLine="420"/>
        <w:jc w:val="both"/>
      </w:pPr>
      <w:r>
        <w:rPr>
          <w:rFonts w:ascii="宋体" w:hAnsi="宋体" w:eastAsia="宋体"/>
          <w:sz w:val="24"/>
        </w:rPr>
        <w:t>中国是全球第二大经济体，</w:t>
      </w:r>
      <w:r>
        <w:rPr>
          <w:rFonts w:ascii="Times New Roman" w:hAnsi="Times New Roman"/>
          <w:sz w:val="24"/>
        </w:rPr>
        <w:t>2025</w:t>
      </w:r>
      <w:r>
        <w:rPr>
          <w:rFonts w:ascii="宋体" w:hAnsi="宋体" w:eastAsia="宋体"/>
          <w:sz w:val="24"/>
        </w:rPr>
        <w:t>年</w:t>
      </w:r>
      <w:r>
        <w:rPr>
          <w:rFonts w:ascii="Times New Roman" w:hAnsi="Times New Roman"/>
          <w:sz w:val="24"/>
        </w:rPr>
        <w:t>GDP</w:t>
      </w:r>
      <w:r>
        <w:rPr>
          <w:rFonts w:ascii="宋体" w:hAnsi="宋体" w:eastAsia="宋体"/>
          <w:sz w:val="24"/>
        </w:rPr>
        <w:t>总量超过</w:t>
      </w:r>
      <w:r>
        <w:rPr>
          <w:rFonts w:ascii="Times New Roman" w:hAnsi="Times New Roman"/>
          <w:sz w:val="24"/>
        </w:rPr>
        <w:t>130</w:t>
      </w:r>
      <w:r>
        <w:rPr>
          <w:rFonts w:ascii="宋体" w:hAnsi="宋体" w:eastAsia="宋体"/>
          <w:sz w:val="24"/>
        </w:rPr>
        <w:t>万亿元（约</w:t>
      </w:r>
      <w:r>
        <w:rPr>
          <w:rFonts w:ascii="Times New Roman" w:hAnsi="Times New Roman"/>
          <w:sz w:val="24"/>
        </w:rPr>
        <w:t>18.5</w:t>
      </w:r>
      <w:r>
        <w:rPr>
          <w:rFonts w:ascii="宋体" w:hAnsi="宋体" w:eastAsia="宋体"/>
          <w:sz w:val="24"/>
        </w:rPr>
        <w:t>万亿美元），占全球经济比重约</w:t>
      </w:r>
      <w:r>
        <w:rPr>
          <w:rFonts w:ascii="Times New Roman" w:hAnsi="Times New Roman"/>
          <w:sz w:val="24"/>
        </w:rPr>
        <w:t>18%</w:t>
      </w:r>
      <w:r>
        <w:rPr>
          <w:rFonts w:ascii="宋体" w:hAnsi="宋体" w:eastAsia="宋体"/>
          <w:sz w:val="24"/>
        </w:rPr>
        <w:t>。中国还是全球第一大贸易国、第一大制造业国和第一大外汇储备国。这些经济基本面为人民币国际化提供了坚实的物质基础。</w:t>
      </w:r>
    </w:p>
    <w:p>
      <w:pPr>
        <w:spacing w:line="400" w:lineRule="exact" w:before="0" w:after="0"/>
        <w:ind w:firstLine="420"/>
        <w:jc w:val="both"/>
      </w:pPr>
      <w:r>
        <w:rPr>
          <w:rFonts w:ascii="宋体" w:hAnsi="宋体" w:eastAsia="宋体"/>
          <w:sz w:val="24"/>
        </w:rPr>
        <w:t>根据购买力平价（</w:t>
      </w:r>
      <w:r>
        <w:rPr>
          <w:rFonts w:ascii="Times New Roman" w:hAnsi="Times New Roman"/>
          <w:sz w:val="24"/>
        </w:rPr>
        <w:t>PPP</w:t>
      </w:r>
      <w:r>
        <w:rPr>
          <w:rFonts w:ascii="宋体" w:hAnsi="宋体" w:eastAsia="宋体"/>
          <w:sz w:val="24"/>
        </w:rPr>
        <w:t>）计算，中国经济规模已于</w:t>
      </w:r>
      <w:r>
        <w:rPr>
          <w:rFonts w:ascii="Times New Roman" w:hAnsi="Times New Roman"/>
          <w:sz w:val="24"/>
        </w:rPr>
        <w:t>2017</w:t>
      </w:r>
      <w:r>
        <w:rPr>
          <w:rFonts w:ascii="宋体" w:hAnsi="宋体" w:eastAsia="宋体"/>
          <w:sz w:val="24"/>
        </w:rPr>
        <w:t>年超越美国。随着中国经济的持续发展和产业结构的不断升级，人民币的国际需求将稳步增长。</w:t>
      </w:r>
    </w:p>
    <w:p>
      <w:pPr>
        <w:pStyle w:val="Heading2"/>
        <w:jc w:val="left"/>
      </w:pPr>
      <w:r>
        <w:t>（二）数字货币带来弯道超车机遇</w:t>
      </w:r>
    </w:p>
    <w:p>
      <w:pPr>
        <w:spacing w:line="400" w:lineRule="exact" w:before="0" w:after="0"/>
        <w:ind w:firstLine="420"/>
        <w:jc w:val="both"/>
      </w:pPr>
      <w:r>
        <w:rPr>
          <w:rFonts w:ascii="宋体" w:hAnsi="宋体" w:eastAsia="宋体"/>
          <w:sz w:val="24"/>
        </w:rPr>
        <w:t>数字人民币（</w:t>
      </w:r>
      <w:r>
        <w:rPr>
          <w:rFonts w:ascii="Times New Roman" w:hAnsi="Times New Roman"/>
          <w:sz w:val="24"/>
        </w:rPr>
        <w:t>e-CNY</w:t>
      </w:r>
      <w:r>
        <w:rPr>
          <w:rFonts w:ascii="宋体" w:hAnsi="宋体" w:eastAsia="宋体"/>
          <w:sz w:val="24"/>
        </w:rPr>
        <w:t>）的推出为人民币国际化提供了新的技术路径。央行数字货币（</w:t>
      </w:r>
      <w:r>
        <w:rPr>
          <w:rFonts w:ascii="Times New Roman" w:hAnsi="Times New Roman"/>
          <w:sz w:val="24"/>
        </w:rPr>
        <w:t>CBDC</w:t>
      </w:r>
      <w:r>
        <w:rPr>
          <w:rFonts w:ascii="宋体" w:hAnsi="宋体" w:eastAsia="宋体"/>
          <w:sz w:val="24"/>
        </w:rPr>
        <w:t>）具有支付效率高、交易成本低、可编程性强等优势，有望在跨境支付领域实现“弯道超车”。</w:t>
      </w:r>
    </w:p>
    <w:p>
      <w:pPr>
        <w:spacing w:line="400" w:lineRule="exact" w:before="0" w:after="0"/>
        <w:ind w:firstLine="420"/>
        <w:jc w:val="both"/>
      </w:pPr>
      <w:r>
        <w:rPr>
          <w:rFonts w:ascii="Times New Roman" w:hAnsi="Times New Roman"/>
          <w:sz w:val="24"/>
        </w:rPr>
        <w:t>2023</w:t>
      </w:r>
      <w:r>
        <w:rPr>
          <w:rFonts w:ascii="宋体" w:hAnsi="宋体" w:eastAsia="宋体"/>
          <w:sz w:val="24"/>
        </w:rPr>
        <w:t>年</w:t>
      </w:r>
      <w:r>
        <w:rPr>
          <w:rFonts w:ascii="Times New Roman" w:hAnsi="Times New Roman"/>
          <w:sz w:val="24"/>
        </w:rPr>
        <w:t>10</w:t>
      </w:r>
      <w:r>
        <w:rPr>
          <w:rFonts w:ascii="宋体" w:hAnsi="宋体" w:eastAsia="宋体"/>
          <w:sz w:val="24"/>
        </w:rPr>
        <w:t>月，中国人民银行与香港金融管理局完成多边央行数字货币桥（</w:t>
      </w:r>
      <w:r>
        <w:rPr>
          <w:rFonts w:ascii="Times New Roman" w:hAnsi="Times New Roman"/>
          <w:sz w:val="24"/>
        </w:rPr>
        <w:t>mBridge</w:t>
      </w:r>
      <w:r>
        <w:rPr>
          <w:rFonts w:ascii="宋体" w:hAnsi="宋体" w:eastAsia="宋体"/>
          <w:sz w:val="24"/>
        </w:rPr>
        <w:t>）项目的首次真实交易测试，实现了人民币、港币、泰币和阿联酋迪拉姆的跨境实时结算。该项目由国际清算银行创新中心（</w:t>
      </w:r>
      <w:r>
        <w:rPr>
          <w:rFonts w:ascii="Times New Roman" w:hAnsi="Times New Roman"/>
          <w:sz w:val="24"/>
        </w:rPr>
        <w:t>BIS Innovation Hub</w:t>
      </w:r>
      <w:r>
        <w:rPr>
          <w:rFonts w:ascii="宋体" w:hAnsi="宋体" w:eastAsia="宋体"/>
          <w:sz w:val="24"/>
        </w:rPr>
        <w:t>）牵头，是央行数字货币跨境应用的标志性成果。</w:t>
      </w:r>
    </w:p>
    <w:p>
      <w:pPr>
        <w:pStyle w:val="Heading2"/>
        <w:jc w:val="left"/>
      </w:pPr>
      <w:r>
        <w:t>（三）区域合作的深化</w:t>
      </w:r>
    </w:p>
    <w:p>
      <w:pPr>
        <w:spacing w:line="400" w:lineRule="exact" w:before="0" w:after="0"/>
        <w:ind w:firstLine="420"/>
        <w:jc w:val="both"/>
      </w:pPr>
      <w:r>
        <w:rPr>
          <w:rFonts w:ascii="宋体" w:hAnsi="宋体" w:eastAsia="宋体"/>
          <w:sz w:val="24"/>
        </w:rPr>
        <w:t>中国与东盟、中亚、中东等地区的经贸合作日益深化，为人民币在区域内的使用提供了广阔空间：</w:t>
      </w:r>
    </w:p>
    <w:p>
      <w:pPr>
        <w:pStyle w:val="Heading2"/>
        <w:jc w:val="left"/>
      </w:pPr>
      <w:r>
        <w:t>区域合作深化的三个方向</w:t>
      </w:r>
    </w:p>
    <w:p>
      <w:pPr>
        <w:spacing w:line="400" w:lineRule="exact" w:before="0" w:after="0"/>
        <w:ind w:left="420" w:firstLine="0"/>
        <w:jc w:val="both"/>
      </w:pPr>
      <w:r>
        <w:rPr>
          <w:rFonts w:ascii="Times New Roman" w:hAnsi="Times New Roman"/>
          <w:sz w:val="24"/>
        </w:rPr>
        <w:t>1. RCEP</w:t>
      </w:r>
      <w:r>
        <w:rPr>
          <w:rFonts w:ascii="宋体" w:hAnsi="宋体" w:eastAsia="宋体"/>
          <w:sz w:val="24"/>
        </w:rPr>
        <w:t>生效：《区域全面经济伙伴关系协定》（</w:t>
      </w:r>
      <w:r>
        <w:rPr>
          <w:rFonts w:ascii="Times New Roman" w:hAnsi="Times New Roman"/>
          <w:sz w:val="24"/>
        </w:rPr>
        <w:t>RCEP</w:t>
      </w:r>
      <w:r>
        <w:rPr>
          <w:rFonts w:ascii="宋体" w:hAnsi="宋体" w:eastAsia="宋体"/>
          <w:sz w:val="24"/>
        </w:rPr>
        <w:t>）于</w:t>
      </w:r>
      <w:r>
        <w:rPr>
          <w:rFonts w:ascii="Times New Roman" w:hAnsi="Times New Roman"/>
          <w:sz w:val="24"/>
        </w:rPr>
        <w:t>2022</w:t>
      </w:r>
      <w:r>
        <w:rPr>
          <w:rFonts w:ascii="宋体" w:hAnsi="宋体" w:eastAsia="宋体"/>
          <w:sz w:val="24"/>
        </w:rPr>
        <w:t>年</w:t>
      </w:r>
      <w:r>
        <w:rPr>
          <w:rFonts w:ascii="Times New Roman" w:hAnsi="Times New Roman"/>
          <w:sz w:val="24"/>
        </w:rPr>
        <w:t>1</w:t>
      </w:r>
      <w:r>
        <w:rPr>
          <w:rFonts w:ascii="宋体" w:hAnsi="宋体" w:eastAsia="宋体"/>
          <w:sz w:val="24"/>
        </w:rPr>
        <w:t>月正式生效，覆盖全球约</w:t>
      </w:r>
      <w:r>
        <w:rPr>
          <w:rFonts w:ascii="Times New Roman" w:hAnsi="Times New Roman"/>
          <w:sz w:val="24"/>
        </w:rPr>
        <w:t>30%</w:t>
      </w:r>
      <w:r>
        <w:rPr>
          <w:rFonts w:ascii="宋体" w:hAnsi="宋体" w:eastAsia="宋体"/>
          <w:sz w:val="24"/>
        </w:rPr>
        <w:t>的人口和</w:t>
      </w:r>
      <w:r>
        <w:rPr>
          <w:rFonts w:ascii="Times New Roman" w:hAnsi="Times New Roman"/>
          <w:sz w:val="24"/>
        </w:rPr>
        <w:t>GDP</w:t>
      </w:r>
      <w:r>
        <w:rPr>
          <w:rFonts w:ascii="宋体" w:hAnsi="宋体" w:eastAsia="宋体"/>
          <w:sz w:val="24"/>
        </w:rPr>
        <w:t>，区域内贸易和投资便利化将推动人民币的区域化使用。</w:t>
      </w:r>
    </w:p>
    <w:p>
      <w:pPr>
        <w:spacing w:line="400" w:lineRule="exact" w:before="0" w:after="0"/>
        <w:ind w:left="420" w:firstLine="0"/>
        <w:jc w:val="both"/>
      </w:pPr>
      <w:r>
        <w:rPr>
          <w:rFonts w:ascii="Times New Roman" w:hAnsi="Times New Roman"/>
          <w:sz w:val="24"/>
        </w:rPr>
        <w:t xml:space="preserve">2. </w:t>
      </w:r>
      <w:r>
        <w:rPr>
          <w:rFonts w:ascii="宋体" w:hAnsi="宋体" w:eastAsia="宋体"/>
          <w:sz w:val="24"/>
        </w:rPr>
        <w:t>金砖国家合作：</w:t>
      </w:r>
      <w:r>
        <w:rPr>
          <w:rFonts w:ascii="Times New Roman" w:hAnsi="Times New Roman"/>
          <w:sz w:val="24"/>
        </w:rPr>
        <w:t>2024</w:t>
      </w:r>
      <w:r>
        <w:rPr>
          <w:rFonts w:ascii="宋体" w:hAnsi="宋体" w:eastAsia="宋体"/>
          <w:sz w:val="24"/>
        </w:rPr>
        <w:t>年金砖国家扩员至</w:t>
      </w:r>
      <w:r>
        <w:rPr>
          <w:rFonts w:ascii="Times New Roman" w:hAnsi="Times New Roman"/>
          <w:sz w:val="24"/>
        </w:rPr>
        <w:t>10</w:t>
      </w:r>
      <w:r>
        <w:rPr>
          <w:rFonts w:ascii="宋体" w:hAnsi="宋体" w:eastAsia="宋体"/>
          <w:sz w:val="24"/>
        </w:rPr>
        <w:t>个成员国，金砖国家内部推动本币结算和建立独立支付体系的讨论为人民币国际化提供了新的多边平台。</w:t>
      </w:r>
    </w:p>
    <w:p>
      <w:pPr>
        <w:spacing w:line="400" w:lineRule="exact" w:before="0" w:after="0"/>
        <w:ind w:left="420" w:firstLine="0"/>
        <w:jc w:val="both"/>
      </w:pPr>
      <w:r>
        <w:rPr>
          <w:rFonts w:ascii="Times New Roman" w:hAnsi="Times New Roman"/>
          <w:sz w:val="24"/>
        </w:rPr>
        <w:t xml:space="preserve">3. </w:t>
      </w:r>
      <w:r>
        <w:rPr>
          <w:rFonts w:ascii="宋体" w:hAnsi="宋体" w:eastAsia="宋体"/>
          <w:sz w:val="24"/>
        </w:rPr>
        <w:t>“一带一路”倡议：截至</w:t>
      </w:r>
      <w:r>
        <w:rPr>
          <w:rFonts w:ascii="Times New Roman" w:hAnsi="Times New Roman"/>
          <w:sz w:val="24"/>
        </w:rPr>
        <w:t>2025</w:t>
      </w:r>
      <w:r>
        <w:rPr>
          <w:rFonts w:ascii="宋体" w:hAnsi="宋体" w:eastAsia="宋体"/>
          <w:sz w:val="24"/>
        </w:rPr>
        <w:t>年，中国已与</w:t>
      </w:r>
      <w:r>
        <w:rPr>
          <w:rFonts w:ascii="Times New Roman" w:hAnsi="Times New Roman"/>
          <w:sz w:val="24"/>
        </w:rPr>
        <w:t>150</w:t>
      </w:r>
      <w:r>
        <w:rPr>
          <w:rFonts w:ascii="宋体" w:hAnsi="宋体" w:eastAsia="宋体"/>
          <w:sz w:val="24"/>
        </w:rPr>
        <w:t>多个国家和</w:t>
      </w:r>
      <w:r>
        <w:rPr>
          <w:rFonts w:ascii="Times New Roman" w:hAnsi="Times New Roman"/>
          <w:sz w:val="24"/>
        </w:rPr>
        <w:t>30</w:t>
      </w:r>
      <w:r>
        <w:rPr>
          <w:rFonts w:ascii="宋体" w:hAnsi="宋体" w:eastAsia="宋体"/>
          <w:sz w:val="24"/>
        </w:rPr>
        <w:t>多个国际组织签署了共建“一带一路”合作文件，人民币在这些国家和地区的使用场景持续扩大。</w:t>
      </w:r>
    </w:p>
    <w:p>
      <w:pPr>
        <w:pStyle w:val="Heading2"/>
        <w:jc w:val="left"/>
      </w:pPr>
      <w:r>
        <w:t>（四）短期预测与长期目标</w:t>
      </w:r>
    </w:p>
    <w:p>
      <w:pPr>
        <w:spacing w:line="400" w:lineRule="exact" w:before="0" w:after="0"/>
        <w:ind w:firstLine="420"/>
        <w:jc w:val="both"/>
      </w:pPr>
      <w:r>
        <w:rPr>
          <w:rFonts w:ascii="宋体" w:hAnsi="宋体" w:eastAsia="宋体"/>
          <w:sz w:val="24"/>
        </w:rPr>
        <w:t>短期来看（</w:t>
      </w:r>
      <w:r>
        <w:rPr>
          <w:rFonts w:ascii="Times New Roman" w:hAnsi="Times New Roman"/>
          <w:sz w:val="24"/>
        </w:rPr>
        <w:t>2025</w:t>
      </w:r>
      <w:r>
        <w:rPr>
          <w:rFonts w:ascii="宋体" w:hAnsi="宋体" w:eastAsia="宋体"/>
          <w:sz w:val="24"/>
        </w:rPr>
        <w:t>—</w:t>
      </w:r>
      <w:r>
        <w:rPr>
          <w:rFonts w:ascii="Times New Roman" w:hAnsi="Times New Roman"/>
          <w:sz w:val="24"/>
        </w:rPr>
        <w:t>2030</w:t>
      </w:r>
      <w:r>
        <w:rPr>
          <w:rFonts w:ascii="宋体" w:hAnsi="宋体" w:eastAsia="宋体"/>
          <w:sz w:val="24"/>
        </w:rPr>
        <w:t>年），人民币在全球支付、储备和计价中的份额有望进一步提升，但与美元和欧元的差距仍将较大。预计人民币在</w:t>
      </w:r>
      <w:r>
        <w:rPr>
          <w:rFonts w:ascii="Times New Roman" w:hAnsi="Times New Roman"/>
          <w:sz w:val="24"/>
        </w:rPr>
        <w:t>SWIFT</w:t>
      </w:r>
      <w:r>
        <w:rPr>
          <w:rFonts w:ascii="宋体" w:hAnsi="宋体" w:eastAsia="宋体"/>
          <w:sz w:val="24"/>
        </w:rPr>
        <w:t>全球支付中的份额将突破</w:t>
      </w:r>
      <w:r>
        <w:rPr>
          <w:rFonts w:ascii="Times New Roman" w:hAnsi="Times New Roman"/>
          <w:sz w:val="24"/>
        </w:rPr>
        <w:t>6%</w:t>
      </w:r>
      <w:r>
        <w:rPr>
          <w:rFonts w:ascii="宋体" w:hAnsi="宋体" w:eastAsia="宋体"/>
          <w:sz w:val="24"/>
        </w:rPr>
        <w:t>，在全球外汇储备中的占比将达到</w:t>
      </w:r>
      <w:r>
        <w:rPr>
          <w:rFonts w:ascii="Times New Roman" w:hAnsi="Times New Roman"/>
          <w:sz w:val="24"/>
        </w:rPr>
        <w:t>4%</w:t>
      </w:r>
      <w:r>
        <w:rPr>
          <w:rFonts w:ascii="宋体" w:hAnsi="宋体" w:eastAsia="宋体"/>
          <w:sz w:val="24"/>
        </w:rPr>
        <w:t>—</w:t>
      </w:r>
      <w:r>
        <w:rPr>
          <w:rFonts w:ascii="Times New Roman" w:hAnsi="Times New Roman"/>
          <w:sz w:val="24"/>
        </w:rPr>
        <w:t>5%</w:t>
      </w:r>
      <w:r>
        <w:rPr>
          <w:rFonts w:ascii="宋体" w:hAnsi="宋体" w:eastAsia="宋体"/>
          <w:sz w:val="24"/>
        </w:rPr>
        <w:t>。</w:t>
      </w:r>
    </w:p>
    <w:p>
      <w:pPr>
        <w:spacing w:line="400" w:lineRule="exact" w:before="0" w:after="0"/>
        <w:ind w:firstLine="420"/>
        <w:jc w:val="both"/>
      </w:pPr>
      <w:r>
        <w:rPr>
          <w:rFonts w:ascii="宋体" w:hAnsi="宋体" w:eastAsia="宋体"/>
          <w:sz w:val="24"/>
        </w:rPr>
        <w:t>长期来看（</w:t>
      </w:r>
      <w:r>
        <w:rPr>
          <w:rFonts w:ascii="Times New Roman" w:hAnsi="Times New Roman"/>
          <w:sz w:val="24"/>
        </w:rPr>
        <w:t>2030</w:t>
      </w:r>
      <w:r>
        <w:rPr>
          <w:rFonts w:ascii="宋体" w:hAnsi="宋体" w:eastAsia="宋体"/>
          <w:sz w:val="24"/>
        </w:rPr>
        <w:t>—</w:t>
      </w:r>
      <w:r>
        <w:rPr>
          <w:rFonts w:ascii="Times New Roman" w:hAnsi="Times New Roman"/>
          <w:sz w:val="24"/>
        </w:rPr>
        <w:t>2050</w:t>
      </w:r>
      <w:r>
        <w:rPr>
          <w:rFonts w:ascii="宋体" w:hAnsi="宋体" w:eastAsia="宋体"/>
          <w:sz w:val="24"/>
        </w:rPr>
        <w:t>年），随着中国金融市场的进一步开放、汇率市场化改革的推进以及数字人民币跨境应用的成熟，人民币有望成为与美元、欧元并列的国际储备货币之一，形成“三足鼎立”的国际货币新格局。</w:t>
      </w:r>
    </w:p>
    <w:p>
      <w:pPr>
        <w:pStyle w:val="Heading1"/>
        <w:jc w:val="left"/>
      </w:pPr>
      <w:r>
        <w:t>五、结论</w:t>
      </w:r>
    </w:p>
    <w:p>
      <w:pPr>
        <w:spacing w:line="400" w:lineRule="exact" w:before="0" w:after="0"/>
        <w:ind w:firstLine="420"/>
        <w:jc w:val="both"/>
      </w:pPr>
      <w:r>
        <w:rPr>
          <w:rFonts w:ascii="宋体" w:hAnsi="宋体" w:eastAsia="宋体"/>
          <w:sz w:val="24"/>
        </w:rPr>
        <w:t>人民币国际化是中国经济崛起和全球化进程中的重要历史进程。经过十余年的发展，人民币在贸易结算、金融投资、外汇储备等领域的国际使用已取得了显著成就，但与美元和欧元相比仍有较大差距。</w:t>
      </w:r>
    </w:p>
    <w:p>
      <w:pPr>
        <w:spacing w:line="400" w:lineRule="exact" w:before="0" w:after="0"/>
        <w:ind w:firstLine="420"/>
        <w:jc w:val="both"/>
      </w:pPr>
      <w:r>
        <w:rPr>
          <w:rFonts w:ascii="宋体" w:hAnsi="宋体" w:eastAsia="宋体"/>
          <w:sz w:val="24"/>
        </w:rPr>
        <w:t>未来，人民币国际化需要在以下几个方向持续推进：一是稳步推进资本账户开放，在风险可控的前提下逐步放宽资本流动限制；二是深化金融市场改革，提高市场深度、流动性和国际化水平；三是完善汇率形成机制，增强汇率弹性，发挥市场在汇率定价中的决定性作用；四是把握数字货币发展机遇，推动数字人民币跨境应用；五是加强区域经济合作，扩大人民币在“一带一路”和</w:t>
      </w:r>
      <w:r>
        <w:rPr>
          <w:rFonts w:ascii="Times New Roman" w:hAnsi="Times New Roman"/>
          <w:sz w:val="24"/>
        </w:rPr>
        <w:t>RCEP</w:t>
      </w:r>
      <w:r>
        <w:rPr>
          <w:rFonts w:ascii="宋体" w:hAnsi="宋体" w:eastAsia="宋体"/>
          <w:sz w:val="24"/>
        </w:rPr>
        <w:t>框架下的使用。</w:t>
      </w:r>
    </w:p>
    <w:p>
      <w:pPr>
        <w:spacing w:line="400" w:lineRule="exact" w:before="0" w:after="0"/>
        <w:ind w:firstLine="420"/>
        <w:jc w:val="both"/>
      </w:pPr>
      <w:r>
        <w:rPr>
          <w:rFonts w:ascii="宋体" w:hAnsi="宋体" w:eastAsia="宋体"/>
          <w:sz w:val="24"/>
        </w:rPr>
        <w:t>人民币国际化不是对现有国际货币体系的颠覆，而是对现有体系的补充和完善。一个多元化的国际货币体系将有助于降低全球金融体系的系统性风险，促进世界经济的稳定与繁荣。</w:t>
      </w:r>
    </w:p>
    <w:p/>
    <w:p>
      <w:pPr>
        <w:pStyle w:val="Heading1"/>
        <w:jc w:val="left"/>
      </w:pPr>
      <w:r>
        <w:t>参考文献</w:t>
      </w:r>
    </w:p>
    <w:p>
      <w:pPr>
        <w:spacing w:line="400" w:lineRule="exact" w:before="0" w:after="0"/>
        <w:jc w:val="both"/>
      </w:pPr>
      <w:r>
        <w:rPr>
          <w:rFonts w:ascii="Times New Roman" w:hAnsi="Times New Roman"/>
          <w:sz w:val="24"/>
        </w:rPr>
        <w:t xml:space="preserve">[1] </w:t>
      </w:r>
      <w:r>
        <w:rPr>
          <w:rFonts w:ascii="宋体" w:hAnsi="宋体" w:eastAsia="宋体"/>
          <w:sz w:val="24"/>
        </w:rPr>
        <w:t>中国人民银行</w:t>
      </w:r>
      <w:r>
        <w:rPr>
          <w:rFonts w:ascii="Times New Roman" w:hAnsi="Times New Roman"/>
          <w:sz w:val="24"/>
        </w:rPr>
        <w:t>. 2024</w:t>
      </w:r>
      <w:r>
        <w:rPr>
          <w:rFonts w:ascii="宋体" w:hAnsi="宋体" w:eastAsia="宋体"/>
          <w:sz w:val="24"/>
        </w:rPr>
        <w:t>年人民币国际化报告</w:t>
      </w:r>
      <w:r>
        <w:rPr>
          <w:rFonts w:ascii="Times New Roman" w:hAnsi="Times New Roman"/>
          <w:sz w:val="24"/>
        </w:rPr>
        <w:t xml:space="preserve">[R]. </w:t>
      </w:r>
      <w:r>
        <w:rPr>
          <w:rFonts w:ascii="宋体" w:hAnsi="宋体" w:eastAsia="宋体"/>
          <w:sz w:val="24"/>
        </w:rPr>
        <w:t>北京</w:t>
      </w:r>
      <w:r>
        <w:rPr>
          <w:rFonts w:ascii="Times New Roman" w:hAnsi="Times New Roman"/>
          <w:sz w:val="24"/>
        </w:rPr>
        <w:t xml:space="preserve">: </w:t>
      </w:r>
      <w:r>
        <w:rPr>
          <w:rFonts w:ascii="宋体" w:hAnsi="宋体" w:eastAsia="宋体"/>
          <w:sz w:val="24"/>
        </w:rPr>
        <w:t>中国人民银行</w:t>
      </w:r>
      <w:r>
        <w:rPr>
          <w:rFonts w:ascii="Times New Roman" w:hAnsi="Times New Roman"/>
          <w:sz w:val="24"/>
        </w:rPr>
        <w:t>, 2025.</w:t>
      </w:r>
    </w:p>
    <w:p>
      <w:pPr>
        <w:spacing w:line="400" w:lineRule="exact" w:before="0" w:after="0"/>
        <w:jc w:val="both"/>
      </w:pPr>
      <w:r>
        <w:rPr>
          <w:rFonts w:ascii="Times New Roman" w:hAnsi="Times New Roman"/>
          <w:sz w:val="24"/>
        </w:rPr>
        <w:t xml:space="preserve">[2] </w:t>
      </w:r>
      <w:r>
        <w:rPr>
          <w:rFonts w:ascii="宋体" w:hAnsi="宋体" w:eastAsia="宋体"/>
          <w:sz w:val="24"/>
        </w:rPr>
        <w:t>张明</w:t>
      </w:r>
      <w:r>
        <w:rPr>
          <w:rFonts w:ascii="Times New Roman" w:hAnsi="Times New Roman"/>
          <w:sz w:val="24"/>
        </w:rPr>
        <w:t xml:space="preserve">, </w:t>
      </w:r>
      <w:r>
        <w:rPr>
          <w:rFonts w:ascii="宋体" w:hAnsi="宋体" w:eastAsia="宋体"/>
          <w:sz w:val="24"/>
        </w:rPr>
        <w:t>肖立晟</w:t>
      </w:r>
      <w:r>
        <w:rPr>
          <w:rFonts w:ascii="Times New Roman" w:hAnsi="Times New Roman"/>
          <w:sz w:val="24"/>
        </w:rPr>
        <w:t xml:space="preserve">. </w:t>
      </w:r>
      <w:r>
        <w:rPr>
          <w:rFonts w:ascii="宋体" w:hAnsi="宋体" w:eastAsia="宋体"/>
          <w:sz w:val="24"/>
        </w:rPr>
        <w:t>人民币国际化的理论逻辑与实践路径</w:t>
      </w:r>
      <w:r>
        <w:rPr>
          <w:rFonts w:ascii="Times New Roman" w:hAnsi="Times New Roman"/>
          <w:sz w:val="24"/>
        </w:rPr>
        <w:t xml:space="preserve">[J]. </w:t>
      </w:r>
      <w:r>
        <w:rPr>
          <w:rFonts w:ascii="宋体" w:hAnsi="宋体" w:eastAsia="宋体"/>
          <w:sz w:val="24"/>
        </w:rPr>
        <w:t>世界经济</w:t>
      </w:r>
      <w:r>
        <w:rPr>
          <w:rFonts w:ascii="Times New Roman" w:hAnsi="Times New Roman"/>
          <w:sz w:val="24"/>
        </w:rPr>
        <w:t>, 2023, 46(8): 3-28.</w:t>
      </w:r>
    </w:p>
    <w:p>
      <w:pPr>
        <w:spacing w:line="400" w:lineRule="exact" w:before="0" w:after="0"/>
        <w:jc w:val="both"/>
      </w:pPr>
      <w:r>
        <w:rPr>
          <w:rFonts w:ascii="Times New Roman" w:hAnsi="Times New Roman"/>
          <w:sz w:val="24"/>
        </w:rPr>
        <w:t xml:space="preserve">[3] </w:t>
      </w:r>
      <w:r>
        <w:rPr>
          <w:rFonts w:ascii="宋体" w:hAnsi="宋体" w:eastAsia="宋体"/>
          <w:sz w:val="24"/>
        </w:rPr>
        <w:t>余永定</w:t>
      </w:r>
      <w:r>
        <w:rPr>
          <w:rFonts w:ascii="Times New Roman" w:hAnsi="Times New Roman"/>
          <w:sz w:val="24"/>
        </w:rPr>
        <w:t xml:space="preserve">. </w:t>
      </w:r>
      <w:r>
        <w:rPr>
          <w:rFonts w:ascii="宋体" w:hAnsi="宋体" w:eastAsia="宋体"/>
          <w:sz w:val="24"/>
        </w:rPr>
        <w:t>人民币国际化的条件与前景</w:t>
      </w:r>
      <w:r>
        <w:rPr>
          <w:rFonts w:ascii="Times New Roman" w:hAnsi="Times New Roman"/>
          <w:sz w:val="24"/>
        </w:rPr>
        <w:t xml:space="preserve">[J]. </w:t>
      </w:r>
      <w:r>
        <w:rPr>
          <w:rFonts w:ascii="宋体" w:hAnsi="宋体" w:eastAsia="宋体"/>
          <w:sz w:val="24"/>
        </w:rPr>
        <w:t>国际经济评论</w:t>
      </w:r>
      <w:r>
        <w:rPr>
          <w:rFonts w:ascii="Times New Roman" w:hAnsi="Times New Roman"/>
          <w:sz w:val="24"/>
        </w:rPr>
        <w:t>, 2022(5): 9-25.</w:t>
      </w:r>
    </w:p>
    <w:p>
      <w:pPr>
        <w:spacing w:line="400" w:lineRule="exact" w:before="0" w:after="0"/>
        <w:jc w:val="both"/>
      </w:pPr>
      <w:r>
        <w:rPr>
          <w:rFonts w:ascii="Times New Roman" w:hAnsi="Times New Roman"/>
          <w:sz w:val="24"/>
        </w:rPr>
        <w:t xml:space="preserve">[4] </w:t>
      </w:r>
      <w:r>
        <w:rPr>
          <w:rFonts w:ascii="宋体" w:hAnsi="宋体" w:eastAsia="宋体"/>
          <w:sz w:val="24"/>
        </w:rPr>
        <w:t>管涛</w:t>
      </w:r>
      <w:r>
        <w:rPr>
          <w:rFonts w:ascii="Times New Roman" w:hAnsi="Times New Roman"/>
          <w:sz w:val="24"/>
        </w:rPr>
        <w:t xml:space="preserve">. </w:t>
      </w:r>
      <w:r>
        <w:rPr>
          <w:rFonts w:ascii="宋体" w:hAnsi="宋体" w:eastAsia="宋体"/>
          <w:sz w:val="24"/>
        </w:rPr>
        <w:t>汇率的本质</w:t>
      </w:r>
      <w:r>
        <w:rPr>
          <w:rFonts w:ascii="Times New Roman" w:hAnsi="Times New Roman"/>
          <w:sz w:val="24"/>
        </w:rPr>
        <w:t xml:space="preserve">[M]. </w:t>
      </w:r>
      <w:r>
        <w:rPr>
          <w:rFonts w:ascii="宋体" w:hAnsi="宋体" w:eastAsia="宋体"/>
          <w:sz w:val="24"/>
        </w:rPr>
        <w:t>北京</w:t>
      </w:r>
      <w:r>
        <w:rPr>
          <w:rFonts w:ascii="Times New Roman" w:hAnsi="Times New Roman"/>
          <w:sz w:val="24"/>
        </w:rPr>
        <w:t xml:space="preserve">: </w:t>
      </w:r>
      <w:r>
        <w:rPr>
          <w:rFonts w:ascii="宋体" w:hAnsi="宋体" w:eastAsia="宋体"/>
          <w:sz w:val="24"/>
        </w:rPr>
        <w:t>中信出版社</w:t>
      </w:r>
      <w:r>
        <w:rPr>
          <w:rFonts w:ascii="Times New Roman" w:hAnsi="Times New Roman"/>
          <w:sz w:val="24"/>
        </w:rPr>
        <w:t>, 2016.</w:t>
      </w:r>
    </w:p>
    <w:p>
      <w:pPr>
        <w:spacing w:line="400" w:lineRule="exact" w:before="0" w:after="0"/>
        <w:jc w:val="both"/>
      </w:pPr>
      <w:r>
        <w:rPr>
          <w:rFonts w:ascii="Times New Roman" w:hAnsi="Times New Roman"/>
          <w:sz w:val="24"/>
        </w:rPr>
        <w:t xml:space="preserve">[5] </w:t>
      </w:r>
      <w:r>
        <w:rPr>
          <w:rFonts w:ascii="宋体" w:hAnsi="宋体" w:eastAsia="宋体"/>
          <w:sz w:val="24"/>
        </w:rPr>
        <w:t>姜波克</w:t>
      </w:r>
      <w:r>
        <w:rPr>
          <w:rFonts w:ascii="Times New Roman" w:hAnsi="Times New Roman"/>
          <w:sz w:val="24"/>
        </w:rPr>
        <w:t xml:space="preserve">, </w:t>
      </w:r>
      <w:r>
        <w:rPr>
          <w:rFonts w:ascii="宋体" w:hAnsi="宋体" w:eastAsia="宋体"/>
          <w:sz w:val="24"/>
        </w:rPr>
        <w:t>罗剑</w:t>
      </w:r>
      <w:r>
        <w:rPr>
          <w:rFonts w:ascii="Times New Roman" w:hAnsi="Times New Roman"/>
          <w:sz w:val="24"/>
        </w:rPr>
        <w:t xml:space="preserve">. </w:t>
      </w:r>
      <w:r>
        <w:rPr>
          <w:rFonts w:ascii="宋体" w:hAnsi="宋体" w:eastAsia="宋体"/>
          <w:sz w:val="24"/>
        </w:rPr>
        <w:t>国际金融学</w:t>
      </w:r>
      <w:r>
        <w:rPr>
          <w:rFonts w:ascii="Times New Roman" w:hAnsi="Times New Roman"/>
          <w:sz w:val="24"/>
        </w:rPr>
        <w:t xml:space="preserve">[M]. </w:t>
      </w:r>
      <w:r>
        <w:rPr>
          <w:rFonts w:ascii="宋体" w:hAnsi="宋体" w:eastAsia="宋体"/>
          <w:sz w:val="24"/>
        </w:rPr>
        <w:t>第</w:t>
      </w:r>
      <w:r>
        <w:rPr>
          <w:rFonts w:ascii="Times New Roman" w:hAnsi="Times New Roman"/>
          <w:sz w:val="24"/>
        </w:rPr>
        <w:t>4</w:t>
      </w:r>
      <w:r>
        <w:rPr>
          <w:rFonts w:ascii="宋体" w:hAnsi="宋体" w:eastAsia="宋体"/>
          <w:sz w:val="24"/>
        </w:rPr>
        <w:t>版</w:t>
      </w:r>
      <w:r>
        <w:rPr>
          <w:rFonts w:ascii="Times New Roman" w:hAnsi="Times New Roman"/>
          <w:sz w:val="24"/>
        </w:rPr>
        <w:t xml:space="preserve">. </w:t>
      </w:r>
      <w:r>
        <w:rPr>
          <w:rFonts w:ascii="宋体" w:hAnsi="宋体" w:eastAsia="宋体"/>
          <w:sz w:val="24"/>
        </w:rPr>
        <w:t>北京</w:t>
      </w:r>
      <w:r>
        <w:rPr>
          <w:rFonts w:ascii="Times New Roman" w:hAnsi="Times New Roman"/>
          <w:sz w:val="24"/>
        </w:rPr>
        <w:t xml:space="preserve">: </w:t>
      </w:r>
      <w:r>
        <w:rPr>
          <w:rFonts w:ascii="宋体" w:hAnsi="宋体" w:eastAsia="宋体"/>
          <w:sz w:val="24"/>
        </w:rPr>
        <w:t>高等教育出版社</w:t>
      </w:r>
      <w:r>
        <w:rPr>
          <w:rFonts w:ascii="Times New Roman" w:hAnsi="Times New Roman"/>
          <w:sz w:val="24"/>
        </w:rPr>
        <w:t>, 2022.</w:t>
      </w:r>
    </w:p>
    <w:p>
      <w:pPr>
        <w:spacing w:line="400" w:lineRule="exact" w:before="0" w:after="0"/>
        <w:jc w:val="both"/>
      </w:pPr>
      <w:r>
        <w:rPr>
          <w:rFonts w:ascii="Times New Roman" w:hAnsi="Times New Roman"/>
          <w:sz w:val="24"/>
        </w:rPr>
        <w:t xml:space="preserve">[6] </w:t>
      </w:r>
      <w:r>
        <w:rPr>
          <w:rFonts w:ascii="宋体" w:hAnsi="宋体" w:eastAsia="宋体"/>
          <w:sz w:val="24"/>
        </w:rPr>
        <w:t>巴里·艾肯格林</w:t>
      </w:r>
      <w:r>
        <w:rPr>
          <w:rFonts w:ascii="Times New Roman" w:hAnsi="Times New Roman"/>
          <w:sz w:val="24"/>
        </w:rPr>
        <w:t xml:space="preserve">. </w:t>
      </w:r>
      <w:r>
        <w:rPr>
          <w:rFonts w:ascii="宋体" w:hAnsi="宋体" w:eastAsia="宋体"/>
          <w:sz w:val="24"/>
        </w:rPr>
        <w:t>嚣张的特权</w:t>
      </w:r>
      <w:r>
        <w:rPr>
          <w:rFonts w:ascii="Times New Roman" w:hAnsi="Times New Roman"/>
          <w:sz w:val="24"/>
        </w:rPr>
        <w:t xml:space="preserve">: </w:t>
      </w:r>
      <w:r>
        <w:rPr>
          <w:rFonts w:ascii="宋体" w:hAnsi="宋体" w:eastAsia="宋体"/>
          <w:sz w:val="24"/>
        </w:rPr>
        <w:t>美元的兴衰和货币的未来</w:t>
      </w:r>
      <w:r>
        <w:rPr>
          <w:rFonts w:ascii="Times New Roman" w:hAnsi="Times New Roman"/>
          <w:sz w:val="24"/>
        </w:rPr>
        <w:t xml:space="preserve">[M]. </w:t>
      </w:r>
      <w:r>
        <w:rPr>
          <w:rFonts w:ascii="宋体" w:hAnsi="宋体" w:eastAsia="宋体"/>
          <w:sz w:val="24"/>
        </w:rPr>
        <w:t>赵灿</w:t>
      </w:r>
      <w:r>
        <w:rPr>
          <w:rFonts w:ascii="Times New Roman" w:hAnsi="Times New Roman"/>
          <w:sz w:val="24"/>
        </w:rPr>
        <w:t xml:space="preserve">, </w:t>
      </w:r>
      <w:r>
        <w:rPr>
          <w:rFonts w:ascii="宋体" w:hAnsi="宋体" w:eastAsia="宋体"/>
          <w:sz w:val="24"/>
        </w:rPr>
        <w:t>译</w:t>
      </w:r>
      <w:r>
        <w:rPr>
          <w:rFonts w:ascii="Times New Roman" w:hAnsi="Times New Roman"/>
          <w:sz w:val="24"/>
        </w:rPr>
        <w:t xml:space="preserve">. </w:t>
      </w:r>
      <w:r>
        <w:rPr>
          <w:rFonts w:ascii="宋体" w:hAnsi="宋体" w:eastAsia="宋体"/>
          <w:sz w:val="24"/>
        </w:rPr>
        <w:t>北京</w:t>
      </w:r>
      <w:r>
        <w:rPr>
          <w:rFonts w:ascii="Times New Roman" w:hAnsi="Times New Roman"/>
          <w:sz w:val="24"/>
        </w:rPr>
        <w:t xml:space="preserve">: </w:t>
      </w:r>
      <w:r>
        <w:rPr>
          <w:rFonts w:ascii="宋体" w:hAnsi="宋体" w:eastAsia="宋体"/>
          <w:sz w:val="24"/>
        </w:rPr>
        <w:t>中信出版社</w:t>
      </w:r>
      <w:r>
        <w:rPr>
          <w:rFonts w:ascii="Times New Roman" w:hAnsi="Times New Roman"/>
          <w:sz w:val="24"/>
        </w:rPr>
        <w:t>, 2017.</w:t>
      </w:r>
    </w:p>
    <w:p>
      <w:pPr>
        <w:spacing w:line="400" w:lineRule="exact" w:before="0" w:after="0"/>
        <w:jc w:val="both"/>
      </w:pPr>
      <w:r>
        <w:rPr>
          <w:rFonts w:ascii="Times New Roman" w:hAnsi="Times New Roman"/>
          <w:sz w:val="24"/>
        </w:rPr>
        <w:t>[7] Eichengreen B, Flandreau M. The Rise and Fall of the Dollar, or When Did the Dollar Replace Sterling as the Leading International Currency?[J]. Review of International Political Economy, 2010, 17(5): 895-918.</w:t>
      </w:r>
    </w:p>
    <w:p>
      <w:pPr>
        <w:spacing w:line="400" w:lineRule="exact" w:before="0" w:after="0"/>
        <w:jc w:val="both"/>
      </w:pPr>
      <w:r>
        <w:rPr>
          <w:rFonts w:ascii="Times New Roman" w:hAnsi="Times New Roman"/>
          <w:sz w:val="24"/>
        </w:rPr>
        <w:t>[8] IMF. Currency Composition of Official Foreign Exchange Reserves (COFER)[EB/OL]. [2025-06-01]. https://data.imf.org/COFER.</w:t>
      </w:r>
    </w:p>
    <w:p>
      <w:pPr>
        <w:spacing w:line="400" w:lineRule="exact" w:before="0" w:after="0"/>
        <w:jc w:val="both"/>
      </w:pPr>
      <w:r>
        <w:rPr>
          <w:rFonts w:ascii="Times New Roman" w:hAnsi="Times New Roman"/>
          <w:sz w:val="24"/>
        </w:rPr>
        <w:t>[9] SWIFT. RMB Tracker: Global Payments Data[EB/OL]. [2025-05-15]. https://www.swift.com.</w:t>
      </w:r>
    </w:p>
    <w:p>
      <w:pPr>
        <w:spacing w:line="400" w:lineRule="exact" w:before="0" w:after="0"/>
        <w:jc w:val="both"/>
      </w:pPr>
      <w:r>
        <w:rPr>
          <w:rFonts w:ascii="Times New Roman" w:hAnsi="Times New Roman"/>
          <w:sz w:val="24"/>
        </w:rPr>
        <w:t>[10] BIS. Triennial Central Bank Survey of Foreign Exchange and OTC Derivatives Markets[EB/OL]. [2025-04-20]. https://www.bis.org/statistics/rpfx24.htm.</w:t>
      </w:r>
    </w:p>
    <w:p>
      <w:pPr>
        <w:spacing w:line="400" w:lineRule="exact" w:before="0" w:after="0"/>
        <w:jc w:val="both"/>
      </w:pPr>
      <w:r>
        <w:rPr>
          <w:rFonts w:ascii="Times New Roman" w:hAnsi="Times New Roman"/>
          <w:sz w:val="24"/>
        </w:rPr>
        <w:t xml:space="preserve">[11] </w:t>
      </w:r>
      <w:r>
        <w:rPr>
          <w:rFonts w:ascii="宋体" w:hAnsi="宋体" w:eastAsia="宋体"/>
          <w:sz w:val="24"/>
        </w:rPr>
        <w:t>中国人民银行</w:t>
      </w:r>
      <w:r>
        <w:rPr>
          <w:rFonts w:ascii="Times New Roman" w:hAnsi="Times New Roman"/>
          <w:sz w:val="24"/>
        </w:rPr>
        <w:t xml:space="preserve">, </w:t>
      </w:r>
      <w:r>
        <w:rPr>
          <w:rFonts w:ascii="宋体" w:hAnsi="宋体" w:eastAsia="宋体"/>
          <w:sz w:val="24"/>
        </w:rPr>
        <w:t>香港金融管理局</w:t>
      </w:r>
      <w:r>
        <w:rPr>
          <w:rFonts w:ascii="Times New Roman" w:hAnsi="Times New Roman"/>
          <w:sz w:val="24"/>
        </w:rPr>
        <w:t xml:space="preserve">. </w:t>
      </w:r>
      <w:r>
        <w:rPr>
          <w:rFonts w:ascii="宋体" w:hAnsi="宋体" w:eastAsia="宋体"/>
          <w:sz w:val="24"/>
        </w:rPr>
        <w:t>多边央行数字货币桥项目年度报告</w:t>
      </w:r>
      <w:r>
        <w:rPr>
          <w:rFonts w:ascii="Times New Roman" w:hAnsi="Times New Roman"/>
          <w:sz w:val="24"/>
        </w:rPr>
        <w:t>[R]. 2024.</w:t>
      </w:r>
    </w:p>
    <w:p>
      <w:pPr>
        <w:spacing w:line="400" w:lineRule="exact" w:before="0" w:after="0"/>
        <w:jc w:val="both"/>
      </w:pPr>
      <w:r>
        <w:rPr>
          <w:rFonts w:ascii="Times New Roman" w:hAnsi="Times New Roman"/>
          <w:sz w:val="24"/>
        </w:rPr>
        <w:t xml:space="preserve">[12] </w:t>
      </w:r>
      <w:r>
        <w:rPr>
          <w:rFonts w:ascii="宋体" w:hAnsi="宋体" w:eastAsia="宋体"/>
          <w:sz w:val="24"/>
        </w:rPr>
        <w:t>陆磊</w:t>
      </w:r>
      <w:r>
        <w:rPr>
          <w:rFonts w:ascii="Times New Roman" w:hAnsi="Times New Roman"/>
          <w:sz w:val="24"/>
        </w:rPr>
        <w:t xml:space="preserve">, </w:t>
      </w:r>
      <w:r>
        <w:rPr>
          <w:rFonts w:ascii="宋体" w:hAnsi="宋体" w:eastAsia="宋体"/>
          <w:sz w:val="24"/>
        </w:rPr>
        <w:t>张成思</w:t>
      </w:r>
      <w:r>
        <w:rPr>
          <w:rFonts w:ascii="Times New Roman" w:hAnsi="Times New Roman"/>
          <w:sz w:val="24"/>
        </w:rPr>
        <w:t xml:space="preserve">. </w:t>
      </w:r>
      <w:r>
        <w:rPr>
          <w:rFonts w:ascii="宋体" w:hAnsi="宋体" w:eastAsia="宋体"/>
          <w:sz w:val="24"/>
        </w:rPr>
        <w:t>数字货币与货币国际化</w:t>
      </w:r>
      <w:r>
        <w:rPr>
          <w:rFonts w:ascii="Times New Roman" w:hAnsi="Times New Roman"/>
          <w:sz w:val="24"/>
        </w:rPr>
        <w:t xml:space="preserve">: </w:t>
      </w:r>
      <w:r>
        <w:rPr>
          <w:rFonts w:ascii="宋体" w:hAnsi="宋体" w:eastAsia="宋体"/>
          <w:sz w:val="24"/>
        </w:rPr>
        <w:t>理论分析与政策选择</w:t>
      </w:r>
      <w:r>
        <w:rPr>
          <w:rFonts w:ascii="Times New Roman" w:hAnsi="Times New Roman"/>
          <w:sz w:val="24"/>
        </w:rPr>
        <w:t xml:space="preserve">[J]. </w:t>
      </w:r>
      <w:r>
        <w:rPr>
          <w:rFonts w:ascii="宋体" w:hAnsi="宋体" w:eastAsia="宋体"/>
          <w:sz w:val="24"/>
        </w:rPr>
        <w:t>金融研究</w:t>
      </w:r>
      <w:r>
        <w:rPr>
          <w:rFonts w:ascii="Times New Roman" w:hAnsi="Times New Roman"/>
          <w:sz w:val="24"/>
        </w:rPr>
        <w:t>, 2023(4): 1-17.</w:t>
      </w:r>
    </w:p>
    <w:p>
      <w:pPr>
        <w:spacing w:line="400" w:lineRule="exact" w:before="0" w:after="0"/>
        <w:jc w:val="both"/>
      </w:pPr>
      <w:r>
        <w:rPr>
          <w:rFonts w:ascii="Times New Roman" w:hAnsi="Times New Roman"/>
          <w:sz w:val="24"/>
        </w:rPr>
        <w:t xml:space="preserve">[13] </w:t>
      </w:r>
      <w:r>
        <w:rPr>
          <w:rFonts w:ascii="宋体" w:hAnsi="宋体" w:eastAsia="宋体"/>
          <w:sz w:val="24"/>
        </w:rPr>
        <w:t>中国外汇交易中心</w:t>
      </w:r>
      <w:r>
        <w:rPr>
          <w:rFonts w:ascii="Times New Roman" w:hAnsi="Times New Roman"/>
          <w:sz w:val="24"/>
        </w:rPr>
        <w:t>. 2024</w:t>
      </w:r>
      <w:r>
        <w:rPr>
          <w:rFonts w:ascii="宋体" w:hAnsi="宋体" w:eastAsia="宋体"/>
          <w:sz w:val="24"/>
        </w:rPr>
        <w:t>年银行间外汇市场交易数据</w:t>
      </w:r>
      <w:r>
        <w:rPr>
          <w:rFonts w:ascii="Times New Roman" w:hAnsi="Times New Roman"/>
          <w:sz w:val="24"/>
        </w:rPr>
        <w:t>[EB/OL]. [2025-03-15]. https://www.chinamoney.com.cn.</w:t>
      </w:r>
    </w:p>
    <w:p>
      <w:pPr>
        <w:spacing w:line="400" w:lineRule="exact" w:before="0" w:after="0"/>
        <w:jc w:val="both"/>
      </w:pPr>
      <w:r>
        <w:rPr>
          <w:rFonts w:ascii="Times New Roman" w:hAnsi="Times New Roman"/>
          <w:sz w:val="24"/>
        </w:rPr>
        <w:t>[14] World Bank. World Development Indicators 2025[EB/OL]. [2025-05-01]. https://databank.worldbank.org.</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before="0" w:after="0"/>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exact"/>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120" w:line="400" w:lineRule="exact"/>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120" w:line="400" w:lineRule="exact"/>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