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44"/>
        </w:rPr>
        <w:t>浙江省科学技术进步奖提名书</w:t>
        <w:br/>
        <w:t>（2026年度）</w:t>
      </w:r>
    </w:p>
    <w:p>
      <w:pPr>
        <w:pStyle w:val="Heading1"/>
      </w:pPr>
      <w:r>
        <w:rPr>
          <w:rFonts w:ascii="黑体" w:hAnsi="黑体" w:eastAsia="黑体"/>
          <w:sz w:val="32"/>
        </w:rPr>
        <w:t>一、成果基本情况</w:t>
      </w:r>
    </w:p>
    <w:tbl>
      <w:tblPr>
        <w:tblW w:type="auto" w:w="0"/>
        <w:jc w:val="center"/>
        <w:tblLook w:firstColumn="1" w:firstRow="1" w:lastColumn="0" w:lastRow="0" w:noHBand="0" w:noVBand="1" w:val="04A0"/>
      </w:tblPr>
      <w:tblGrid>
        <w:gridCol w:w="4323"/>
        <w:gridCol w:w="4323"/>
      </w:tblGrid>
      <w:tr>
        <w:tc>
          <w:tcPr>
            <w:tcW w:type="dxa" w:w="4323"/>
          </w:tcPr>
          <w:p>
            <w:r>
              <w:rPr>
                <w:rFonts w:ascii="仿宋" w:hAnsi="仿宋" w:eastAsia="仿宋"/>
                <w:b/>
                <w:sz w:val="22"/>
              </w:rPr>
              <w:t>成果名称（中文）</w:t>
            </w:r>
          </w:p>
        </w:tc>
        <w:tc>
          <w:tcPr>
            <w:tcW w:type="dxa" w:w="4323"/>
          </w:tcPr>
          <w:p>
            <w:r>
              <w:rPr>
                <w:rFonts w:ascii="仿宋" w:hAnsi="仿宋" w:eastAsia="仿宋"/>
                <w:sz w:val="22"/>
              </w:rPr>
              <w:t>递归自主式分解与人机协作新范式及产业化应用</w:t>
            </w:r>
          </w:p>
        </w:tc>
      </w:tr>
      <w:tr>
        <w:tc>
          <w:tcPr>
            <w:tcW w:type="dxa" w:w="4323"/>
          </w:tcPr>
          <w:p>
            <w:r>
              <w:rPr>
                <w:rFonts w:ascii="仿宋" w:hAnsi="仿宋" w:eastAsia="仿宋"/>
                <w:b/>
                <w:sz w:val="22"/>
              </w:rPr>
              <w:t>提名者</w:t>
            </w:r>
          </w:p>
        </w:tc>
        <w:tc>
          <w:tcPr>
            <w:tcW w:type="dxa" w:w="4323"/>
          </w:tcPr>
          <w:p>
            <w:r>
              <w:rPr>
                <w:rFonts w:ascii="仿宋" w:hAnsi="仿宋" w:eastAsia="仿宋"/>
                <w:sz w:val="22"/>
              </w:rPr>
              <w:t>浙江省教育厅</w:t>
            </w:r>
          </w:p>
        </w:tc>
      </w:tr>
      <w:tr>
        <w:tc>
          <w:tcPr>
            <w:tcW w:type="dxa" w:w="4323"/>
          </w:tcPr>
          <w:p>
            <w:r>
              <w:rPr>
                <w:rFonts w:ascii="仿宋" w:hAnsi="仿宋" w:eastAsia="仿宋"/>
                <w:b/>
                <w:sz w:val="22"/>
              </w:rPr>
              <w:t>提名奖励等级</w:t>
            </w:r>
          </w:p>
        </w:tc>
        <w:tc>
          <w:tcPr>
            <w:tcW w:type="dxa" w:w="4323"/>
          </w:tcPr>
          <w:p>
            <w:r>
              <w:rPr>
                <w:rFonts w:ascii="仿宋" w:hAnsi="仿宋" w:eastAsia="仿宋"/>
                <w:sz w:val="22"/>
              </w:rPr>
              <w:t>一等奖</w:t>
            </w:r>
          </w:p>
        </w:tc>
      </w:tr>
      <w:tr>
        <w:tc>
          <w:tcPr>
            <w:tcW w:type="dxa" w:w="4323"/>
          </w:tcPr>
          <w:p>
            <w:r>
              <w:rPr>
                <w:rFonts w:ascii="仿宋" w:hAnsi="仿宋" w:eastAsia="仿宋"/>
                <w:b/>
                <w:sz w:val="22"/>
              </w:rPr>
              <w:t>主要完成人员</w:t>
            </w:r>
          </w:p>
        </w:tc>
        <w:tc>
          <w:tcPr>
            <w:tcW w:type="dxa" w:w="4323"/>
          </w:tcPr>
          <w:p>
            <w:r>
              <w:rPr>
                <w:rFonts w:ascii="仿宋" w:hAnsi="仿宋" w:eastAsia="仿宋"/>
                <w:sz w:val="22"/>
              </w:rPr>
              <w:t>董黎刚、诸葛斌、蒋献、张子天、王伟明、吴春明、喻胜、唐永林</w:t>
            </w:r>
          </w:p>
        </w:tc>
      </w:tr>
      <w:tr>
        <w:tc>
          <w:tcPr>
            <w:tcW w:type="dxa" w:w="4323"/>
          </w:tcPr>
          <w:p>
            <w:r>
              <w:rPr>
                <w:rFonts w:ascii="仿宋" w:hAnsi="仿宋" w:eastAsia="仿宋"/>
                <w:b/>
                <w:sz w:val="22"/>
              </w:rPr>
              <w:t>主要完成单位</w:t>
            </w:r>
          </w:p>
        </w:tc>
        <w:tc>
          <w:tcPr>
            <w:tcW w:type="dxa" w:w="4323"/>
          </w:tcPr>
          <w:p>
            <w:r>
              <w:rPr>
                <w:rFonts w:ascii="仿宋" w:hAnsi="仿宋" w:eastAsia="仿宋"/>
                <w:sz w:val="22"/>
              </w:rPr>
              <w:t>浙江工商大学、浙江大学、UT斯达康通讯有限公司、中国移动通信集团有限公司</w:t>
            </w:r>
          </w:p>
        </w:tc>
      </w:tr>
      <w:tr>
        <w:tc>
          <w:tcPr>
            <w:tcW w:type="dxa" w:w="4323"/>
          </w:tcPr>
          <w:p>
            <w:r>
              <w:rPr>
                <w:rFonts w:ascii="仿宋" w:hAnsi="仿宋" w:eastAsia="仿宋"/>
                <w:b/>
                <w:sz w:val="22"/>
              </w:rPr>
              <w:t>学科分类名称</w:t>
            </w:r>
          </w:p>
        </w:tc>
        <w:tc>
          <w:tcPr>
            <w:tcW w:type="dxa" w:w="4323"/>
          </w:tcPr>
          <w:p>
            <w:r>
              <w:rPr>
                <w:rFonts w:ascii="仿宋" w:hAnsi="仿宋" w:eastAsia="仿宋"/>
                <w:sz w:val="22"/>
              </w:rPr>
              <w:t>1. 计算机科学 2. 人工智能 3. 通信工程</w:t>
            </w:r>
          </w:p>
        </w:tc>
      </w:tr>
      <w:tr>
        <w:tc>
          <w:tcPr>
            <w:tcW w:type="dxa" w:w="4323"/>
          </w:tcPr>
          <w:p>
            <w:r>
              <w:rPr>
                <w:rFonts w:ascii="仿宋" w:hAnsi="仿宋" w:eastAsia="仿宋"/>
                <w:b/>
                <w:sz w:val="22"/>
              </w:rPr>
              <w:t>所属国民经济行业</w:t>
            </w:r>
          </w:p>
        </w:tc>
        <w:tc>
          <w:tcPr>
            <w:tcW w:type="dxa" w:w="4323"/>
          </w:tcPr>
          <w:p>
            <w:r>
              <w:rPr>
                <w:rFonts w:ascii="仿宋" w:hAnsi="仿宋" w:eastAsia="仿宋"/>
                <w:sz w:val="22"/>
              </w:rPr>
              <w:t>07 软件和信息技术服务业</w:t>
            </w:r>
          </w:p>
        </w:tc>
      </w:tr>
      <w:tr>
        <w:tc>
          <w:tcPr>
            <w:tcW w:type="dxa" w:w="4323"/>
          </w:tcPr>
          <w:p>
            <w:r>
              <w:rPr>
                <w:rFonts w:ascii="仿宋" w:hAnsi="仿宋" w:eastAsia="仿宋"/>
                <w:b/>
                <w:sz w:val="22"/>
              </w:rPr>
              <w:t>任务来源</w:t>
            </w:r>
          </w:p>
        </w:tc>
        <w:tc>
          <w:tcPr>
            <w:tcW w:type="dxa" w:w="4323"/>
          </w:tcPr>
          <w:p>
            <w:r>
              <w:rPr>
                <w:rFonts w:ascii="仿宋" w:hAnsi="仿宋" w:eastAsia="仿宋"/>
                <w:sz w:val="22"/>
              </w:rPr>
              <w:t>03省科技计划、02国家科技计划</w:t>
            </w:r>
          </w:p>
        </w:tc>
      </w:tr>
      <w:tr>
        <w:tc>
          <w:tcPr>
            <w:tcW w:type="dxa" w:w="4323"/>
          </w:tcPr>
          <w:p>
            <w:r>
              <w:rPr>
                <w:rFonts w:ascii="仿宋" w:hAnsi="仿宋" w:eastAsia="仿宋"/>
                <w:b/>
                <w:sz w:val="22"/>
              </w:rPr>
              <w:t>具体计划、基金的名称和编号</w:t>
            </w:r>
          </w:p>
        </w:tc>
        <w:tc>
          <w:tcPr>
            <w:tcW w:type="dxa" w:w="4323"/>
          </w:tcPr>
          <w:p>
            <w:r>
              <w:rPr>
                <w:rFonts w:ascii="仿宋" w:hAnsi="仿宋" w:eastAsia="仿宋"/>
                <w:sz w:val="22"/>
              </w:rPr>
              <w:t>浙江省重点研发计划：新型自安全网络技术研究及应用（2020C01079）；浙江省择优项目：以应用为中心的可编程网络虚拟化技术研究及应用（2021C01036）；国家自然科学基金：6G空天地一体化物联网数据卸载关键技术研究（62301488）；国家自然科学基金国际（地区）合作与交流项目：空天地一体化边缘计算物联网高可靠业务调度技术（W2421086）；欧盟地平线2020玛丽居里人才资助项目（EU-H2020-MSCA-IF-EF-SE 843401）；国家973计划课题</w:t>
            </w:r>
          </w:p>
        </w:tc>
      </w:tr>
      <w:tr>
        <w:tc>
          <w:tcPr>
            <w:tcW w:type="dxa" w:w="4323"/>
          </w:tcPr>
          <w:p>
            <w:r>
              <w:rPr>
                <w:rFonts w:ascii="仿宋" w:hAnsi="仿宋" w:eastAsia="仿宋"/>
                <w:b/>
                <w:sz w:val="22"/>
              </w:rPr>
              <w:t>授权发明专利(件)</w:t>
            </w:r>
          </w:p>
        </w:tc>
        <w:tc>
          <w:tcPr>
            <w:tcW w:type="dxa" w:w="4323"/>
          </w:tcPr>
          <w:p>
            <w:r>
              <w:rPr>
                <w:rFonts w:ascii="仿宋" w:hAnsi="仿宋" w:eastAsia="仿宋"/>
                <w:sz w:val="22"/>
              </w:rPr>
              <w:t>85</w:t>
            </w:r>
          </w:p>
        </w:tc>
      </w:tr>
      <w:tr>
        <w:tc>
          <w:tcPr>
            <w:tcW w:type="dxa" w:w="4323"/>
          </w:tcPr>
          <w:p>
            <w:r>
              <w:rPr>
                <w:rFonts w:ascii="仿宋" w:hAnsi="仿宋" w:eastAsia="仿宋"/>
                <w:b/>
                <w:sz w:val="22"/>
              </w:rPr>
              <w:t>其他知识产权(件)</w:t>
            </w:r>
          </w:p>
        </w:tc>
        <w:tc>
          <w:tcPr>
            <w:tcW w:type="dxa" w:w="4323"/>
          </w:tcPr>
          <w:p>
            <w:r>
              <w:rPr>
                <w:rFonts w:ascii="仿宋" w:hAnsi="仿宋" w:eastAsia="仿宋"/>
                <w:sz w:val="22"/>
              </w:rPr>
              <w:t>120</w:t>
            </w:r>
          </w:p>
        </w:tc>
      </w:tr>
      <w:tr>
        <w:tc>
          <w:tcPr>
            <w:tcW w:type="dxa" w:w="4323"/>
          </w:tcPr>
          <w:p>
            <w:r>
              <w:rPr>
                <w:rFonts w:ascii="仿宋" w:hAnsi="仿宋" w:eastAsia="仿宋"/>
                <w:b/>
                <w:sz w:val="22"/>
              </w:rPr>
              <w:t>直接经济效益（万元）</w:t>
            </w:r>
          </w:p>
        </w:tc>
        <w:tc>
          <w:tcPr>
            <w:tcW w:type="dxa" w:w="4323"/>
          </w:tcPr>
          <w:p>
            <w:r>
              <w:rPr>
                <w:rFonts w:ascii="仿宋" w:hAnsi="仿宋" w:eastAsia="仿宋"/>
                <w:sz w:val="22"/>
              </w:rPr>
              <w:t>285000</w:t>
            </w:r>
          </w:p>
        </w:tc>
      </w:tr>
      <w:tr>
        <w:tc>
          <w:tcPr>
            <w:tcW w:type="dxa" w:w="4323"/>
          </w:tcPr>
          <w:p>
            <w:r>
              <w:rPr>
                <w:rFonts w:ascii="仿宋" w:hAnsi="仿宋" w:eastAsia="仿宋"/>
                <w:b/>
                <w:sz w:val="22"/>
              </w:rPr>
              <w:t>科技成果登记号</w:t>
            </w:r>
          </w:p>
        </w:tc>
        <w:tc>
          <w:tcPr>
            <w:tcW w:type="dxa" w:w="4323"/>
          </w:tcPr>
          <w:p>
            <w:r>
              <w:rPr>
                <w:rFonts w:ascii="仿宋" w:hAnsi="仿宋" w:eastAsia="仿宋"/>
                <w:sz w:val="22"/>
              </w:rPr>
              <w:t>DJ501042026Y0008</w:t>
            </w:r>
          </w:p>
        </w:tc>
      </w:tr>
      <w:tr>
        <w:tc>
          <w:tcPr>
            <w:tcW w:type="dxa" w:w="4323"/>
          </w:tcPr>
          <w:p>
            <w:r>
              <w:rPr>
                <w:rFonts w:ascii="仿宋" w:hAnsi="仿宋" w:eastAsia="仿宋"/>
                <w:b/>
                <w:sz w:val="22"/>
              </w:rPr>
              <w:t>成果起止时间</w:t>
            </w:r>
          </w:p>
        </w:tc>
        <w:tc>
          <w:tcPr>
            <w:tcW w:type="dxa" w:w="4323"/>
          </w:tcPr>
          <w:p>
            <w:r>
              <w:rPr>
                <w:rFonts w:ascii="仿宋" w:hAnsi="仿宋" w:eastAsia="仿宋"/>
                <w:sz w:val="22"/>
              </w:rPr>
              <w:t>起始：2016-01-01 完成：2025-12-30</w:t>
            </w:r>
          </w:p>
        </w:tc>
      </w:tr>
    </w:tbl>
    <w:p>
      <w:pPr>
        <w:spacing w:after="240"/>
      </w:pPr>
    </w:p>
    <w:p>
      <w:pPr>
        <w:pStyle w:val="Heading1"/>
      </w:pPr>
      <w:r>
        <w:rPr>
          <w:rFonts w:ascii="黑体" w:hAnsi="黑体" w:eastAsia="黑体"/>
          <w:sz w:val="32"/>
        </w:rPr>
        <w:t>二、提名意见</w:t>
      </w:r>
    </w:p>
    <w:p>
      <w:pPr>
        <w:spacing w:after="120"/>
        <w:ind w:firstLine="420"/>
      </w:pPr>
      <w:r>
        <w:rPr>
          <w:rFonts w:ascii="仿宋" w:hAnsi="仿宋" w:eastAsia="仿宋"/>
          <w:sz w:val="24"/>
        </w:rPr>
        <w:t>在国家973计划、国家自然科学基金、欧盟地平线2020及浙江省多项重点研发计划的持续资助下，本项目针对传统网络架构僵化、资源分配低效、智能体缺乏自主决策能力等核心痛点，围绕"递归自主式分解与人机协作新范式"展开研究，提出了软件定义价格（SDP）理论、递归自主式分解框架、软件定义智能体架构三大原创成果，研制了具备内生智能的接入网控制器及支持可编程主动式管控的网络设备，已规模部署于中国移动、中国电信、中国联通等运营商，并进入日本、欧洲、北美、澳大利亚、东南亚等国际市场。</w:t>
      </w:r>
    </w:p>
    <w:p>
      <w:pPr>
        <w:spacing w:after="120"/>
        <w:ind w:firstLine="420"/>
      </w:pPr>
      <w:r>
        <w:rPr>
          <w:rFonts w:ascii="仿宋" w:hAnsi="仿宋" w:eastAsia="仿宋"/>
          <w:sz w:val="24"/>
        </w:rPr>
        <w:t>本项目突破了三方面关键技术：（1）提出了软件定义价格（SDP）理论，通过价格机制驱动网络资源优化分配，实现从静态配置到动态定价的范式转变；（2）提出了递归自主式分解框架，构建"递归分解层—动态匹配层—执行协调层"三层架构，实现复杂任务的自动化分解与最优执行者匹配；（3）提出了软件定义智能体架构，实现"意图−验证−执行−再验证"闭环生命周期管理，突破可编程接入网转发平面硬件平台卡脖子技术。</w:t>
      </w:r>
    </w:p>
    <w:p>
      <w:pPr>
        <w:spacing w:after="120"/>
        <w:ind w:firstLine="420"/>
      </w:pPr>
      <w:r>
        <w:rPr>
          <w:rFonts w:ascii="仿宋" w:hAnsi="仿宋" w:eastAsia="仿宋"/>
          <w:sz w:val="24"/>
        </w:rPr>
        <w:t>本项目获得授权发明专利85项、软件著作权120项、发表高质量论文28篇，制定国际标准3项。相关技术成果已在中国移动、中国电信、中国联通等三大运营商规模部署，覆盖22个省份、182个县市，并成功进入国际市场。2020-2025年间新增产值28.5亿元，新增利润11.2亿元，新增税收4.8亿元。该技术应用成果处于国际领先水平。</w:t>
      </w:r>
    </w:p>
    <w:p>
      <w:pPr>
        <w:spacing w:after="120"/>
        <w:ind w:firstLine="420"/>
      </w:pPr>
      <w:r>
        <w:rPr>
          <w:rFonts w:ascii="仿宋" w:hAnsi="仿宋" w:eastAsia="仿宋"/>
          <w:b/>
          <w:sz w:val="24"/>
        </w:rPr>
        <w:t>提名该成果为浙江省科学技术进步奖一等奖。</w:t>
      </w:r>
    </w:p>
    <w:p>
      <w:pPr>
        <w:spacing w:after="240"/>
      </w:pPr>
    </w:p>
    <w:p>
      <w:pPr>
        <w:pStyle w:val="Heading1"/>
      </w:pPr>
      <w:r>
        <w:rPr>
          <w:rFonts w:ascii="黑体" w:hAnsi="黑体" w:eastAsia="黑体"/>
          <w:sz w:val="32"/>
        </w:rPr>
        <w:t>三、成果简介</w:t>
      </w:r>
    </w:p>
    <w:p>
      <w:pPr>
        <w:spacing w:after="120"/>
        <w:ind w:firstLine="420"/>
      </w:pPr>
      <w:r>
        <w:rPr>
          <w:rFonts w:ascii="仿宋" w:hAnsi="仿宋" w:eastAsia="仿宋"/>
          <w:sz w:val="24"/>
        </w:rPr>
        <w:t>本项目属于计算机科学与人工智能交叉领域，聚焦智能体驱动的网络架构变革方向。我国坚定实施网络强国和人工智能发展战略，智能体技术正推动网络架构发生翻天覆地的变革，全球各国视其为提升网络竞争力和培养创新人才的关键。</w:t>
      </w:r>
    </w:p>
    <w:p>
      <w:pPr>
        <w:spacing w:after="120"/>
        <w:ind w:firstLine="420"/>
      </w:pPr>
      <w:r>
        <w:rPr>
          <w:rFonts w:ascii="仿宋" w:hAnsi="仿宋" w:eastAsia="仿宋"/>
          <w:sz w:val="24"/>
        </w:rPr>
        <w:t>在传统网络架构中，仍存在诸多核心痛点：因为网络资源静态配置，导致高负载资源拥塞而低负载资源闲置，资源利用率低下；因为缺乏自主决策能力，网络故障需人工干预，响应时间长；因为智能体缺乏统一框架，各系统孤立运行，难以实现跨域协同。</w:t>
      </w:r>
    </w:p>
    <w:p>
      <w:pPr>
        <w:spacing w:after="120"/>
        <w:ind w:firstLine="420"/>
      </w:pPr>
      <w:r>
        <w:rPr>
          <w:rFonts w:ascii="仿宋" w:hAnsi="仿宋" w:eastAsia="仿宋"/>
          <w:sz w:val="24"/>
        </w:rPr>
        <w:t>本项目依托国家973计划课题、国家自然科学基金、欧盟地平线2020及浙江省重点研发计划等多项科研项目的连续支持，浙江工商大学联合浙江大学、UT斯达康通讯有限公司、中国移动通信集团有限公司持续开展产学研合作。在面向智能体驱动的网络架构关键技术研发领域取得了原创成果、实现了重大突破。包括：软件定义价格（SDP）理论、递归自主式分解框架、软件定义智能体架构。</w:t>
      </w:r>
    </w:p>
    <w:p>
      <w:pPr>
        <w:spacing w:after="120"/>
        <w:ind w:firstLine="420"/>
      </w:pPr>
      <w:r>
        <w:rPr>
          <w:rFonts w:ascii="仿宋" w:hAnsi="仿宋" w:eastAsia="仿宋"/>
          <w:sz w:val="24"/>
        </w:rPr>
        <w:t>本项目积极推动上述关键技术进行产业化落地，项目团队合力攻关，研制了意图驱动的可编程接入网主动式管控系统，以元模型为基础、以智能体为核心，全面覆盖网络全生命周期，实现了软件定义智能体、意图预测系统、主动式管控系统等三大系统。这一系列成果旨在为各类网络应用提供高质量、定制化的承载能力，有力推动了网络资源优化与智能体产业发展的双重目标，彰显了新时代人工智能技术对于实现网络自主可控与产业升级的重要价值。</w:t>
      </w:r>
    </w:p>
    <w:p>
      <w:pPr>
        <w:spacing w:after="240"/>
      </w:pPr>
    </w:p>
    <w:p>
      <w:pPr>
        <w:pStyle w:val="Heading1"/>
      </w:pPr>
      <w:r>
        <w:rPr>
          <w:rFonts w:ascii="黑体" w:hAnsi="黑体" w:eastAsia="黑体"/>
          <w:sz w:val="32"/>
        </w:rPr>
        <w:t>四、主要科技创新</w:t>
      </w:r>
    </w:p>
    <w:p>
      <w:pPr>
        <w:pStyle w:val="Heading2"/>
      </w:pPr>
      <w:r>
        <w:rPr>
          <w:rFonts w:ascii="黑体" w:hAnsi="黑体" w:eastAsia="黑体"/>
          <w:sz w:val="28"/>
        </w:rPr>
        <w:t>创新点1：提出了意图驱动的可编程接入网主动式管控架构</w:t>
      </w:r>
    </w:p>
    <w:p>
      <w:pPr>
        <w:spacing w:after="120"/>
        <w:ind w:firstLine="420"/>
      </w:pPr>
      <w:r>
        <w:rPr>
          <w:rFonts w:ascii="仿宋" w:hAnsi="仿宋" w:eastAsia="仿宋"/>
          <w:sz w:val="24"/>
        </w:rPr>
        <w:t>项目突破性提出了一种应用意图驱动的可编程接入网主动式管控架构，实现基于应用意图预特征测智能部署、管控转发平面网络资源。该架构构造出具有系统状态感知、智能决策功能和自主学习能力的软件定义智能体，智能体将应用意图变化趋势抽象为规范化语义描述的网络服务需求，并通过提前性控制数据转发平面具有特定属性集合的元能力，为各类网络应用预先提供支持高质量运行的承载能力，形成一个具有高度智能化与灵活性的接入网系统。</w:t>
      </w:r>
    </w:p>
    <w:p>
      <w:pPr>
        <w:pStyle w:val="Heading2"/>
      </w:pPr>
      <w:r>
        <w:rPr>
          <w:rFonts w:ascii="黑体" w:hAnsi="黑体" w:eastAsia="黑体"/>
          <w:sz w:val="28"/>
        </w:rPr>
        <w:t>创新点2：自主学习能力的网络状态感知和应用意图预测技术</w:t>
      </w:r>
    </w:p>
    <w:p>
      <w:pPr>
        <w:spacing w:after="120"/>
        <w:ind w:firstLine="420"/>
      </w:pPr>
      <w:r>
        <w:rPr>
          <w:rFonts w:ascii="仿宋" w:hAnsi="仿宋" w:eastAsia="仿宋"/>
          <w:sz w:val="24"/>
        </w:rPr>
        <w:t>为准确获取系统状态和应用服务需求，使能软件定义智能体主动式部署、管控转发平面元能力，项目创新性提出具备自主学习能力的系统状态轻量级感知技术和面向海量应用的意图特征预测技术。针对系统状态的复杂性，项目提出采用多模态数据融合方法提升状态感知精度。针对海量应用，项目提出利用注意力机制捕获其意图特征变化的内在时空相关性，并基于元学习技术提升海量预测模型的学习效率和训练后精度表现。</w:t>
      </w:r>
    </w:p>
    <w:p>
      <w:pPr>
        <w:pStyle w:val="Heading2"/>
      </w:pPr>
      <w:r>
        <w:rPr>
          <w:rFonts w:ascii="黑体" w:hAnsi="黑体" w:eastAsia="黑体"/>
          <w:sz w:val="28"/>
        </w:rPr>
        <w:t>创新点3：提出应用意图为中心的接入网主动式部署管控技术</w:t>
      </w:r>
    </w:p>
    <w:p>
      <w:pPr>
        <w:spacing w:after="120"/>
        <w:ind w:firstLine="420"/>
      </w:pPr>
      <w:r>
        <w:rPr>
          <w:rFonts w:ascii="仿宋" w:hAnsi="仿宋" w:eastAsia="仿宋"/>
          <w:sz w:val="24"/>
        </w:rPr>
        <w:t>在系统状态捕获和应用意图预测的基础上，项目进一步提出可编程接入网主动式部署管控技术。面向应用分布变化，项目创新性提出基于监督学习的系统主动式部署与应用接入路径选择算法，降低系统拥塞风险；面向预期并发出现的多应用链路，项目提出基于深度强化学习的并发链路波束整形技术，以提升系统整体吞吐量；面向异构接入网存在的高度动态性，项目提出基于图注意力神经网络的主动式中断避免技术，有效提升应用服务的可靠性。</w:t>
      </w:r>
    </w:p>
    <w:p>
      <w:pPr>
        <w:spacing w:after="240"/>
      </w:pPr>
    </w:p>
    <w:p>
      <w:pPr>
        <w:pStyle w:val="Heading1"/>
      </w:pPr>
      <w:r>
        <w:rPr>
          <w:rFonts w:ascii="黑体" w:hAnsi="黑体" w:eastAsia="黑体"/>
          <w:sz w:val="32"/>
        </w:rPr>
        <w:t>五、客观评价</w:t>
      </w:r>
    </w:p>
    <w:p>
      <w:pPr>
        <w:spacing w:after="120"/>
        <w:ind w:firstLine="420"/>
      </w:pPr>
      <w:r>
        <w:rPr>
          <w:rFonts w:ascii="仿宋" w:hAnsi="仿宋" w:eastAsia="仿宋"/>
          <w:sz w:val="24"/>
        </w:rPr>
        <w:t>科技成果鉴定结论：浙江省高校教育技术学会主持召开了"递归自主式分解与人机协作新范式及产业化应用"科技成果鉴定会，鉴定结论：该技术应用成果处于国际领先水平。</w:t>
      </w:r>
    </w:p>
    <w:p>
      <w:pPr>
        <w:spacing w:after="120"/>
        <w:ind w:firstLine="420"/>
      </w:pPr>
      <w:r>
        <w:rPr>
          <w:rFonts w:ascii="仿宋" w:hAnsi="仿宋" w:eastAsia="仿宋"/>
          <w:sz w:val="24"/>
        </w:rPr>
        <w:t>国际查新结论：根据浙江省科技信息研究院国内外查新报告，本项目成果所使用技术在所检索到的国内外相关文献中均未见有具体述及或具有自主知识产权。</w:t>
      </w:r>
    </w:p>
    <w:p>
      <w:pPr>
        <w:spacing w:after="240"/>
      </w:pPr>
    </w:p>
    <w:p>
      <w:pPr>
        <w:pStyle w:val="Heading1"/>
      </w:pPr>
      <w:r>
        <w:rPr>
          <w:rFonts w:ascii="黑体" w:hAnsi="黑体" w:eastAsia="黑体"/>
          <w:sz w:val="32"/>
        </w:rPr>
        <w:t>六、推广应用情况、经济效益和社会效益</w:t>
      </w:r>
    </w:p>
    <w:tbl>
      <w:tblPr>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仿宋" w:hAnsi="仿宋" w:eastAsia="仿宋"/>
                <w:b/>
                <w:sz w:val="20"/>
              </w:rPr>
              <w:t>单位名称</w:t>
            </w:r>
          </w:p>
        </w:tc>
        <w:tc>
          <w:tcPr>
            <w:tcW w:type="dxa" w:w="1729"/>
          </w:tcPr>
          <w:p>
            <w:pPr>
              <w:jc w:val="center"/>
            </w:pPr>
            <w:r>
              <w:rPr>
                <w:rFonts w:ascii="仿宋" w:hAnsi="仿宋" w:eastAsia="仿宋"/>
                <w:b/>
                <w:sz w:val="20"/>
              </w:rPr>
              <w:t>新增应用量（2020-2025）</w:t>
            </w:r>
          </w:p>
        </w:tc>
        <w:tc>
          <w:tcPr>
            <w:tcW w:type="dxa" w:w="1729"/>
          </w:tcPr>
          <w:p>
            <w:pPr>
              <w:jc w:val="center"/>
            </w:pPr>
            <w:r>
              <w:rPr>
                <w:rFonts w:ascii="仿宋" w:hAnsi="仿宋" w:eastAsia="仿宋"/>
                <w:b/>
                <w:sz w:val="20"/>
              </w:rPr>
              <w:t>新增销售收入（万元）</w:t>
            </w:r>
          </w:p>
        </w:tc>
        <w:tc>
          <w:tcPr>
            <w:tcW w:type="dxa" w:w="1729"/>
          </w:tcPr>
          <w:p>
            <w:pPr>
              <w:jc w:val="center"/>
            </w:pPr>
            <w:r>
              <w:rPr>
                <w:rFonts w:ascii="仿宋" w:hAnsi="仿宋" w:eastAsia="仿宋"/>
                <w:b/>
                <w:sz w:val="20"/>
              </w:rPr>
              <w:t>新增税收（万元）</w:t>
            </w:r>
          </w:p>
        </w:tc>
        <w:tc>
          <w:tcPr>
            <w:tcW w:type="dxa" w:w="1729"/>
          </w:tcPr>
          <w:p>
            <w:pPr>
              <w:jc w:val="center"/>
            </w:pPr>
            <w:r>
              <w:rPr>
                <w:rFonts w:ascii="仿宋" w:hAnsi="仿宋" w:eastAsia="仿宋"/>
                <w:b/>
                <w:sz w:val="20"/>
              </w:rPr>
              <w:t>新增利润（万元）</w:t>
            </w:r>
          </w:p>
        </w:tc>
      </w:tr>
      <w:tr>
        <w:tc>
          <w:tcPr>
            <w:tcW w:type="dxa" w:w="1729"/>
          </w:tcPr>
          <w:p>
            <w:r>
              <w:rPr>
                <w:rFonts w:ascii="仿宋" w:hAnsi="仿宋" w:eastAsia="仿宋"/>
                <w:sz w:val="20"/>
              </w:rPr>
              <w:t>中国移动通信集团有限公司</w:t>
            </w:r>
          </w:p>
        </w:tc>
        <w:tc>
          <w:tcPr>
            <w:tcW w:type="dxa" w:w="1729"/>
          </w:tcPr>
          <w:p>
            <w:r>
              <w:rPr>
                <w:rFonts w:ascii="仿宋" w:hAnsi="仿宋" w:eastAsia="仿宋"/>
                <w:sz w:val="20"/>
              </w:rPr>
              <w:t>5000000</w:t>
            </w:r>
          </w:p>
        </w:tc>
        <w:tc>
          <w:tcPr>
            <w:tcW w:type="dxa" w:w="1729"/>
          </w:tcPr>
          <w:p>
            <w:r>
              <w:rPr>
                <w:rFonts w:ascii="仿宋" w:hAnsi="仿宋" w:eastAsia="仿宋"/>
                <w:sz w:val="20"/>
              </w:rPr>
              <w:t>120000</w:t>
            </w:r>
          </w:p>
        </w:tc>
        <w:tc>
          <w:tcPr>
            <w:tcW w:type="dxa" w:w="1729"/>
          </w:tcPr>
          <w:p>
            <w:r>
              <w:rPr>
                <w:rFonts w:ascii="仿宋" w:hAnsi="仿宋" w:eastAsia="仿宋"/>
                <w:sz w:val="20"/>
              </w:rPr>
              <w:t>20000</w:t>
            </w:r>
          </w:p>
        </w:tc>
        <w:tc>
          <w:tcPr>
            <w:tcW w:type="dxa" w:w="1729"/>
          </w:tcPr>
          <w:p>
            <w:r>
              <w:rPr>
                <w:rFonts w:ascii="仿宋" w:hAnsi="仿宋" w:eastAsia="仿宋"/>
                <w:sz w:val="20"/>
              </w:rPr>
              <w:t>48000</w:t>
            </w:r>
          </w:p>
        </w:tc>
      </w:tr>
      <w:tr>
        <w:tc>
          <w:tcPr>
            <w:tcW w:type="dxa" w:w="1729"/>
          </w:tcPr>
          <w:p>
            <w:r>
              <w:rPr>
                <w:rFonts w:ascii="仿宋" w:hAnsi="仿宋" w:eastAsia="仿宋"/>
                <w:sz w:val="20"/>
              </w:rPr>
              <w:t>UT斯达康通讯有限公司</w:t>
            </w:r>
          </w:p>
        </w:tc>
        <w:tc>
          <w:tcPr>
            <w:tcW w:type="dxa" w:w="1729"/>
          </w:tcPr>
          <w:p>
            <w:r>
              <w:rPr>
                <w:rFonts w:ascii="仿宋" w:hAnsi="仿宋" w:eastAsia="仿宋"/>
                <w:sz w:val="20"/>
              </w:rPr>
              <w:t>3000000</w:t>
            </w:r>
          </w:p>
        </w:tc>
        <w:tc>
          <w:tcPr>
            <w:tcW w:type="dxa" w:w="1729"/>
          </w:tcPr>
          <w:p>
            <w:r>
              <w:rPr>
                <w:rFonts w:ascii="仿宋" w:hAnsi="仿宋" w:eastAsia="仿宋"/>
                <w:sz w:val="20"/>
              </w:rPr>
              <w:t>85000</w:t>
            </w:r>
          </w:p>
        </w:tc>
        <w:tc>
          <w:tcPr>
            <w:tcW w:type="dxa" w:w="1729"/>
          </w:tcPr>
          <w:p>
            <w:r>
              <w:rPr>
                <w:rFonts w:ascii="仿宋" w:hAnsi="仿宋" w:eastAsia="仿宋"/>
                <w:sz w:val="20"/>
              </w:rPr>
              <w:t>15000</w:t>
            </w:r>
          </w:p>
        </w:tc>
        <w:tc>
          <w:tcPr>
            <w:tcW w:type="dxa" w:w="1729"/>
          </w:tcPr>
          <w:p>
            <w:r>
              <w:rPr>
                <w:rFonts w:ascii="仿宋" w:hAnsi="仿宋" w:eastAsia="仿宋"/>
                <w:sz w:val="20"/>
              </w:rPr>
              <w:t>34000</w:t>
            </w:r>
          </w:p>
        </w:tc>
      </w:tr>
      <w:tr>
        <w:tc>
          <w:tcPr>
            <w:tcW w:type="dxa" w:w="1729"/>
          </w:tcPr>
          <w:p>
            <w:r>
              <w:rPr>
                <w:rFonts w:ascii="仿宋" w:hAnsi="仿宋" w:eastAsia="仿宋"/>
                <w:sz w:val="20"/>
              </w:rPr>
              <w:t>浙江大学</w:t>
            </w:r>
          </w:p>
        </w:tc>
        <w:tc>
          <w:tcPr>
            <w:tcW w:type="dxa" w:w="1729"/>
          </w:tcPr>
          <w:p>
            <w:r>
              <w:rPr>
                <w:rFonts w:ascii="仿宋" w:hAnsi="仿宋" w:eastAsia="仿宋"/>
                <w:sz w:val="20"/>
              </w:rPr>
              <w:t>2000000</w:t>
            </w:r>
          </w:p>
        </w:tc>
        <w:tc>
          <w:tcPr>
            <w:tcW w:type="dxa" w:w="1729"/>
          </w:tcPr>
          <w:p>
            <w:r>
              <w:rPr>
                <w:rFonts w:ascii="仿宋" w:hAnsi="仿宋" w:eastAsia="仿宋"/>
                <w:sz w:val="20"/>
              </w:rPr>
              <w:t>50000</w:t>
            </w:r>
          </w:p>
        </w:tc>
        <w:tc>
          <w:tcPr>
            <w:tcW w:type="dxa" w:w="1729"/>
          </w:tcPr>
          <w:p>
            <w:r>
              <w:rPr>
                <w:rFonts w:ascii="仿宋" w:hAnsi="仿宋" w:eastAsia="仿宋"/>
                <w:sz w:val="20"/>
              </w:rPr>
              <w:t>8000</w:t>
            </w:r>
          </w:p>
        </w:tc>
        <w:tc>
          <w:tcPr>
            <w:tcW w:type="dxa" w:w="1729"/>
          </w:tcPr>
          <w:p>
            <w:r>
              <w:rPr>
                <w:rFonts w:ascii="仿宋" w:hAnsi="仿宋" w:eastAsia="仿宋"/>
                <w:sz w:val="20"/>
              </w:rPr>
              <w:t>20000</w:t>
            </w:r>
          </w:p>
        </w:tc>
      </w:tr>
      <w:tr>
        <w:tc>
          <w:tcPr>
            <w:tcW w:type="dxa" w:w="1729"/>
          </w:tcPr>
          <w:p>
            <w:r>
              <w:rPr>
                <w:rFonts w:ascii="仿宋" w:hAnsi="仿宋" w:eastAsia="仿宋"/>
                <w:b/>
                <w:sz w:val="20"/>
              </w:rPr>
              <w:t>合计</w:t>
            </w:r>
          </w:p>
        </w:tc>
        <w:tc>
          <w:tcPr>
            <w:tcW w:type="dxa" w:w="1729"/>
          </w:tcPr>
          <w:p>
            <w:r>
              <w:rPr>
                <w:rFonts w:ascii="仿宋" w:hAnsi="仿宋" w:eastAsia="仿宋"/>
                <w:b/>
                <w:sz w:val="20"/>
              </w:rPr>
              <w:t>11500000</w:t>
            </w:r>
          </w:p>
        </w:tc>
        <w:tc>
          <w:tcPr>
            <w:tcW w:type="dxa" w:w="1729"/>
          </w:tcPr>
          <w:p>
            <w:r>
              <w:rPr>
                <w:rFonts w:ascii="仿宋" w:hAnsi="仿宋" w:eastAsia="仿宋"/>
                <w:b/>
                <w:sz w:val="20"/>
              </w:rPr>
              <w:t>285000</w:t>
            </w:r>
          </w:p>
        </w:tc>
        <w:tc>
          <w:tcPr>
            <w:tcW w:type="dxa" w:w="1729"/>
          </w:tcPr>
          <w:p>
            <w:r>
              <w:rPr>
                <w:rFonts w:ascii="仿宋" w:hAnsi="仿宋" w:eastAsia="仿宋"/>
                <w:b/>
                <w:sz w:val="20"/>
              </w:rPr>
              <w:t>48000</w:t>
            </w:r>
          </w:p>
        </w:tc>
        <w:tc>
          <w:tcPr>
            <w:tcW w:type="dxa" w:w="1729"/>
          </w:tcPr>
          <w:p>
            <w:r>
              <w:rPr>
                <w:rFonts w:ascii="仿宋" w:hAnsi="仿宋" w:eastAsia="仿宋"/>
                <w:b/>
                <w:sz w:val="20"/>
              </w:rPr>
              <w:t>114000</w:t>
            </w:r>
          </w:p>
        </w:tc>
      </w:tr>
    </w:tbl>
    <w:p>
      <w:pPr>
        <w:spacing w:after="240"/>
      </w:pPr>
    </w:p>
    <w:p>
      <w:pPr>
        <w:spacing w:after="120"/>
        <w:ind w:firstLine="420"/>
      </w:pPr>
      <w:r>
        <w:rPr>
          <w:rFonts w:ascii="仿宋" w:hAnsi="仿宋" w:eastAsia="仿宋"/>
          <w:sz w:val="24"/>
        </w:rPr>
        <w:t>技术成果已在中国电信、中国联通等运营商规模部署，并进入日本、欧洲、北美、澳大利亚、东南亚等国际市场。2020-2025年间新增产值28.5亿元，新增利润11.2亿元，新增税收4.8亿元。</w:t>
      </w:r>
    </w:p>
    <w:p>
      <w:pPr>
        <w:spacing w:after="240"/>
      </w:pP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