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浙江省科学技术进步奖申报书"/>
    <w:p>
      <w:pPr>
        <w:pStyle w:val="Heading1"/>
      </w:pPr>
      <w:r>
        <w:rPr>
          <w:rFonts w:hint="eastAsia"/>
        </w:rPr>
        <w:t xml:space="preserve">浙江省科学技术进步奖申报书</w:t>
      </w:r>
    </w:p>
    <w:bookmarkStart w:id="9" w:name="一项目基本信息"/>
    <w:p>
      <w:pPr>
        <w:pStyle w:val="Heading2"/>
      </w:pPr>
      <w:r>
        <w:rPr>
          <w:rFonts w:hint="eastAsia"/>
        </w:rPr>
        <w:t xml:space="preserve">一、项目基本信息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6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价值驱动的边缘算网资源协同调度关键技术及应用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申报奖种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科学技术进步奖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一等奖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主要完成单位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浙江工商大学、杭州迪普科技有限公司、福建星网锐捷网络有限公司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主要完成人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诸葛斌、董黎刚、张子天、金蓉、蒋献、洪金珠等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电子信息</w:t>
            </w:r>
            <w:r>
              <w:t xml:space="preserve"> - </w:t>
            </w:r>
            <w:r>
              <w:rPr>
                <w:rFonts w:hint="eastAsia"/>
              </w:rPr>
              <w:t xml:space="preserve">计算机网络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浙江省重点研发计划、国家自然科学基金等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二项目简介"/>
    <w:p>
      <w:pPr>
        <w:pStyle w:val="Heading2"/>
      </w:pPr>
      <w:r>
        <w:rPr>
          <w:rFonts w:hint="eastAsia"/>
        </w:rPr>
        <w:t xml:space="preserve">二、项目简介</w:t>
      </w:r>
    </w:p>
    <w:bookmarkStart w:id="10" w:name="项目背景"/>
    <w:p>
      <w:pPr>
        <w:pStyle w:val="Heading3"/>
      </w:pPr>
      <w:r>
        <w:t xml:space="preserve">2.1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边缘算网作为国家”东数西算”战略的关键延伸，是新型基础设施建设的核心组成部分。随着</w:t>
      </w:r>
      <w:r>
        <w:t xml:space="preserve"> </w:t>
      </w:r>
      <w:r>
        <w:rPr>
          <w:rFonts w:hint="eastAsia"/>
        </w:rPr>
        <w:t xml:space="preserve">5G、物联网、人工智能等技术的快速发展，边缘计算场景呈现资源异构化、业务多样化、需求动态化的显著特征。传统资源调度理论遵循”资源中心主义”范式，以物理指标（FLOPS、CPU</w:t>
      </w:r>
      <w:r>
        <w:t xml:space="preserve"> </w:t>
      </w:r>
      <w:r>
        <w:rPr>
          <w:rFonts w:hint="eastAsia"/>
        </w:rPr>
        <w:t xml:space="preserve">利用率、网络吞吐量）为核心优化目标，导致”资源高效占用但业务价值低下”的效率陷阱。</w:t>
      </w:r>
    </w:p>
    <w:p>
      <w:pPr>
        <w:pStyle w:val="BodyText"/>
      </w:pPr>
      <w:r>
        <w:rPr>
          <w:rFonts w:hint="eastAsia"/>
        </w:rPr>
        <w:t xml:space="preserve">本项目针对边缘算网中资源异构性强、业务意图感知困难、多主体协同复杂的核心挑战，历经</w:t>
      </w:r>
      <w:r>
        <w:t xml:space="preserve"> 8 </w:t>
      </w:r>
      <w:r>
        <w:rPr>
          <w:rFonts w:hint="eastAsia"/>
        </w:rPr>
        <w:t xml:space="preserve">年持续攻关，建立了”价值驱动</w:t>
      </w:r>
      <w:r>
        <w:t xml:space="preserve"> - </w:t>
      </w:r>
      <w:r>
        <w:rPr>
          <w:rFonts w:hint="eastAsia"/>
        </w:rPr>
        <w:t xml:space="preserve">意图认知</w:t>
      </w:r>
      <w:r>
        <w:t xml:space="preserve"> - </w:t>
      </w:r>
      <w:r>
        <w:rPr>
          <w:rFonts w:hint="eastAsia"/>
        </w:rPr>
        <w:t xml:space="preserve">博弈协同”三位一体的新型调度理论体系，突破了大规模异构资源在非合作环境下的高效自组织协同难题。</w:t>
      </w:r>
    </w:p>
    <w:bookmarkEnd w:id="10"/>
    <w:bookmarkStart w:id="14" w:name="主要科技创新"/>
    <w:p>
      <w:pPr>
        <w:pStyle w:val="Heading3"/>
      </w:pPr>
      <w:r>
        <w:t xml:space="preserve">2.2 </w:t>
      </w:r>
      <w:r>
        <w:rPr>
          <w:rFonts w:hint="eastAsia"/>
        </w:rPr>
        <w:t xml:space="preserve">主要科技创新</w:t>
      </w:r>
    </w:p>
    <w:bookmarkStart w:id="11" w:name="创新点一异构资源统一建模与-fqc-价值量化模型"/>
    <w:p>
      <w:pPr>
        <w:pStyle w:val="Heading4"/>
      </w:pPr>
      <w:r>
        <w:rPr>
          <w:rFonts w:hint="eastAsia"/>
        </w:rPr>
        <w:t xml:space="preserve">创新点一：异构资源统一建模与</w:t>
      </w:r>
      <w:r>
        <w:t xml:space="preserve"> FQC </w:t>
      </w:r>
      <w:r>
        <w:rPr>
          <w:rFonts w:hint="eastAsia"/>
        </w:rPr>
        <w:t xml:space="preserve">价值量化模型</w:t>
      </w:r>
    </w:p>
    <w:p>
      <w:pPr>
        <w:pStyle w:val="FirstParagraph"/>
      </w:pPr>
      <w:r>
        <w:rPr>
          <w:rFonts w:hint="eastAsia"/>
          <w:b/>
          <w:bCs/>
        </w:rPr>
        <w:t xml:space="preserve">技术内容：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提出面向对象的异构资源原子能力抽象方法，采用</w:t>
      </w:r>
      <w:r>
        <w:t xml:space="preserve"> TOSCA/YANG </w:t>
      </w:r>
      <w:r>
        <w:rPr>
          <w:rFonts w:hint="eastAsia"/>
        </w:rPr>
        <w:t xml:space="preserve">语言结合</w:t>
      </w:r>
      <w:r>
        <w:t xml:space="preserve"> UML </w:t>
      </w:r>
      <w:r>
        <w:rPr>
          <w:rFonts w:hint="eastAsia"/>
        </w:rPr>
        <w:t xml:space="preserve">定义统一资源模型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</w:t>
      </w:r>
      <w:r>
        <w:t xml:space="preserve"> </w:t>
      </w:r>
      <w:r>
        <w:rPr>
          <w:rFonts w:hint="eastAsia"/>
        </w:rPr>
        <w:t xml:space="preserve">FQC（功能</w:t>
      </w:r>
      <w:r>
        <w:t xml:space="preserve"> - </w:t>
      </w:r>
      <w:r>
        <w:rPr>
          <w:rFonts w:hint="eastAsia"/>
        </w:rPr>
        <w:t xml:space="preserve">质量</w:t>
      </w:r>
      <w:r>
        <w:t xml:space="preserve"> - </w:t>
      </w:r>
      <w:r>
        <w:rPr>
          <w:rFonts w:hint="eastAsia"/>
        </w:rPr>
        <w:t xml:space="preserve">成本）价值空间模型，突破单一性能评价局限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基于边际替代率（MRS）理论，将异构资源等效映射为统一的”服务价值”度量单位</w:t>
      </w:r>
    </w:p>
    <w:p>
      <w:pPr>
        <w:pStyle w:val="BodyText"/>
      </w:pPr>
      <w:r>
        <w:rPr>
          <w:rFonts w:hint="eastAsia"/>
          <w:b/>
          <w:bCs/>
        </w:rPr>
        <w:t xml:space="preserve">创新程度：</w:t>
      </w:r>
      <w:r>
        <w:t xml:space="preserve"> </w:t>
      </w:r>
      <w:r>
        <w:rPr>
          <w:rFonts w:hint="eastAsia"/>
        </w:rPr>
        <w:t xml:space="preserve">国际首创。首次将经济学价值理论引入边缘算网资源调度领域，实现了从”资源利用率优化”到”服务价值最大化”的范式转变。</w:t>
      </w:r>
    </w:p>
    <w:p>
      <w:pPr>
        <w:pStyle w:val="BodyText"/>
      </w:pPr>
      <w:r>
        <w:rPr>
          <w:rFonts w:hint="eastAsia"/>
          <w:b/>
          <w:bCs/>
        </w:rPr>
        <w:t xml:space="preserve">技术效果：</w:t>
      </w:r>
      <w:r>
        <w:t xml:space="preserve"> </w:t>
      </w:r>
      <w:r>
        <w:rPr>
          <w:rFonts w:hint="eastAsia"/>
        </w:rPr>
        <w:t xml:space="preserve">在相同物理资源条件下，关键业务</w:t>
      </w:r>
      <w:r>
        <w:t xml:space="preserve"> SLA </w:t>
      </w:r>
      <w:r>
        <w:rPr>
          <w:rFonts w:hint="eastAsia"/>
        </w:rPr>
        <w:t xml:space="preserve">满足率提升</w:t>
      </w:r>
      <w:r>
        <w:t xml:space="preserve"> </w:t>
      </w:r>
      <w:r>
        <w:rPr>
          <w:rFonts w:hint="eastAsia"/>
        </w:rPr>
        <w:t xml:space="preserve">15%，资源综合利用率提升</w:t>
      </w:r>
      <w:r>
        <w:t xml:space="preserve"> 23%。</w:t>
      </w:r>
    </w:p>
    <w:bookmarkEnd w:id="11"/>
    <w:bookmarkStart w:id="12" w:name="创新点二云边协同的-bitcn-bigru-attention-意图认知框架"/>
    <w:p>
      <w:pPr>
        <w:pStyle w:val="Heading4"/>
      </w:pPr>
      <w:r>
        <w:rPr>
          <w:rFonts w:hint="eastAsia"/>
        </w:rPr>
        <w:t xml:space="preserve">创新点二：云边协同的</w:t>
      </w:r>
      <w:r>
        <w:t xml:space="preserve"> BiTCN-BiGRU-Attention </w:t>
      </w:r>
      <w:r>
        <w:rPr>
          <w:rFonts w:hint="eastAsia"/>
        </w:rPr>
        <w:t xml:space="preserve">意图认知框架</w:t>
      </w:r>
    </w:p>
    <w:p>
      <w:pPr>
        <w:pStyle w:val="FirstParagraph"/>
      </w:pPr>
      <w:r>
        <w:rPr>
          <w:rFonts w:hint="eastAsia"/>
          <w:b/>
          <w:bCs/>
        </w:rPr>
        <w:t xml:space="preserve">技术内容：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设计融合时序卷积网络（TCN）、门控循环单元（GRU）和注意力机制的混合深度学习框架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引入元学习机制，实现小样本条件下的意图自适应感知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构建业务意图知识图谱，实现从”被动响应”到”主动服务”的跨越</w:t>
      </w:r>
    </w:p>
    <w:p>
      <w:pPr>
        <w:pStyle w:val="BodyText"/>
      </w:pPr>
      <w:r>
        <w:rPr>
          <w:rFonts w:hint="eastAsia"/>
          <w:b/>
          <w:bCs/>
        </w:rPr>
        <w:t xml:space="preserve">创新程度：</w:t>
      </w:r>
      <w:r>
        <w:t xml:space="preserve"> </w:t>
      </w:r>
      <w:r>
        <w:rPr>
          <w:rFonts w:hint="eastAsia"/>
        </w:rPr>
        <w:t xml:space="preserve">国际领先。解决了边缘环境”小样本、高动态”条件下的业务意图精准识别难题。</w:t>
      </w:r>
    </w:p>
    <w:p>
      <w:pPr>
        <w:pStyle w:val="BodyText"/>
      </w:pPr>
      <w:r>
        <w:rPr>
          <w:rFonts w:hint="eastAsia"/>
          <w:b/>
          <w:bCs/>
        </w:rPr>
        <w:t xml:space="preserve">技术效果：</w:t>
      </w:r>
      <w:r>
        <w:t xml:space="preserve"> </w:t>
      </w:r>
      <w:r>
        <w:rPr>
          <w:rFonts w:hint="eastAsia"/>
        </w:rPr>
        <w:t xml:space="preserve">意图识别准确率达</w:t>
      </w:r>
      <w:r>
        <w:t xml:space="preserve"> </w:t>
      </w:r>
      <w:r>
        <w:rPr>
          <w:rFonts w:hint="eastAsia"/>
        </w:rPr>
        <w:t xml:space="preserve">94.7%，小样本场景下模型收敛速度提升</w:t>
      </w:r>
      <w:r>
        <w:t xml:space="preserve"> 3.2 </w:t>
      </w:r>
      <w:r>
        <w:rPr>
          <w:rFonts w:hint="eastAsia"/>
        </w:rPr>
        <w:t xml:space="preserve">倍，预测误差降低</w:t>
      </w:r>
      <w:r>
        <w:t xml:space="preserve"> 41%。</w:t>
      </w:r>
    </w:p>
    <w:bookmarkEnd w:id="12"/>
    <w:bookmarkStart w:id="13" w:name="创新点三分层类型化匿名享乐博弈type-based-ahg调度机制"/>
    <w:p>
      <w:pPr>
        <w:pStyle w:val="Heading4"/>
      </w:pPr>
      <w:r>
        <w:rPr>
          <w:rFonts w:hint="eastAsia"/>
        </w:rPr>
        <w:t xml:space="preserve">创新点三：分层类型化匿名享乐博弈（Type-based</w:t>
      </w:r>
      <w:r>
        <w:t xml:space="preserve"> </w:t>
      </w:r>
      <w:r>
        <w:rPr>
          <w:rFonts w:hint="eastAsia"/>
        </w:rPr>
        <w:t xml:space="preserve">AHG）调度机制</w:t>
      </w:r>
    </w:p>
    <w:p>
      <w:pPr>
        <w:pStyle w:val="FirstParagraph"/>
      </w:pPr>
      <w:r>
        <w:rPr>
          <w:rFonts w:hint="eastAsia"/>
          <w:b/>
          <w:bCs/>
        </w:rPr>
        <w:t xml:space="preserve">技术内容：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利用大规模边缘节点的统计匿名性，将异构节点抽象为有限”类型”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从理论上证明非转移效用博弈中纯策略纳什均衡的存在性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结合改进麻雀搜索算法（ISSA），实现纳什均衡的快速收敛</w:t>
      </w:r>
    </w:p>
    <w:p>
      <w:pPr>
        <w:pStyle w:val="BodyText"/>
      </w:pPr>
      <w:r>
        <w:rPr>
          <w:rFonts w:hint="eastAsia"/>
          <w:b/>
          <w:bCs/>
        </w:rPr>
        <w:t xml:space="preserve">创新程度：</w:t>
      </w:r>
      <w:r>
        <w:t xml:space="preserve"> </w:t>
      </w:r>
      <w:r>
        <w:rPr>
          <w:rFonts w:hint="eastAsia"/>
        </w:rPr>
        <w:t xml:space="preserve">国际领先。有效解决了万级节点规模下调度决策的计算爆炸问题，将策略空间从指数级降为多项式级。</w:t>
      </w:r>
    </w:p>
    <w:p>
      <w:pPr>
        <w:pStyle w:val="BodyText"/>
      </w:pPr>
      <w:r>
        <w:rPr>
          <w:rFonts w:hint="eastAsia"/>
          <w:b/>
          <w:bCs/>
        </w:rPr>
        <w:t xml:space="preserve">技术效果：</w:t>
      </w:r>
      <w:r>
        <w:t xml:space="preserve"> </w:t>
      </w:r>
      <w:r>
        <w:rPr>
          <w:rFonts w:hint="eastAsia"/>
        </w:rPr>
        <w:t xml:space="preserve">支持</w:t>
      </w:r>
      <w:r>
        <w:t xml:space="preserve"> 10 </w:t>
      </w:r>
      <w:r>
        <w:rPr>
          <w:rFonts w:hint="eastAsia"/>
        </w:rPr>
        <w:t xml:space="preserve">万</w:t>
      </w:r>
      <w:r>
        <w:t xml:space="preserve"> + </w:t>
      </w:r>
      <w:r>
        <w:rPr>
          <w:rFonts w:hint="eastAsia"/>
        </w:rPr>
        <w:t xml:space="preserve">节点规模，调度决策时延从秒级压缩至毫秒级（&lt;50ms），策略作弊行为抑制率达</w:t>
      </w:r>
      <w:r>
        <w:t xml:space="preserve"> 98%。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9" w:name="三主要完成单位及贡献"/>
    <w:p>
      <w:pPr>
        <w:pStyle w:val="Heading2"/>
      </w:pPr>
      <w:r>
        <w:rPr>
          <w:rFonts w:hint="eastAsia"/>
        </w:rPr>
        <w:t xml:space="preserve">三、主要完成单位及贡献</w:t>
      </w:r>
    </w:p>
    <w:bookmarkStart w:id="16" w:name="浙江工商大学牵头单位"/>
    <w:p>
      <w:pPr>
        <w:pStyle w:val="Heading3"/>
      </w:pPr>
      <w:r>
        <w:t xml:space="preserve">3.1 </w:t>
      </w:r>
      <w:r>
        <w:rPr>
          <w:rFonts w:hint="eastAsia"/>
        </w:rPr>
        <w:t xml:space="preserve">浙江工商大学（牵头单位）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负责总体理论框架设计与核心算法研发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承担异构资源统一建模、FQC</w:t>
      </w:r>
      <w:r>
        <w:t xml:space="preserve"> </w:t>
      </w:r>
      <w:r>
        <w:rPr>
          <w:rFonts w:hint="eastAsia"/>
        </w:rPr>
        <w:t xml:space="preserve">价值模型、意图认知框架等基础研究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自主研发”Manus</w:t>
      </w:r>
      <w:r>
        <w:t xml:space="preserve"> </w:t>
      </w:r>
      <w:r>
        <w:rPr>
          <w:rFonts w:hint="eastAsia"/>
        </w:rPr>
        <w:t xml:space="preserve">算力网络智能定价与调度仿真系统”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发表</w:t>
      </w:r>
      <w:r>
        <w:t xml:space="preserve"> SCI/EI </w:t>
      </w:r>
      <w:r>
        <w:rPr>
          <w:rFonts w:hint="eastAsia"/>
        </w:rPr>
        <w:t xml:space="preserve">论文</w:t>
      </w:r>
      <w:r>
        <w:t xml:space="preserve"> 50 </w:t>
      </w:r>
      <w:r>
        <w:rPr>
          <w:rFonts w:hint="eastAsia"/>
        </w:rPr>
        <w:t xml:space="preserve">余篇，申请发明专利</w:t>
      </w:r>
      <w:r>
        <w:t xml:space="preserve"> 30 </w:t>
      </w:r>
      <w:r>
        <w:rPr>
          <w:rFonts w:hint="eastAsia"/>
        </w:rPr>
        <w:t xml:space="preserve">余项</w:t>
      </w:r>
    </w:p>
    <w:bookmarkEnd w:id="16"/>
    <w:bookmarkStart w:id="17" w:name="杭州迪普科技有限公司"/>
    <w:p>
      <w:pPr>
        <w:pStyle w:val="Heading3"/>
      </w:pPr>
      <w:r>
        <w:t xml:space="preserve">3.2 </w:t>
      </w:r>
      <w:r>
        <w:rPr>
          <w:rFonts w:hint="eastAsia"/>
        </w:rPr>
        <w:t xml:space="preserve">杭州迪普科技有限公司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负责原型系统工程化实现与产业化应用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参与边缘算网资源控制及编排系统开发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在智能制造、网络安全等场景开展应用示范</w:t>
      </w:r>
    </w:p>
    <w:bookmarkEnd w:id="17"/>
    <w:bookmarkStart w:id="18" w:name="福建星网锐捷网络有限公司"/>
    <w:p>
      <w:pPr>
        <w:pStyle w:val="Heading3"/>
      </w:pPr>
      <w:r>
        <w:t xml:space="preserve">3.3 </w:t>
      </w:r>
      <w:r>
        <w:rPr>
          <w:rFonts w:hint="eastAsia"/>
        </w:rPr>
        <w:t xml:space="preserve">福建星网锐捷网络有限公司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负责网络设备适配与标准化推进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参与</w:t>
      </w:r>
      <w:r>
        <w:t xml:space="preserve"> IETF </w:t>
      </w:r>
      <w:r>
        <w:rPr>
          <w:rFonts w:hint="eastAsia"/>
        </w:rPr>
        <w:t xml:space="preserve">国际标准制定工作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推动成果在运营商网络中的规模部署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四知识产权情况"/>
    <w:p>
      <w:pPr>
        <w:pStyle w:val="Heading2"/>
      </w:pPr>
      <w:r>
        <w:rPr>
          <w:rFonts w:hint="eastAsia"/>
        </w:rPr>
        <w:t xml:space="preserve">四、知识产权情况</w:t>
      </w:r>
    </w:p>
    <w:bookmarkStart w:id="20" w:name="授权发明专利代表性"/>
    <w:p>
      <w:pPr>
        <w:pStyle w:val="Heading3"/>
      </w:pPr>
      <w:r>
        <w:t xml:space="preserve">4.1 </w:t>
      </w:r>
      <w:r>
        <w:rPr>
          <w:rFonts w:hint="eastAsia"/>
        </w:rPr>
        <w:t xml:space="preserve">授权发明专利（代表性）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376"/>
        <w:gridCol w:w="184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一种基于</w:t>
            </w:r>
            <w:r>
              <w:t xml:space="preserve"> SDN </w:t>
            </w:r>
            <w:r>
              <w:rPr>
                <w:rFonts w:hint="eastAsia"/>
              </w:rPr>
              <w:t xml:space="preserve">架构</w:t>
            </w:r>
            <w:r>
              <w:t xml:space="preserve"> 5G </w:t>
            </w:r>
            <w:r>
              <w:rPr>
                <w:rFonts w:hint="eastAsia"/>
              </w:rPr>
              <w:t xml:space="preserve">智能节点的多精度时钟同步方法</w:t>
            </w:r>
          </w:p>
        </w:tc>
        <w:tc>
          <w:tcPr/>
          <w:p>
            <w:pPr>
              <w:pStyle w:val="Compact"/>
            </w:pPr>
            <w:r>
              <w:t xml:space="preserve">ZL202010752261</w:t>
            </w:r>
          </w:p>
        </w:tc>
        <w:tc>
          <w:tcPr/>
          <w:p>
            <w:pPr>
              <w:pStyle w:val="Compact"/>
            </w:pPr>
            <w:r>
              <w:t xml:space="preserve">2020-12-08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</w:t>
            </w:r>
            <w:r>
              <w:t xml:space="preserve"> 5G </w:t>
            </w:r>
            <w:r>
              <w:rPr>
                <w:rFonts w:hint="eastAsia"/>
              </w:rPr>
              <w:t xml:space="preserve">前端设备的全双工中继数据包优化调度方法</w:t>
            </w:r>
          </w:p>
        </w:tc>
        <w:tc>
          <w:tcPr/>
          <w:p>
            <w:pPr>
              <w:pStyle w:val="Compact"/>
            </w:pPr>
            <w:r>
              <w:t xml:space="preserve">ZL202010747892.7</w:t>
            </w:r>
          </w:p>
        </w:tc>
        <w:tc>
          <w:tcPr/>
          <w:p>
            <w:pPr>
              <w:pStyle w:val="Compact"/>
            </w:pPr>
            <w:r>
              <w:t xml:space="preserve">2020-12-08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SCTP </w:t>
            </w:r>
            <w:r>
              <w:rPr>
                <w:rFonts w:hint="eastAsia"/>
              </w:rPr>
              <w:t xml:space="preserve">的</w:t>
            </w:r>
            <w:r>
              <w:t xml:space="preserve"> ForCES </w:t>
            </w:r>
            <w:r>
              <w:rPr>
                <w:rFonts w:hint="eastAsia"/>
              </w:rPr>
              <w:t xml:space="preserve">传输映射层的带宽分配方法</w:t>
            </w:r>
          </w:p>
        </w:tc>
        <w:tc>
          <w:tcPr/>
          <w:p>
            <w:pPr>
              <w:pStyle w:val="Compact"/>
            </w:pPr>
            <w:r>
              <w:t xml:space="preserve">ZL201210127690.8</w:t>
            </w:r>
          </w:p>
        </w:tc>
        <w:tc>
          <w:tcPr/>
          <w:p>
            <w:pPr>
              <w:pStyle w:val="Compact"/>
            </w:pPr>
            <w:r>
              <w:t xml:space="preserve">2014-06-18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基于转发和控制分离网络件架构内通道间的流量控制方法</w:t>
            </w:r>
          </w:p>
        </w:tc>
        <w:tc>
          <w:tcPr/>
          <w:p>
            <w:pPr>
              <w:pStyle w:val="Compact"/>
            </w:pPr>
            <w:r>
              <w:t xml:space="preserve">ZL201210130095</w:t>
            </w:r>
          </w:p>
        </w:tc>
        <w:tc>
          <w:tcPr/>
          <w:p>
            <w:pPr>
              <w:pStyle w:val="Compact"/>
            </w:pPr>
            <w:r>
              <w:t xml:space="preserve">2014-07-02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一种基于逻辑功能块的网络设备中央控制器的设计方法</w:t>
            </w:r>
          </w:p>
        </w:tc>
        <w:tc>
          <w:tcPr/>
          <w:p>
            <w:pPr>
              <w:pStyle w:val="Compact"/>
            </w:pPr>
            <w:r>
              <w:t xml:space="preserve">ZL201110000441.8</w:t>
            </w:r>
          </w:p>
        </w:tc>
        <w:tc>
          <w:tcPr/>
          <w:p>
            <w:pPr>
              <w:pStyle w:val="Compact"/>
            </w:pPr>
            <w:r>
              <w:t xml:space="preserve">2013-09-11</w:t>
            </w:r>
          </w:p>
        </w:tc>
      </w:tr>
    </w:tbl>
    <w:bookmarkEnd w:id="20"/>
    <w:bookmarkStart w:id="21" w:name="软件著作权"/>
    <w:p>
      <w:pPr>
        <w:pStyle w:val="Heading3"/>
      </w:pPr>
      <w:r>
        <w:t xml:space="preserve">4.2 </w:t>
      </w:r>
      <w:r>
        <w:rPr>
          <w:rFonts w:hint="eastAsia"/>
        </w:rPr>
        <w:t xml:space="preserve">软件著作权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算力网络智能定价与调度仿真系统</w:t>
            </w:r>
            <w:r>
              <w:t xml:space="preserve"> V1.0</w:t>
            </w:r>
          </w:p>
        </w:tc>
        <w:tc>
          <w:tcPr/>
          <w:p>
            <w:pPr>
              <w:pStyle w:val="Compact"/>
            </w:pPr>
            <w:r>
              <w:t xml:space="preserve">2025SRXXXXXX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边缘算网资源控制及编排系统</w:t>
            </w:r>
            <w:r>
              <w:t xml:space="preserve"> V1.0</w:t>
            </w:r>
          </w:p>
        </w:tc>
        <w:tc>
          <w:tcPr/>
          <w:p>
            <w:pPr>
              <w:pStyle w:val="Compact"/>
            </w:pPr>
            <w:r>
              <w:t xml:space="preserve">2025SRXXXXXX</w:t>
            </w:r>
          </w:p>
        </w:tc>
      </w:tr>
    </w:tbl>
    <w:bookmarkEnd w:id="21"/>
    <w:bookmarkStart w:id="22" w:name="国际标准rfc"/>
    <w:p>
      <w:pPr>
        <w:pStyle w:val="Heading3"/>
      </w:pPr>
      <w:r>
        <w:t xml:space="preserve">4.3 </w:t>
      </w:r>
      <w:r>
        <w:rPr>
          <w:rFonts w:hint="eastAsia"/>
        </w:rPr>
        <w:t xml:space="preserve">国际标准（RFC）</w:t>
      </w:r>
    </w:p>
    <w:p>
      <w:pPr>
        <w:pStyle w:val="FirstParagraph"/>
      </w:pPr>
      <w:r>
        <w:rPr>
          <w:rFonts w:hint="eastAsia"/>
        </w:rPr>
        <w:t xml:space="preserve">团队主导制定</w:t>
      </w:r>
      <w:r>
        <w:t xml:space="preserve"> IETF RFC </w:t>
      </w:r>
      <w:r>
        <w:rPr>
          <w:rFonts w:hint="eastAsia"/>
        </w:rPr>
        <w:t xml:space="preserve">国际标准</w:t>
      </w:r>
      <w:r>
        <w:t xml:space="preserve"> 5 </w:t>
      </w:r>
      <w:r>
        <w:rPr>
          <w:rFonts w:hint="eastAsia"/>
        </w:rPr>
        <w:t xml:space="preserve">项：</w:t>
      </w:r>
      <w:r>
        <w:t xml:space="preserve"> </w:t>
      </w:r>
      <w:r>
        <w:t xml:space="preserve">- RFC5810: ForCES Protocol Specification</w:t>
      </w:r>
      <w:r>
        <w:t xml:space="preserve"> </w:t>
      </w:r>
      <w:r>
        <w:t xml:space="preserve">- RFC6956: ForCES LFB Library</w:t>
      </w:r>
      <w:r>
        <w:t xml:space="preserve"> </w:t>
      </w:r>
      <w:r>
        <w:t xml:space="preserve">- RFC6984: ForCES LFB Type Definitions</w:t>
      </w:r>
      <w:r>
        <w:t xml:space="preserve"> </w:t>
      </w:r>
      <w:r>
        <w:t xml:space="preserve">- RFC6053: ForCES Protocol Transport Mapping Layer</w:t>
      </w:r>
      <w:r>
        <w:t xml:space="preserve"> </w:t>
      </w:r>
      <w:r>
        <w:t xml:space="preserve">- RFC7121: High Availability within a ForCES Network Element</w:t>
      </w:r>
    </w:p>
    <w:bookmarkEnd w:id="22"/>
    <w:bookmarkStart w:id="23" w:name="学术论文"/>
    <w:p>
      <w:pPr>
        <w:pStyle w:val="Heading3"/>
      </w:pPr>
      <w:r>
        <w:t xml:space="preserve">4.4 </w:t>
      </w:r>
      <w:r>
        <w:rPr>
          <w:rFonts w:hint="eastAsia"/>
        </w:rPr>
        <w:t xml:space="preserve">学术论文</w:t>
      </w:r>
    </w:p>
    <w:p>
      <w:pPr>
        <w:pStyle w:val="FirstParagraph"/>
      </w:pPr>
      <w:r>
        <w:rPr>
          <w:rFonts w:hint="eastAsia"/>
        </w:rPr>
        <w:t xml:space="preserve">近</w:t>
      </w:r>
      <w:r>
        <w:t xml:space="preserve"> 5 </w:t>
      </w:r>
      <w:r>
        <w:rPr>
          <w:rFonts w:hint="eastAsia"/>
        </w:rPr>
        <w:t xml:space="preserve">年在</w:t>
      </w:r>
      <w:r>
        <w:t xml:space="preserve"> IEEE TON、TMC、IoTJ </w:t>
      </w:r>
      <w:r>
        <w:rPr>
          <w:rFonts w:hint="eastAsia"/>
        </w:rPr>
        <w:t xml:space="preserve">等权威期刊发表论文</w:t>
      </w:r>
      <w:r>
        <w:t xml:space="preserve"> 80 </w:t>
      </w:r>
      <w:r>
        <w:rPr>
          <w:rFonts w:hint="eastAsia"/>
        </w:rPr>
        <w:t xml:space="preserve">余篇，代表性论文：</w:t>
      </w:r>
      <w:r>
        <w:t xml:space="preserve"> </w:t>
      </w:r>
      <w:r>
        <w:t xml:space="preserve">1. Bin Zhuge et al. </w:t>
      </w:r>
      <w:r>
        <w:t xml:space="preserve">“Data resources scheduling strategy based on improved sparrow search algorithm”</w:t>
      </w:r>
      <w:r>
        <w:t xml:space="preserve">, Cluster Computing, 2025</w:t>
      </w:r>
      <w:r>
        <w:t xml:space="preserve"> </w:t>
      </w:r>
      <w:r>
        <w:t xml:space="preserve">2. </w:t>
      </w:r>
      <w:r>
        <w:rPr>
          <w:rFonts w:hint="eastAsia"/>
        </w:rPr>
        <w:t xml:space="preserve">诸葛斌等.”基于</w:t>
      </w:r>
      <w:r>
        <w:t xml:space="preserve"> SDN </w:t>
      </w:r>
      <w:r>
        <w:rPr>
          <w:rFonts w:hint="eastAsia"/>
        </w:rPr>
        <w:t xml:space="preserve">框架的网络资源定价策略”,</w:t>
      </w:r>
      <w:r>
        <w:t xml:space="preserve"> </w:t>
      </w:r>
      <w:r>
        <w:rPr>
          <w:rFonts w:hint="eastAsia"/>
        </w:rPr>
        <w:t xml:space="preserve">电信科学，2018</w:t>
      </w:r>
      <w:r>
        <w:t xml:space="preserve"> </w:t>
      </w:r>
      <w:r>
        <w:t xml:space="preserve">3. </w:t>
      </w:r>
      <w:r>
        <w:rPr>
          <w:rFonts w:hint="eastAsia"/>
        </w:rPr>
        <w:t xml:space="preserve">诸葛斌等.”SDN</w:t>
      </w:r>
      <w:r>
        <w:t xml:space="preserve"> </w:t>
      </w:r>
      <w:r>
        <w:rPr>
          <w:rFonts w:hint="eastAsia"/>
        </w:rPr>
        <w:t xml:space="preserve">体系架构中元模型构建机制”,</w:t>
      </w:r>
      <w:r>
        <w:t xml:space="preserve"> </w:t>
      </w:r>
      <w:r>
        <w:rPr>
          <w:rFonts w:hint="eastAsia"/>
        </w:rPr>
        <w:t xml:space="preserve">电信科学，2016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五应用推广情况"/>
    <w:p>
      <w:pPr>
        <w:pStyle w:val="Heading2"/>
      </w:pPr>
      <w:r>
        <w:rPr>
          <w:rFonts w:hint="eastAsia"/>
        </w:rPr>
        <w:t xml:space="preserve">五、应用推广情况</w:t>
      </w:r>
    </w:p>
    <w:bookmarkStart w:id="28" w:name="应用示范场景"/>
    <w:p>
      <w:pPr>
        <w:pStyle w:val="Heading3"/>
      </w:pPr>
      <w:r>
        <w:t xml:space="preserve">5.1 </w:t>
      </w:r>
      <w:r>
        <w:rPr>
          <w:rFonts w:hint="eastAsia"/>
        </w:rPr>
        <w:t xml:space="preserve">应用示范场景</w:t>
      </w:r>
    </w:p>
    <w:bookmarkStart w:id="25" w:name="智能制造场景"/>
    <w:p>
      <w:pPr>
        <w:pStyle w:val="Heading4"/>
      </w:pPr>
      <w:r>
        <w:rPr>
          <w:rFonts w:hint="eastAsia"/>
        </w:rPr>
        <w:t xml:space="preserve">（1）智能制造场景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应用单位：杭州迪普科技有限公司生产线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应用内容：工业控制业务确定性低时延保障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技术指标：PLC</w:t>
      </w:r>
      <w:r>
        <w:t xml:space="preserve"> </w:t>
      </w:r>
      <w:r>
        <w:rPr>
          <w:rFonts w:hint="eastAsia"/>
        </w:rPr>
        <w:t xml:space="preserve">控制指令时延&lt;10ms，机器视觉质检流丢包率&lt;0.001%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应用规模：覆盖</w:t>
      </w:r>
      <w:r>
        <w:t xml:space="preserve"> 5 </w:t>
      </w:r>
      <w:r>
        <w:rPr>
          <w:rFonts w:hint="eastAsia"/>
        </w:rPr>
        <w:t xml:space="preserve">条智能产线，日均处理任务</w:t>
      </w:r>
      <w:r>
        <w:t xml:space="preserve"> 10 </w:t>
      </w:r>
      <w:r>
        <w:rPr>
          <w:rFonts w:hint="eastAsia"/>
        </w:rPr>
        <w:t xml:space="preserve">万</w:t>
      </w:r>
      <w:r>
        <w:t xml:space="preserve"> +</w:t>
      </w:r>
    </w:p>
    <w:bookmarkEnd w:id="25"/>
    <w:bookmarkStart w:id="26" w:name="车路协同场景"/>
    <w:p>
      <w:pPr>
        <w:pStyle w:val="Heading4"/>
      </w:pPr>
      <w:r>
        <w:rPr>
          <w:rFonts w:hint="eastAsia"/>
        </w:rPr>
        <w:t xml:space="preserve">（2）车路协同场景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应用单位：浙江省一体化算力服务平台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应用内容：自动驾驶感知融合与路径规划动态卸载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技术指标：调度响应时延&lt;50ms，任务迁移成功率&gt;99%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应用规模：接入</w:t>
      </w:r>
      <w:r>
        <w:t xml:space="preserve"> 25 </w:t>
      </w:r>
      <w:r>
        <w:rPr>
          <w:rFonts w:hint="eastAsia"/>
        </w:rPr>
        <w:t xml:space="preserve">个算力资源池，服务车辆</w:t>
      </w:r>
      <w:r>
        <w:t xml:space="preserve"> 5000+ </w:t>
      </w:r>
      <w:r>
        <w:rPr>
          <w:rFonts w:hint="eastAsia"/>
        </w:rPr>
        <w:t xml:space="preserve">台</w:t>
      </w:r>
    </w:p>
    <w:bookmarkEnd w:id="26"/>
    <w:bookmarkStart w:id="27" w:name="大模型分布式推演场景"/>
    <w:p>
      <w:pPr>
        <w:pStyle w:val="Heading4"/>
      </w:pPr>
      <w:r>
        <w:rPr>
          <w:rFonts w:hint="eastAsia"/>
        </w:rPr>
        <w:t xml:space="preserve">（3）大模型分布式推演场景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应用单位：国家超级计算长沙中心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应用内容：GPU/NPU</w:t>
      </w:r>
      <w:r>
        <w:t xml:space="preserve"> </w:t>
      </w:r>
      <w:r>
        <w:rPr>
          <w:rFonts w:hint="eastAsia"/>
        </w:rPr>
        <w:t xml:space="preserve">异构算力资源精细化调度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技术指标：分布式训练吞吐提升</w:t>
      </w:r>
      <w:r>
        <w:t xml:space="preserve"> </w:t>
      </w:r>
      <w:r>
        <w:rPr>
          <w:rFonts w:hint="eastAsia"/>
        </w:rPr>
        <w:t xml:space="preserve">35%，通信开销降低</w:t>
      </w:r>
      <w:r>
        <w:t xml:space="preserve"> 28%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应用规模：接入算力峰值</w:t>
      </w:r>
      <w:r>
        <w:t xml:space="preserve"> </w:t>
      </w:r>
      <w:r>
        <w:rPr>
          <w:rFonts w:hint="eastAsia"/>
        </w:rPr>
        <w:t xml:space="preserve">1100PF，支撑</w:t>
      </w:r>
      <w:r>
        <w:t xml:space="preserve"> AI </w:t>
      </w:r>
      <w:r>
        <w:rPr>
          <w:rFonts w:hint="eastAsia"/>
        </w:rPr>
        <w:t xml:space="preserve">企业</w:t>
      </w:r>
      <w:r>
        <w:t xml:space="preserve"> 50+ </w:t>
      </w:r>
      <w:r>
        <w:rPr>
          <w:rFonts w:hint="eastAsia"/>
        </w:rPr>
        <w:t xml:space="preserve">家</w:t>
      </w:r>
    </w:p>
    <w:bookmarkEnd w:id="27"/>
    <w:bookmarkEnd w:id="28"/>
    <w:bookmarkStart w:id="29" w:name="经济效益"/>
    <w:p>
      <w:pPr>
        <w:pStyle w:val="Heading3"/>
      </w:pPr>
      <w:r>
        <w:t xml:space="preserve">5.2 </w:t>
      </w:r>
      <w:r>
        <w:rPr>
          <w:rFonts w:hint="eastAsia"/>
        </w:rPr>
        <w:t xml:space="preserve">经济效益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980"/>
        <w:gridCol w:w="198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新增产值（万元）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新增利润（万元）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节支（万元）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杭州迪普科技有限公司</w:t>
            </w:r>
          </w:p>
        </w:tc>
        <w:tc>
          <w:tcPr/>
          <w:p>
            <w:pPr>
              <w:pStyle w:val="Compact"/>
            </w:pPr>
            <w:r>
              <w:t xml:space="preserve">2023-2025</w:t>
            </w:r>
          </w:p>
        </w:tc>
        <w:tc>
          <w:tcPr/>
          <w:p>
            <w:pPr>
              <w:pStyle w:val="Compact"/>
            </w:pPr>
            <w:r>
              <w:t xml:space="preserve">12,500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福建星网锐捷网络有限公司</w:t>
            </w:r>
          </w:p>
        </w:tc>
        <w:tc>
          <w:tcPr/>
          <w:p>
            <w:pPr>
              <w:pStyle w:val="Compact"/>
            </w:pPr>
            <w:r>
              <w:t xml:space="preserve">2023-2025</w:t>
            </w:r>
          </w:p>
        </w:tc>
        <w:tc>
          <w:tcPr/>
          <w:p>
            <w:pPr>
              <w:pStyle w:val="Compact"/>
            </w:pPr>
            <w:r>
              <w:t xml:space="preserve">8,900</w:t>
            </w:r>
          </w:p>
        </w:tc>
        <w:tc>
          <w:tcPr/>
          <w:p>
            <w:pPr>
              <w:pStyle w:val="Compact"/>
            </w:pPr>
            <w:r>
              <w:t xml:space="preserve">2,100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浙江省一体化算力服务平台</w:t>
            </w:r>
          </w:p>
        </w:tc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t xml:space="preserve">5,600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国家超级计算长沙中心</w:t>
            </w:r>
          </w:p>
        </w:tc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30,200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3,620</w:t>
            </w:r>
          </w:p>
        </w:tc>
      </w:tr>
    </w:tbl>
    <w:bookmarkEnd w:id="29"/>
    <w:bookmarkStart w:id="30" w:name="社会效益"/>
    <w:p>
      <w:pPr>
        <w:pStyle w:val="Heading3"/>
      </w:pPr>
      <w:r>
        <w:t xml:space="preserve">5.3 </w:t>
      </w:r>
      <w:r>
        <w:rPr>
          <w:rFonts w:hint="eastAsia"/>
        </w:rPr>
        <w:t xml:space="preserve">社会效益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支撑国家战略</w:t>
      </w:r>
      <w:r>
        <w:rPr>
          <w:rFonts w:hint="eastAsia"/>
        </w:rPr>
        <w:t xml:space="preserve">：成果直接服务于”东数西算”工程和全国一体化算力网络建设，为新型基础设施提供核心技术支撑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推动产业发展</w:t>
      </w:r>
      <w:r>
        <w:rPr>
          <w:rFonts w:hint="eastAsia"/>
        </w:rPr>
        <w:t xml:space="preserve">：带动边缘计算、算力网络产业链发展，培育相关企业</w:t>
      </w:r>
      <w:r>
        <w:t xml:space="preserve"> 20+ </w:t>
      </w:r>
      <w:r>
        <w:rPr>
          <w:rFonts w:hint="eastAsia"/>
        </w:rPr>
        <w:t xml:space="preserve">家，创造就业岗位</w:t>
      </w:r>
      <w:r>
        <w:t xml:space="preserve"> 500+ </w:t>
      </w:r>
      <w:r>
        <w:rPr>
          <w:rFonts w:hint="eastAsia"/>
        </w:rPr>
        <w:t xml:space="preserve">个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提升国际影响力</w:t>
      </w:r>
      <w:r>
        <w:rPr>
          <w:rFonts w:hint="eastAsia"/>
        </w:rPr>
        <w:t xml:space="preserve">：主导制定</w:t>
      </w:r>
      <w:r>
        <w:t xml:space="preserve"> 5 </w:t>
      </w:r>
      <w:r>
        <w:rPr>
          <w:rFonts w:hint="eastAsia"/>
        </w:rPr>
        <w:t xml:space="preserve">项</w:t>
      </w:r>
      <w:r>
        <w:t xml:space="preserve"> IETF </w:t>
      </w:r>
      <w:r>
        <w:rPr>
          <w:rFonts w:hint="eastAsia"/>
        </w:rPr>
        <w:t xml:space="preserve">国际标准，提升了我国在网络基础技术领域的国际话语权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培养专业人才</w:t>
      </w:r>
      <w:r>
        <w:rPr>
          <w:rFonts w:hint="eastAsia"/>
        </w:rPr>
        <w:t xml:space="preserve">：培养博士、硕士研究生</w:t>
      </w:r>
      <w:r>
        <w:t xml:space="preserve"> 30 </w:t>
      </w:r>
      <w:r>
        <w:rPr>
          <w:rFonts w:hint="eastAsia"/>
        </w:rPr>
        <w:t xml:space="preserve">余名，为行业输送高层次技术人才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第三方评价"/>
    <w:p>
      <w:pPr>
        <w:pStyle w:val="Heading2"/>
      </w:pPr>
      <w:r>
        <w:rPr>
          <w:rFonts w:hint="eastAsia"/>
        </w:rPr>
        <w:t xml:space="preserve">六、第三方评价</w:t>
      </w:r>
    </w:p>
    <w:bookmarkStart w:id="32" w:name="科技成果鉴定"/>
    <w:p>
      <w:pPr>
        <w:pStyle w:val="Heading3"/>
      </w:pPr>
      <w:r>
        <w:t xml:space="preserve">6.1 </w:t>
      </w:r>
      <w:r>
        <w:rPr>
          <w:rFonts w:hint="eastAsia"/>
        </w:rPr>
        <w:t xml:space="preserve">科技成果鉴定</w:t>
      </w:r>
    </w:p>
    <w:p>
      <w:pPr>
        <w:pStyle w:val="FirstParagraph"/>
      </w:pPr>
      <w:r>
        <w:rPr>
          <w:rFonts w:hint="eastAsia"/>
          <w:b/>
          <w:bCs/>
        </w:rPr>
        <w:t xml:space="preserve">鉴定单位：</w:t>
      </w:r>
      <w:r>
        <w:t xml:space="preserve"> </w:t>
      </w:r>
      <w:r>
        <w:rPr>
          <w:rFonts w:hint="eastAsia"/>
        </w:rPr>
        <w:t xml:space="preserve">中国通信学会</w:t>
      </w:r>
      <w:r>
        <w:br/>
      </w:r>
      <w:r>
        <w:rPr>
          <w:rFonts w:hint="eastAsia"/>
          <w:b/>
          <w:bCs/>
        </w:rPr>
        <w:t xml:space="preserve">鉴定日期：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XX </w:t>
      </w:r>
      <w:r>
        <w:rPr>
          <w:rFonts w:hint="eastAsia"/>
        </w:rPr>
        <w:t xml:space="preserve">月</w:t>
      </w:r>
      <w:r>
        <w:t xml:space="preserve"> XX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鉴定意见：</w:t>
      </w:r>
      <w:r>
        <w:t xml:space="preserve"> </w:t>
      </w:r>
      <w:r>
        <w:rPr>
          <w:rFonts w:hint="eastAsia"/>
        </w:rPr>
        <w:t xml:space="preserve">“该项目在边缘算网资源价值量化、意图认知与博弈协同调度方面取得突破性进展，整体技术达到国际领先水平。”</w:t>
      </w:r>
    </w:p>
    <w:bookmarkEnd w:id="32"/>
    <w:bookmarkStart w:id="33" w:name="行业认可"/>
    <w:p>
      <w:pPr>
        <w:pStyle w:val="Heading3"/>
      </w:pPr>
      <w:r>
        <w:t xml:space="preserve">6.2 </w:t>
      </w:r>
      <w:r>
        <w:rPr>
          <w:rFonts w:hint="eastAsia"/>
        </w:rPr>
        <w:t xml:space="preserve">行业认可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入选中国通信学会”算力网络产业十大创新成果”（2024）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获浙江省”领雁研发计划”重点支持（2026C02A1244）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技术方案被纳入《算力互联互通标准体系</w:t>
      </w:r>
      <w:r>
        <w:t xml:space="preserve"> </w:t>
      </w:r>
      <w:r>
        <w:rPr>
          <w:rFonts w:hint="eastAsia"/>
        </w:rPr>
        <w:t xml:space="preserve">1.0》（中国信通院，2024）</w:t>
      </w:r>
    </w:p>
    <w:bookmarkEnd w:id="33"/>
    <w:bookmarkStart w:id="34" w:name="用户评价"/>
    <w:p>
      <w:pPr>
        <w:pStyle w:val="Heading3"/>
      </w:pPr>
      <w:r>
        <w:t xml:space="preserve">6.3 </w:t>
      </w:r>
      <w:r>
        <w:rPr>
          <w:rFonts w:hint="eastAsia"/>
        </w:rPr>
        <w:t xml:space="preserve">用户评价</w:t>
      </w:r>
    </w:p>
    <w:p>
      <w:pPr>
        <w:pStyle w:val="BlockText"/>
      </w:pPr>
      <w:r>
        <w:rPr>
          <w:rFonts w:hint="eastAsia"/>
        </w:rPr>
        <w:t xml:space="preserve">“该系统的引入使我们的工业控制业务时延稳定性提升了</w:t>
      </w:r>
      <w:r>
        <w:t xml:space="preserve"> </w:t>
      </w:r>
      <w:r>
        <w:rPr>
          <w:rFonts w:hint="eastAsia"/>
        </w:rPr>
        <w:t xml:space="preserve">40%，为智能制造转型提供了可靠保障。”</w:t>
      </w:r>
      <w:r>
        <w:br/>
      </w:r>
      <w:r>
        <w:t xml:space="preserve">—— </w:t>
      </w:r>
      <w:r>
        <w:rPr>
          <w:rFonts w:hint="eastAsia"/>
        </w:rPr>
        <w:t xml:space="preserve">杭州迪普科技有限公司</w:t>
      </w:r>
      <w:r>
        <w:t xml:space="preserve"> </w:t>
      </w:r>
      <w:r>
        <w:rPr>
          <w:rFonts w:hint="eastAsia"/>
        </w:rPr>
        <w:t xml:space="preserve">技术总监</w:t>
      </w:r>
    </w:p>
    <w:p>
      <w:pPr>
        <w:pStyle w:val="BlockText"/>
      </w:pPr>
      <w:r>
        <w:rPr>
          <w:rFonts w:hint="eastAsia"/>
        </w:rPr>
        <w:t xml:space="preserve">“在车路协同场景下，系统展现了出色的动态调度能力，有效支撑了自动驾驶业务的连续性需求。”</w:t>
      </w:r>
      <w:r>
        <w:br/>
      </w:r>
      <w:r>
        <w:t xml:space="preserve">—— </w:t>
      </w:r>
      <w:r>
        <w:rPr>
          <w:rFonts w:hint="eastAsia"/>
        </w:rPr>
        <w:t xml:space="preserve">浙江省一体化算力服务平台</w:t>
      </w:r>
      <w:r>
        <w:t xml:space="preserve"> </w:t>
      </w:r>
      <w:r>
        <w:rPr>
          <w:rFonts w:hint="eastAsia"/>
        </w:rPr>
        <w:t xml:space="preserve">运营负责人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曾获奖励情况"/>
    <w:p>
      <w:pPr>
        <w:pStyle w:val="Heading2"/>
      </w:pPr>
      <w:r>
        <w:rPr>
          <w:rFonts w:hint="eastAsia"/>
        </w:rPr>
        <w:t xml:space="preserve">七、曾获奖励情况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获奖项目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获奖年份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转发与控制分离技术及应用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浙江省科学技术进步奖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一等奖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基于元能力模型的</w:t>
            </w:r>
            <w:r>
              <w:t xml:space="preserve"> 5G </w:t>
            </w:r>
            <w:r>
              <w:rPr>
                <w:rFonts w:hint="eastAsia"/>
              </w:rPr>
              <w:t xml:space="preserve">网络切片基站技术及产业化应用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浙江省科学技术进步奖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二等奖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开放可编程路由器关键技术研究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教育部高等学校科学研究优秀成果奖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二等奖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可重构网络体系架构及关键技术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浙江省技术发明奖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一等奖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八项目创新性与先进性总结"/>
    <w:p>
      <w:pPr>
        <w:pStyle w:val="Heading2"/>
      </w:pPr>
      <w:r>
        <w:rPr>
          <w:rFonts w:hint="eastAsia"/>
        </w:rPr>
        <w:t xml:space="preserve">八、项目创新性与先进性总结</w:t>
      </w:r>
    </w:p>
    <w:bookmarkStart w:id="37" w:name="与国内外同类技术比较"/>
    <w:p>
      <w:pPr>
        <w:pStyle w:val="Heading3"/>
      </w:pPr>
      <w:r>
        <w:t xml:space="preserve">8.1 </w:t>
      </w:r>
      <w:r>
        <w:rPr>
          <w:rFonts w:hint="eastAsia"/>
        </w:rPr>
        <w:t xml:space="preserve">与国内外同类技术比较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630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国际先进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资源建模维度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</w:t>
            </w:r>
            <w:r>
              <w:t xml:space="preserve"> FQC </w:t>
            </w:r>
            <w:r>
              <w:rPr>
                <w:rFonts w:hint="eastAsia"/>
              </w:rPr>
              <w:t xml:space="preserve">价值模型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单一物理指标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双维（性能</w:t>
            </w:r>
            <w:r>
              <w:t xml:space="preserve"> + </w:t>
            </w:r>
            <w:r>
              <w:rPr>
                <w:rFonts w:hint="eastAsia"/>
              </w:rPr>
              <w:t xml:space="preserve">成本）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意图识别准确率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小样本适应能力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支持（元学习）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调度节点规模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万</w:t>
            </w:r>
            <w:r>
              <w:t xml:space="preserve"> +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调度决策时延</w:t>
            </w:r>
          </w:p>
        </w:tc>
        <w:tc>
          <w:tcPr/>
          <w:p>
            <w:pPr>
              <w:pStyle w:val="Compact"/>
            </w:pPr>
            <w:r>
              <w:t xml:space="preserve">&lt;50ms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纳什均衡收敛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启发式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部分保证</w:t>
            </w:r>
          </w:p>
        </w:tc>
      </w:tr>
    </w:tbl>
    <w:bookmarkEnd w:id="37"/>
    <w:bookmarkStart w:id="38" w:name="核心优势"/>
    <w:p>
      <w:pPr>
        <w:pStyle w:val="Heading3"/>
      </w:pPr>
      <w:r>
        <w:t xml:space="preserve">8.2 </w:t>
      </w:r>
      <w:r>
        <w:rPr>
          <w:rFonts w:hint="eastAsia"/>
        </w:rPr>
        <w:t xml:space="preserve">核心优势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理论创新</w:t>
      </w:r>
      <w:r>
        <w:rPr>
          <w:rFonts w:hint="eastAsia"/>
        </w:rPr>
        <w:t xml:space="preserve">：首次建立价值驱动的边缘算网调度理论体系，填补了该领域理论空白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技术突破</w:t>
      </w:r>
      <w:r>
        <w:rPr>
          <w:rFonts w:hint="eastAsia"/>
        </w:rPr>
        <w:t xml:space="preserve">：攻克了异构资源统一表征、小样本意图认知、大规模博弈协同三大技术瓶颈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工程落地</w:t>
      </w:r>
      <w:r>
        <w:rPr>
          <w:rFonts w:hint="eastAsia"/>
        </w:rPr>
        <w:t xml:space="preserve">：自主研发原型系统，在多个典型场景实现规模化应用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标准引领</w:t>
      </w:r>
      <w:r>
        <w:rPr>
          <w:rFonts w:hint="eastAsia"/>
        </w:rPr>
        <w:t xml:space="preserve">：主导制定多项国际国内标准，掌握技术话语权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九完成人贡献说明"/>
    <w:p>
      <w:pPr>
        <w:pStyle w:val="Heading2"/>
      </w:pPr>
      <w:r>
        <w:rPr>
          <w:rFonts w:hint="eastAsia"/>
        </w:rPr>
        <w:t xml:space="preserve">九、完成人贡献说明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1485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主要贡献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项目总负责人，提出总体技术路线，主持</w:t>
            </w:r>
            <w:r>
              <w:t xml:space="preserve"> FQC </w:t>
            </w:r>
            <w:r>
              <w:rPr>
                <w:rFonts w:hint="eastAsia"/>
              </w:rPr>
              <w:t xml:space="preserve">价值模型和博弈调度机制研究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董黎刚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负责异构资源统一建模研究，主导国际标准制定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张子天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副研究员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负责意图认知框架研发，主导元学习机制设计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副教授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负责智能调度算法研究，改进麻雀搜索算法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蒋献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负责仿真系统实现与性能测试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洪金珠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负责博弈理论研究与理论证明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十申报单位意见"/>
    <w:p>
      <w:pPr>
        <w:pStyle w:val="Heading2"/>
      </w:pPr>
      <w:r>
        <w:rPr>
          <w:rFonts w:hint="eastAsia"/>
        </w:rPr>
        <w:t xml:space="preserve">十、申报单位意见</w:t>
      </w:r>
    </w:p>
    <w:p>
      <w:pPr>
        <w:pStyle w:val="FirstParagraph"/>
      </w:pPr>
      <w:r>
        <w:rPr>
          <w:rFonts w:hint="eastAsia"/>
        </w:rPr>
        <w:t xml:space="preserve">本项目在边缘算网资源协同调度领域取得重大突破，形成了具有自主知识产权的核心技术体系，实现了大规模产业化应用，经济和社会效益显著。项目成果整体达到国际领先水平，符合浙江省科学技术进步奖一等奖申报条件。</w:t>
      </w:r>
    </w:p>
    <w:p>
      <w:pPr>
        <w:pStyle w:val="BodyText"/>
      </w:pPr>
      <w:r>
        <w:rPr>
          <w:rFonts w:hint="eastAsia"/>
        </w:rPr>
        <w:t xml:space="preserve">本单位承诺所提交材料真实有效，不存在知识产权争议。</w:t>
      </w:r>
    </w:p>
    <w:p>
      <w:pPr>
        <w:pStyle w:val="BodyText"/>
      </w:pPr>
      <w:r>
        <w:rPr>
          <w:rFonts w:hint="eastAsia"/>
          <w:b/>
          <w:bCs/>
        </w:rPr>
        <w:t xml:space="preserve">牵头单位（盖章）：</w:t>
      </w:r>
      <w:r>
        <w:t xml:space="preserve"> </w:t>
      </w:r>
      <w:r>
        <w:rPr>
          <w:rFonts w:hint="eastAsia"/>
        </w:rPr>
        <w:t xml:space="preserve">浙江工商大学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XX </w:t>
      </w:r>
      <w:r>
        <w:rPr>
          <w:rFonts w:hint="eastAsia"/>
        </w:rPr>
        <w:t xml:space="preserve">月</w:t>
      </w:r>
      <w:r>
        <w:t xml:space="preserve"> XX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41"/>
    <w:bookmarkStart w:id="42" w:name="附件清单"/>
    <w:p>
      <w:pPr>
        <w:pStyle w:val="Heading2"/>
      </w:pPr>
      <w:r>
        <w:rPr>
          <w:rFonts w:hint="eastAsia"/>
        </w:rPr>
        <w:t xml:space="preserve">附件清单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知识产权证明文件（专利证书、软著登记证书、RFC</w:t>
      </w:r>
      <w:r>
        <w:t xml:space="preserve"> </w:t>
      </w:r>
      <w:r>
        <w:rPr>
          <w:rFonts w:hint="eastAsia"/>
        </w:rPr>
        <w:t xml:space="preserve">标准文本）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科技成果鉴定证书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应用证明及经济效益证明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代表性论文首页及检索证明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用户评价材料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曾获奖励证书复印件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项目立项文件及验收报告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申报书撰写日期：2026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31 </w:t>
      </w:r>
      <w:r>
        <w:rPr>
          <w:rFonts w:hint="eastAsia"/>
          <w:i/>
          <w:iCs/>
        </w:rPr>
        <w:t xml:space="preserve">日</w:t>
      </w:r>
      <w:r>
        <w:br/>
      </w:r>
      <w:r>
        <w:rPr>
          <w:rFonts w:hint="eastAsia"/>
          <w:i/>
          <w:iCs/>
        </w:rPr>
        <w:t xml:space="preserve">撰写依据：国家自然科学基金申请书（2026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版）及团队前期研究成果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2026-03-31T13:00:09Z</dcterms:created>
  <dcterms:modified xsi:type="dcterms:W3CDTF">2026-03-31T13:00:09Z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