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40" w:before="120"/>
        <w:jc w:val="center"/>
      </w:pPr>
      <w:r>
        <w:rPr>
          <w:rFonts w:ascii="黑体" w:hAnsi="黑体" w:eastAsia="黑体"/>
          <w:b/>
          <w:sz w:val="36"/>
        </w:rPr>
        <w:t>毕业论文答辩陈述稿</w:t>
      </w:r>
    </w:p>
    <w:p/>
    <w:p>
      <w:pPr>
        <w:spacing w:after="40"/>
        <w:jc w:val="center"/>
      </w:pPr>
      <w:r>
        <w:rPr>
          <w:rFonts w:ascii="宋体" w:hAnsi="宋体" w:eastAsia="宋体"/>
          <w:sz w:val="24"/>
        </w:rPr>
        <w:t>浙江工商大学马克思主义学院</w:t>
      </w:r>
    </w:p>
    <w:p>
      <w:pPr>
        <w:spacing w:after="40"/>
        <w:jc w:val="center"/>
      </w:pPr>
      <w:r>
        <w:rPr>
          <w:rFonts w:ascii="宋体" w:hAnsi="宋体" w:eastAsia="宋体"/>
          <w:sz w:val="24"/>
        </w:rPr>
        <w:t>答辩人：叶畏兵</w:t>
      </w:r>
    </w:p>
    <w:p>
      <w:pPr>
        <w:spacing w:after="40"/>
        <w:jc w:val="center"/>
      </w:pPr>
      <w:r>
        <w:rPr>
          <w:rFonts w:ascii="宋体" w:hAnsi="宋体" w:eastAsia="宋体"/>
          <w:sz w:val="24"/>
        </w:rPr>
        <w:t>论文题目：Approaches to Integrating Christian Love with Core Socialist Values</w:t>
      </w:r>
    </w:p>
    <w:p>
      <w:pPr>
        <w:spacing w:after="40"/>
        <w:jc w:val="center"/>
      </w:pPr>
      <w:r>
        <w:rPr>
          <w:rFonts w:ascii="宋体" w:hAnsi="宋体" w:eastAsia="宋体"/>
          <w:sz w:val="24"/>
        </w:rPr>
        <w:t>指导教师：莫幸福 教授</w:t>
      </w:r>
    </w:p>
    <w:p>
      <w:pPr>
        <w:spacing w:after="40"/>
        <w:jc w:val="center"/>
      </w:pPr>
      <w:r>
        <w:rPr>
          <w:rFonts w:ascii="宋体" w:hAnsi="宋体" w:eastAsia="宋体"/>
          <w:sz w:val="24"/>
        </w:rPr>
        <w:t>预计时长：5分钟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一、开场（约25秒）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各位老师好！我是叶畏兵，一名基督教教职人员，也是浙江省双通班学员。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我国有约3800万基督徒，他们如何既保持信仰又融入主流社会？这就是我论文要回答的问题。我的论文题目是《基督教仁爱观念与社会主义核心价值观融合途径研究》。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二、研究背景与问题（约45秒）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2021年全国宗教工作会议明确提出，以社会主义核心价值观引领宗教发展，增进"五个认同"。但在实践中，基督教本土化面临三个问题：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第一，教义阐释的"西方中心主义"残余。</w:t>
      </w:r>
      <w:r>
        <w:rPr>
          <w:rFonts w:ascii="宋体" w:hAnsi="宋体" w:eastAsia="宋体"/>
          <w:sz w:val="24"/>
        </w:rPr>
        <w:t>部分乡村教会照搬国外神学体系，缺乏对儒家文化的创造性转化。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第二，慈善实践的"宗教标识化"风险。</w:t>
      </w:r>
      <w:r>
        <w:rPr>
          <w:rFonts w:ascii="宋体" w:hAnsi="宋体" w:eastAsia="宋体"/>
          <w:sz w:val="24"/>
        </w:rPr>
        <w:t>个别教会在公益活动中刻意突出宗教符号，甚至将慈善作为传教的隐性渠道。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第三，话语体系的"沟通鸿沟"。</w:t>
      </w:r>
      <w:r>
        <w:rPr>
          <w:rFonts w:ascii="宋体" w:hAnsi="宋体" w:eastAsia="宋体"/>
          <w:sz w:val="24"/>
        </w:rPr>
        <w:t>神学话语以"神启""救赎"为核心，主流价值以"人民""发展"为核心，二者缺乏有效的"翻译"机制。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基于此，本文的核心研究问题是：在社会主义核心价值观引领下，基督教仁爱观念如何实现创造性转化？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三、理论框架（约40秒）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本文整合了四个理论工具：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第一，中国特色社会主义宗教理论——</w:t>
      </w:r>
      <w:r>
        <w:rPr>
          <w:rFonts w:ascii="宋体" w:hAnsi="宋体" w:eastAsia="宋体"/>
          <w:sz w:val="24"/>
        </w:rPr>
        <w:t>确保分析的政治方向；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第二，Bhabha"第三空间"文化翻译理论——</w:t>
      </w:r>
      <w:r>
        <w:rPr>
          <w:rFonts w:ascii="宋体" w:hAnsi="宋体" w:eastAsia="宋体"/>
          <w:sz w:val="24"/>
        </w:rPr>
        <w:t>解释文化相遇如何在交互中生成新意义；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第三，交叠共识逻辑——</w:t>
      </w:r>
      <w:r>
        <w:rPr>
          <w:rFonts w:ascii="宋体" w:hAnsi="宋体" w:eastAsia="宋体"/>
          <w:sz w:val="24"/>
        </w:rPr>
        <w:t>说明两种价值体系如何在实践伦理层面找到共同语言；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第四，Bevans处境化神学理论——</w:t>
      </w:r>
      <w:r>
        <w:rPr>
          <w:rFonts w:ascii="宋体" w:hAnsi="宋体" w:eastAsia="宋体"/>
          <w:sz w:val="24"/>
        </w:rPr>
        <w:t>为教义诠释创新提供方法论。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"五个认同"贯穿全文，作为检验融合成效的分析尺度。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四、核心发现（约2分10秒）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发现一：二者在三个维度上深度契合。</w:t>
      </w:r>
      <w:r>
        <w:rPr>
          <w:rFonts w:ascii="宋体" w:hAnsi="宋体" w:eastAsia="宋体"/>
          <w:sz w:val="24"/>
        </w:rPr>
        <w:t>价值追求上都指向人的尊严与福祉；社会功能上都维护社会和谐；文化内核上都共享中华优秀传统文化资源。融合具备充分的理论与现实可行性。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发现二：当前融合实践面临三重障碍。</w:t>
      </w:r>
      <w:r>
        <w:rPr>
          <w:rFonts w:ascii="宋体" w:hAnsi="宋体" w:eastAsia="宋体"/>
          <w:sz w:val="24"/>
        </w:rPr>
        <w:t>认知层面的身份困境、实践层面的形式化与功利化、制度层面的评估缺位。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发现三：本文提出四维融合路径。</w:t>
      </w:r>
      <w:r>
        <w:rPr>
          <w:rFonts w:ascii="宋体" w:hAnsi="宋体" w:eastAsia="宋体"/>
          <w:sz w:val="24"/>
        </w:rPr>
        <w:t>教义阐释上，我提出"Agape与"仁"的创造性对接"方案，构建"家国情怀—社区互助—人类关怀"三层诠释结构；教育引导上，设计"润物细无声"的分层浸润策略；实践转化上，基于浙江光盐爱心基金会的"去标识化"公益实践；制度保障上，构建"评估—反馈—纠正"闭环机制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这里我想分享一个发生在我所在教会的真实案例。近日，椒江基督教堂晨光服务队的9位志愿者带着枇杷、糕点，来到葭芷残疾人之家慰问。志愿者们以"社区志愿者"身份，核心环节是齐唱革命歌曲。一位平时不太爱说话的残疾朋友，在音乐声中跟着节奏拍手，脸上露出灿烂的笑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陈春花队长说："音乐是最好的沟通桥梁。我们希望让他们感受到被尊重、被陪伴的快乐，而不是同情。"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这个案例完美印证了本文的理论——以非宗教名称开展服务，用行动传递爱而非传教，这正是"去标识化"策略在基层的生动实践。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五、理论发现：去标识化悖论（约40秒）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在研究过程中，本文还发现了一个既有研究未曾充分讨论的现象——"去标识化悖论"：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基督教公益组织通过淡化宗教符号来获取社会合法性，但策略越成功，外界越觉得它"就是一个普通公益机构"，信仰独特性越难被识别。长此以往，组织内部的信仰动力可能会弱化——信众参与公益是为了践行信仰，但如果外部世界看不到信仰的独特性，信众的信仰确认感就会下降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这一悖论无法完全消除，但可以通过"内外有别"来缓解——对外去标识化，对内保留信仰话语。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六、创新点（约20秒）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第一，理论框架整合——首次将"五个认同"与三个理论工具整合为统一分析框架；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第二，教义诠释创新——"Agape与"仁"的创造性对接"三层结构，为基督教讲道提供可直接应用的方法论；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第三，理论发现——提出"去标识化悖论"，揭示基督教中国化进程中的深层张力。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七、不足与展望（约15秒）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实证基础主要基于浙江案例，未来需补充跨区域比较和量化数据。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八、结语（约25秒）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总而言之，在社会主义核心价值观引领下，基督教仁爱观念的创造性转化具备充分的理论与现实可行性。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基督教中国化不是一道选择题，而是一道必答题。这道题的答案不在国外的神学教材里，而在中国的文化传统中，在社会主义的实践中，在每一次不附带传教条件的社区服务中，在每一首志愿者与残疾人手拉手唱起的革命歌曲中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以上是我的汇报。感谢莫幸福教授的悉心指导，感谢各位老师的聆听，恳请批评指正！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黑体" w:hAnsi="黑体" w:eastAsia="黑体"/>
          <w:b/>
          <w:sz w:val="36"/>
        </w:rPr>
        <w:t>⏱ 时间分配参考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5669"/>
          </w:tcPr>
          <w:p>
            <w:r>
              <w:rPr>
                <w:rFonts w:ascii="宋体" w:hAnsi="宋体" w:eastAsia="宋体"/>
                <w:b/>
                <w:sz w:val="22"/>
              </w:rPr>
              <w:t>部分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一、开场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25秒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二、研究背景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45秒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三、理论框架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40秒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四、核心发现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2分10秒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五、去标识化悖论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40秒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六、创新点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20秒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七、不足与展望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15秒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2"/>
              </w:rPr>
              <w:t>八、结语</w:t>
            </w:r>
            <w:r>
              <w:rPr>
                <w:sz w:val="2"/>
              </w:rPr>
              <w:t xml:space="preserve">  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2"/>
              </w:rPr>
              <w:t>25秒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