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OpenClaw </w:t>
            </w:r>
            <w:r>
              <w:rPr>
                <w:rFonts w:hint="eastAsia"/>
              </w:rPr>
              <w:t xml:space="preserve">赋能纺织品营销课堂：AI</w:t>
            </w:r>
            <w:r>
              <w:t xml:space="preserve"> </w:t>
            </w:r>
            <w:r>
              <w:rPr>
                <w:rFonts w:hint="eastAsia"/>
              </w:rPr>
              <w:t xml:space="preserve">优化与教学创新的实践路径研究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7,800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410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405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1125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实践路径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策略途径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“智能备课—情境教学—个性辅导—多元评价”</w:t>
      </w:r>
      <w:r>
        <w:rPr>
          <w:rFonts w:hint="eastAsia"/>
        </w:rPr>
        <w:t xml:space="preserve">四维模式为自主构建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：实践数据来源于教学设计，分析解读为原创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专业特色融入</w:t>
      </w:r>
      <w:r>
        <w:rPr>
          <w:rFonts w:hint="eastAsia"/>
        </w:rPr>
        <w:t xml:space="preserve">：结合纺织品营销专业特点，案例自主编写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17.5%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：结合浙江省、绍兴市、柯桥区本地政策与案例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17.5%（符合）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如需进一步协助，可联系绍兴柯桥职校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2026-04-23T05:07:14Z</dcterms:created>
  <dcterms:modified xsi:type="dcterms:W3CDTF">2026-04-23T05:07:14Z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