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B71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186749C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以戒为师，依法护心</w:t>
      </w:r>
    </w:p>
    <w:p w14:paraId="284BFB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——从佛法戒律看新时代修行人的守法自觉与慈悲践行</w:t>
      </w:r>
    </w:p>
    <w:p w14:paraId="0F4873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尊敬的各位大德法师、各位居士，以及今天来到寺院的各位朋友：</w:t>
      </w:r>
    </w:p>
    <w:p w14:paraId="5D5F7A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大家吉祥！阿弥陀佛！</w:t>
      </w:r>
    </w:p>
    <w:p w14:paraId="66C577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今天大家聚在清净的殿堂里，我想和大家聊一个既古老又现代的话题——“以戒为师，依法护心”。</w:t>
      </w:r>
    </w:p>
    <w:p w14:paraId="2307A9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有的朋友可能会好奇：“法师，我们来寺院是为了听经闻法、求内心清净的，怎么讲起‘法治’和‘规矩’来了？”其实，这是一个非常好的问题。</w:t>
      </w:r>
    </w:p>
    <w:p w14:paraId="3E86AF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在平时的弘法中，我经常听到一种说法。有的同修为了劝大家守规矩，会很简单地说：“咱们佛教的戒律，就是佛教里的法律；你在社会上遵纪守法，就等于在佛门里持戒了。”大家想想，这句话听起来是不是挺有道理？但作为修行人，我们要在法理上把它理清楚：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戒律和世俗的法律，不能简单地画等号，更不能互相替代。</w:t>
      </w:r>
    </w:p>
    <w:p w14:paraId="741C70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为什么呢？因为国家法律的底色是“公平正义”，它用强制力来定分止争，管的是我们的“身”和“外在行为”；而佛教戒律的终极目的是“解脱烦恼、证得菩提”，它靠的是信仰的自觉，修的是我们的“心”。</w:t>
      </w:r>
    </w:p>
    <w:p w14:paraId="2EEE8B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既然不能画等号，那我们今天为什么还要把“戒律”和“法治”放在一起讲呢？这就是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六祖大师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提倡的“佛法在世间，不离世间觉”。戒律虽然指向出世间的解脱，但它所蕴含的平等、敬畏、自律和慈悲，恰恰能为我们今天建设法治社会、践行社会主义核心价值观，提供最深厚的“心理底座”。</w:t>
      </w:r>
    </w:p>
    <w:p w14:paraId="49B5E2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今天，我想抛开干巴巴的理论，从我们中国人的文化土壤出发，和大家分享四个层面的体会。看看一个真正的学佛人，是如何把对佛法的信仰，自然而然地转化为做个好公民、好人的内在动力的。</w:t>
      </w:r>
    </w:p>
    <w:p w14:paraId="6E14AA1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一、戒律的生命力，在于融进了中华的“礼”</w:t>
      </w:r>
    </w:p>
    <w:p w14:paraId="2538ED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戒律刚到中国的时候，祖师们就面临一个抉择：是把印度的条文原封不动地搬过来，还是让它在这片土地上重新生根？历史已经给出了答案。唐代的南山道宣律师，被称为律宗的祖师，他做了一件非常了不起的事情。他用中国人熟悉的“礼”的文化，去诠释印度传来的“戒”。在他的巨著《四分律删繁补阙行事钞》里，戒律不再是冷冰冰的“不许这样、不许那样”，而被诠释为一种“敬慎威仪”的自我修养、一种正心诚意的日常功夫。你看，他把“戒”和“礼”融通了，“持戒”变成了一种涵养心性的仪轨，这就是我们这个民族最擅长的“教化”。</w:t>
      </w:r>
    </w:p>
    <w:p w14:paraId="549516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道宣律师更了不起的地方，是他吸收了《中庸》思想的精髓，特别强调“开遮持犯”的智慧。戒律不是铁板一块，它有“开”——根据情况灵活变通；有“遮”——原则问题绝对禁止；有“持”——主动去做应做的善行；有“犯”——触碰了该守的界限。什么时候该严，什么时候该宽，这需要智慧判断，不是死执条文。这就把戒律从一套外在的规矩，变成了一种内在的道德实践能力，一种活泼泼的生命智慧。</w:t>
      </w:r>
    </w:p>
    <w:p w14:paraId="7AE4031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所以各位，我们今天看待丛林里的搭衣、上殿、过堂、行住坐卧的规矩，要看到它们不是繁文缛节，而是戒律精神在中华文化中“礼化”的鲜活呈现。我们从这份恭敬心中出来，走上社会，遵守交通规则、按时纳税、诚实守信，这本身也可以被看作一份正念的延续，是实现自我约束的日常行履。从这个角度看遵纪守法，它就不是外来的束缚，而是从戒律的修养中自然流露出来的行为习惯。</w:t>
      </w:r>
    </w:p>
    <w:p w14:paraId="511212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二、既要守住原则，也要懂得“随方”的智慧</w:t>
      </w:r>
    </w:p>
    <w:p w14:paraId="38325B8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佛法里有一个非常重要的思想，叫“依法不依人”。《大宝积经》讲，学佛的四条准则，第一条就是这个。不管一位法师名气多大、地位多高，他的言行如果违背了经教戒律，我们就不能跟随。这个思想，跟现代文明中“尊重规则而非盲从个人权威”的理性精神，在深处的精神脉络是相通的。为了落实这个原则，僧团还建立了“羯磨”制度，重大决策、处理事务，必须在大众中公开陈述，征求全体意见，得到默然认可，才算如法。这可以说是人类社会早期相当成熟的集体协商和程序正义的雏形。它所体现的“大众和合、依律共住”精神，对我们今天遵纪守法，处理个人与集体的关系，依然有着深刻的启发。它让我们学会在规则面前保持谦卑，不矫情、不任性，以平等的身份与人共处。</w:t>
      </w:r>
    </w:p>
    <w:p w14:paraId="687447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那么，面对时代变迁，古老的规矩怎么与时俱进？佛陀其实留下了智慧的开端。在《五分律》中，他讲了一段极为开明的话，大意是：虽然是我制定的戒条，如果到了别的地方，当地的风俗习惯、清净的标准不同，不能生搬硬套；虽然不是我所制定的，但在那个地方是必须遵守的好规矩，你们也应当遵守。历代祖师把这一精神称为“随方毗尼”。这是一种很了不起的开明和自信，给出了戒律随顺不同文化、时代而健康传承的根本原则。</w:t>
      </w:r>
    </w:p>
    <w:p w14:paraId="6FE4C7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这一点，又和我们中华文化里“权变”的智慧相应了。《易经》讲“穷则变，变则通，通则久”，《孟子》说“执中无权，犹执一也”，执守中道如果不知权衡变通，反而成了偏执。唐代的百丈怀海禅师，就是运用这种智慧的典范。他看到中国的国情和印度的不同，大众托钵、依靠乞食不太符合这片土地的民情和律令。于是他结合中国的农耕文化，创制《百丈清规》，提出“一日不作，一日不食”，出家人和僧众自己耕种、自食其力。这在当时是一项充满担当和远见的制度创立，正是“随方毗尼”精神在中国结出的硕果。</w:t>
      </w:r>
    </w:p>
    <w:p w14:paraId="7AC07E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今天也会有不少信众问到一些具体的困惑，比如：“法师，我受了不杀生戒，但国家法律规定了服兵役保家卫国的义务，这不矛盾吗？”“有些传统做法，好像和现代的消防安全法、环保法不太协调，我该听谁的？”</w:t>
      </w:r>
    </w:p>
    <w:p w14:paraId="75CB2E5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我们怎么理解呢？用“随方毗尼”的智慧来看，佛法从来不教人死搬教条。国家法律是保护最广大人民根本利益的社会公约，在现代社会，遵守《宪法》《民法典》《国家安全法》这些法律，正是实践佛陀“于余方必应行者，皆不得不行”的遗教。一个发了“众生无边誓愿度”心愿的修行人，如果连保护大众基本权益的国家法度都不尊重，又如何能说自己在践行利他的誓愿呢？这不是对戒律的背离，而是把戒律中“护生”的精神，在今天的因缘下，落实为护国利民的具体行动。</w:t>
      </w:r>
    </w:p>
    <w:p w14:paraId="2B6650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三、守规矩的心动力，从“不敢”到“不忍”</w:t>
      </w:r>
    </w:p>
    <w:p w14:paraId="611F48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下一个问题更贴近我们的内心：人，究竟为什么要守规矩？是因为怕惩罚、怕坐牢、怕因果报应吗？如果仅仅依靠这种对外在惩罚的“恐惧”，那么这种守规矩是被动的、脆弱的。心理学上这叫“他律”。大家想想，在一个自认为没人看得见的地方，仅仅靠恐惧，内心深处的贪欲真的能被遏制住吗？</w:t>
      </w:r>
    </w:p>
    <w:p w14:paraId="2ABF99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大乘佛法给出了更根本、更温暖的回答。菩萨戒的根本经典《梵网经》说：“一切男子是我父，一切女子是我母，我生生无不从之受生，故六道众生皆是我父母。”佛陀教法的核心是缘起法，万事万物都相互依存、彼此关联。从这里出发，就会生出一种“无缘大慈，同体大悲”的情怀——别人的痛苦，我能感同身受；别人的安乐，我觉得是分内之责。</w:t>
      </w:r>
    </w:p>
    <w:p w14:paraId="243844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当这种悲心生起来的时候，持戒就发生了质变：它不再是出于对惩罚恐惧的“不敢做”，而是变成了源于对众生大爱的“不忍做”。</w:t>
      </w:r>
    </w:p>
    <w:p w14:paraId="2B5845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“不敢”和“不忍”，一字之差，天壤之别。</w:t>
      </w:r>
    </w:p>
    <w:p w14:paraId="1C8ABD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“不敢”，是因为外有利剑高悬，利剑一旦移开，恶念就可能蠢动。</w:t>
      </w:r>
    </w:p>
    <w:p w14:paraId="46DE16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“不忍”，是因为内心有一股温情在提醒你：那样做，会实实在在地伤害另一个鲜活的生命，会刺痛人心、破坏和谐。这是一种从心底涌出的自律。</w:t>
      </w:r>
    </w:p>
    <w:p w14:paraId="7D778E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这种转化，用唯识学的道理来看，就是在“熏习善种”，转化深层心识。每一次我们用慈悲心去持守一条戒，就是在心田里种下一颗善的种子。久而久之，“不伤害”就不再是“你不能”，而变成“你不需”——因为你打心底里就不想去伤害。这不就是孔子讲的“从心所欲不逾矩”的境界吗？</w:t>
      </w:r>
    </w:p>
    <w:p w14:paraId="711AB6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咱们中国儒家讲“人皆有不忍人之心”，认为恻隐之心，是道德的起点；王阳明先生提倡“致良知”，认为道德的力量不在外面的规范，而在每个人心里都有的良知。佛家的“同体大悲”，为这个理念提供了一个更为彻底的本体论说明——慈悲之所以可能，正是因为我们跟众生在深远的意义上原本一体，从未分离。</w:t>
      </w:r>
    </w:p>
    <w:p w14:paraId="7E6A8B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这样一种由心而发的道德自觉，恰恰是佛教能够为当代社会的法治建设提供的最深层的精神资源。我们可以把五戒的精神，在当代的社会实践中展开来看，它不是生搬硬套，而是一种伦理的自然延伸：</w:t>
      </w:r>
    </w:p>
    <w:p w14:paraId="6B6AB66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一、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不杀生与敬畏生命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：持不杀生戒，不仅仅是求福报，更是不忍心断绝任何生灵求生的渴望。咱们中国古人讲“天地之大德曰生”，这种对生命的敬畏，延展到现代社会，自然就是对一切生命尊严的守护，是保护人身权利相关法律最深厚的心性基础。</w:t>
      </w:r>
    </w:p>
    <w:p w14:paraId="6AFC7A6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二、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不偷盗与尊重他者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：何为盗？没经过同意就拿走。不偷盗，是不忍心用非法手段去剥夺他人辛勤劳动的成果。古人讲“见得思义”，面对利益，先想该不该得。这种“不忍”，内化为对他人财产和劳动成果由衷的尊重，是现代社会保护公私财产伦理共识的心性根基。</w:t>
      </w:r>
    </w:p>
    <w:p w14:paraId="60C0039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三、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不邪淫与守护家庭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：坚守不邪淫，是深知不当欲念对他人和家庭的伤害，从而生起一份不忍破坏他人婚姻契约、不忍摧毁家庭幸福的责任感。传统文化讲“修身、齐家”，这种对家庭的守护心，与今天婚姻家庭制度的伦理精神，是同心相应的。</w:t>
      </w:r>
    </w:p>
    <w:p w14:paraId="1A94E3A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四、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不妄语与诚实信用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：不说谎，不是为了博个“好人”的虚名，而是不忍心用虚假的言辞去欺骗任何一个信任你的人。诚与信，是我们这个民族流淌在血液里的美德。这种品质，恰恰是现代商业社会契约精神和诚实信用原则最深层的心理保障。</w:t>
      </w:r>
    </w:p>
    <w:p w14:paraId="7A06D47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五、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不饮酒与自我警醒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：引申为远离一切让人心智昏昧的东西。不是怕自己出洋相，而是深知一个人在失去理智时，容易引发次生危害，从而不忍心让无辜的他人为你的放纵承担风险。这种自我约束，与现代社会的公共安全理念和公民自我管理意识，是完全一致的。</w:t>
      </w:r>
    </w:p>
    <w:p w14:paraId="493BF0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各位，法律是防恶于外，戒律是防非于心。当我们在利益诱惑面前，生起哪怕一丝一毫“不忍伤害他人”的善念，内心的道德法庭便已开庭。这份来自信仰和慈悲的定力，比任何外在的监控都更稳固、更长久。一个真正以慈悲心持守五戒的人，必定会以同样的心去尊重和维护社会的公序良俗——不为别的，只因不忍伤害。</w:t>
      </w:r>
    </w:p>
    <w:p w14:paraId="0A2AB3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四、国法与教规，相辅相成，并行不悖</w:t>
      </w:r>
    </w:p>
    <w:p w14:paraId="2233B6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从个人修养再往外看，我们面对一个更宏大的问题：教规和国法，应该是什么关系？我们国家自古以来就强调“德法相济”。在当代社会，坚持依法治国和以德治国相结合，这是治理国家的大智慧。法律，用国家强制力划出“不敢犯”的刚性底线；道德，用春风化雨培育“不忍犯”的内在自觉。二者一刚一柔，共同撑起社会的和谐大厦。在这一格局中，佛教的戒律和中华优秀传统美德一起，承担的正是培育道德高线、涵养人心自觉的功用。《中庸》讲“莫见乎隐，莫显乎微，故君子慎其独也”，戒律恰恰让我们在没人看到的地方，依然保持一份敬畏和清醒。</w:t>
      </w:r>
    </w:p>
    <w:p w14:paraId="0326B6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东晋时期，高僧道安大师有一句很有分量的感叹：“不依国主，则法事难立。”在一些时期，这句话被片面理解。但站在历史的长河中看，道安大师讲的是一句大实话：宗教的健康发展，清净戒律的如法持守，哪一样离得开一个有序、安定、法治的国家作为前提保障？如果社会动荡不安，丛林法则横行，哪里有一张安静的佛桌？信众的生命财产都得不到保障，还谈什么诵经参禅？所以，维护国法的尊严，不仅不是对信仰的压制，恰恰是为信仰的传承提供了最坚实的“外护”。</w:t>
      </w:r>
    </w:p>
    <w:p w14:paraId="4AAF1A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因此，我们要心平气和地、理直气壮地向信众讲清楚这个道理：国家以法律的形式保障了公民的宗教信仰自由，法律是我们合法权益的根本保障符。我们生活在法治的阳光之下，理应心存敬畏与感恩。一个真正的佛弟子，应当把敬重法律作为修行的题中应有之义。任何打着“信仰”的旗号，凌驾于法律之上、破坏公共秩序、损害他人利益的行为，不仅是国之不容，更是对佛教“众生平等”“慈悲利他”根本精神的背离。因为它不是在“庄严国土、利乐有情”，而是在侵害众生、毁损国土。“护法”这个词在佛教里，本意是护持正法。在今天，正法能安稳住世，前提是有一个讲秩序、讲文明的社会环境。这样来看，把“护法”的赤诚，自然延伸为对法律秩序的尊重与维护，就是护法精神在今天最切实的落地。</w:t>
      </w:r>
    </w:p>
    <w:p w14:paraId="0C807D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bookmarkStart w:id="0" w:name="_GoBack"/>
      <w:r>
        <w:rPr>
          <w:rStyle w:val="12"/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五、从知到行，做新时代的明白修行人</w:t>
      </w:r>
    </w:p>
    <w:bookmarkEnd w:id="0"/>
    <w:p w14:paraId="507300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古人说得好：“坐而言，不如起而行。”一切道理，到最后都要落到行动上。我们每一位佛教徒都有双重身份：既是佛陀的弟子，以戒为师；也是国家的公民，以法律为准绳。社会主义核心价值观所倡导的“法治”“和谐”“诚信”“友善”，和我们戒律精神中的自律、慈悲、诚实、利他，在精神上是高度共鸣的，共同指向一种良善的生活方式。</w:t>
      </w:r>
    </w:p>
    <w:p w14:paraId="503787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那么，怎么把“以戒为师，依法护心”落实到每一天呢？我有三点不成熟的想法，供大家参考。</w:t>
      </w:r>
    </w:p>
    <w:p w14:paraId="3AABE0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第一，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正己修身，以戒为镜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。出家人和在家的众弟子，是信众眼里的样子，有天然的示范作用。极少数人因为法律意识淡薄，受了贪欲的蛊惑，触碰法律红线，这不仅毁了自己的修行，也给佛教的声誉带来了严重的损害。打铁还需自身硬。我们有责任将学习法律知识，放在与参禅悟道同等重要的位置，主动去了解国家的法律法规，这是新时代“正命”——正当生活的重要内容。依法纳税、财务公开、不搞封建迷信、不参与非法集资，这些看似世俗的事务，恰恰是我们修炼一颗平常心、清净心最好的道场。</w:t>
      </w:r>
    </w:p>
    <w:p w14:paraId="1C6298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第二，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善巧说法，化导人心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。我们引导信众，不能用生硬的说教，要学会用“转化性解释”的方法，用大家听得懂、愿意听的佛法语言，把法治的观念融进去。信众遇到商业纠纷、想要毁约的时候，我们用“因果”的道理和“不妄语戒”的内涵，引导他树立契约意识；当信众遭遇家庭矛盾时，我们用慈悲护生的心量和“不邪淫戒”的意义，引导他守护家庭的和谐；当有人被网络上的极端言论或歪理邪说蛊惑时，我们用佛法的“正知正见”和法律的底线意识，去耐心劝诫。让大家在不知不觉中感受到：一个深信因果、发心利他的人，一定会自然而然地在行为上和善法、国法相应。</w:t>
      </w:r>
    </w:p>
    <w:p w14:paraId="7891CB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第三，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直面现实，中道而行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。生活中我们也确实会遇到一些具体张力。比如，放生是好事，可如果不顾生态规律，盲目向自然环境投放外来物种，反而会破坏生态，这就和《生物安全法》《环境保护法》有了出入。再比如，一些古老的木质建筑是宗教活动场所，也是珍贵的文物，怎么在传承信仰传统的同时，严格遵守消防安全规定？面对这些，我们不要在“信仰”和“守法”之间做非此即彼的抉择，而是要用“中道”的智慧去面对。</w:t>
      </w:r>
    </w:p>
    <w:p w14:paraId="241E04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真正的护生，不是追求放生的数字，而是要在法律允许的框架内，以科学护生、慈悲护生并重的方式进行。在处理文物保护与消防安全的矛盾时，也应该在尊重信仰的前提下，主动积极地寻找既合乎法律规范，又不损害宗教神圣性的解决办法。这，就是“随方毗尼”的精神在今天的具体运用：它不是无原则的妥協，而是以“不损害众生利益”为根本原则的智慧抉择。走中道，就是既不丢掉信仰的根本，也不违背世间的法度。</w:t>
      </w:r>
    </w:p>
    <w:p w14:paraId="63EA1B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各位法师、各位同修：</w:t>
      </w:r>
    </w:p>
    <w:p w14:paraId="7F22FE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今天我们聊了这么多，无非是循着佛陀“以戒为师”的遗教，在咱们中华文化的沃土里寻找戒律生根发芽的那个文化契机。我们理清了“依法不依人”和现代法治精神可以如何相通，也坚守了不能把两者简单等同起来的边界。我们向内探寻，发现从“不敢”到“不忍”的心性蜕变，才是守规矩最持久、最温暖的力量。我们站在历史的角度，看清了国法与教规和而不同、并肩而行的大道。最后，我们也试着把这一切领悟，化作了一条可以踏实走的路。</w:t>
      </w:r>
    </w:p>
    <w:p w14:paraId="35C12E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法治是社会的安全网，戒律是心头的定盘星。生活在这样一个伟大的时代，对我们来说，就是让两束光在心头交汇：一束来自佛陀与历代圣贤的悲智之光，一束来自现代文明的法治精神之光。让这两束光，照见我们的一言一行，让我们做一个心地清净、行为端正、对社会有用的好人。这既是对公民道德的切实践行，也是对“爱国、敬业、诚信、友善”这些价值理念最踏实的信仰回应。</w:t>
      </w:r>
    </w:p>
    <w:p w14:paraId="7CBEA5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最后，我想用一段话来与各位共勉：</w:t>
      </w:r>
    </w:p>
    <w:p w14:paraId="0B0660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“以戒为师”，它不是远在天边的神话，而是我们安处在纷繁世间、能让内心保持清凉和清醒的那份定力；</w:t>
      </w:r>
    </w:p>
    <w:p w14:paraId="0B52F0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“依法护心”，它不是要喊的口号，而是我们在今天这个社会，担起责任、利乐众生的那份自觉。</w:t>
      </w:r>
    </w:p>
    <w:p w14:paraId="638C00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无论是在寺院，还是在家庭、在工作岗位，让我们时时处处，以戒律的智慧为内心的光亮；在每个起心动念的当下，以国家的法度为言行的护持。在护持清净信仰的同时，让这份持戒修心的力量，化作利益众生、服务社会的本色担当。</w:t>
      </w:r>
    </w:p>
    <w:p w14:paraId="22E299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我的分享就到这里。言辞若有不如法、不契理的地方，恳请各位法师慈悲指正。</w:t>
      </w:r>
    </w:p>
    <w:p w14:paraId="2A09E3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祝愿大家法喜充满、福慧双增、六时吉祥！</w:t>
      </w:r>
    </w:p>
    <w:p w14:paraId="572292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阿弥陀佛！谢谢大家。</w:t>
      </w:r>
    </w:p>
    <w:p w14:paraId="0E14A5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ong">
    <w:panose1 w:val="02020300000000000000"/>
    <w:charset w:val="86"/>
    <w:family w:val="auto"/>
    <w:pitch w:val="default"/>
    <w:sig w:usb0="800002BF" w:usb1="38CF7CFA" w:usb2="00000016" w:usb3="00000000" w:csb0="0004000D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（章）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ED7AEA8"/>
    <w:rsid w:val="1BEBB8BB"/>
    <w:rsid w:val="1EFB304D"/>
    <w:rsid w:val="1F7E7EE9"/>
    <w:rsid w:val="26E84AD2"/>
    <w:rsid w:val="37760698"/>
    <w:rsid w:val="37FF65A0"/>
    <w:rsid w:val="3973CAA1"/>
    <w:rsid w:val="3BBF0715"/>
    <w:rsid w:val="3D67F3AA"/>
    <w:rsid w:val="3DFE55D9"/>
    <w:rsid w:val="3DFF9513"/>
    <w:rsid w:val="3FDF66E4"/>
    <w:rsid w:val="3FEF376A"/>
    <w:rsid w:val="3FF3F8E7"/>
    <w:rsid w:val="4DEE21AE"/>
    <w:rsid w:val="4FBE886B"/>
    <w:rsid w:val="4FFF4E11"/>
    <w:rsid w:val="56FF191B"/>
    <w:rsid w:val="5FF68326"/>
    <w:rsid w:val="67DF874F"/>
    <w:rsid w:val="6A9A2B69"/>
    <w:rsid w:val="6AFF4ABA"/>
    <w:rsid w:val="6DFB469A"/>
    <w:rsid w:val="6F7762B4"/>
    <w:rsid w:val="6F859F4B"/>
    <w:rsid w:val="75FFF238"/>
    <w:rsid w:val="77FB7676"/>
    <w:rsid w:val="7ABEEA1A"/>
    <w:rsid w:val="7FB21A5B"/>
    <w:rsid w:val="7FCC6475"/>
    <w:rsid w:val="7FE7EC40"/>
    <w:rsid w:val="7FFAD24E"/>
    <w:rsid w:val="9ED7AEA8"/>
    <w:rsid w:val="BBC48B9C"/>
    <w:rsid w:val="BDEB31A6"/>
    <w:rsid w:val="BFE79F46"/>
    <w:rsid w:val="BFFF8232"/>
    <w:rsid w:val="D5EB24BC"/>
    <w:rsid w:val="D7B7DDEF"/>
    <w:rsid w:val="DF66E6D0"/>
    <w:rsid w:val="DFEFEE0A"/>
    <w:rsid w:val="EB5F941B"/>
    <w:rsid w:val="EBDE7632"/>
    <w:rsid w:val="EC9F4C7A"/>
    <w:rsid w:val="EFFE0206"/>
    <w:rsid w:val="F3DD9752"/>
    <w:rsid w:val="F4FA0715"/>
    <w:rsid w:val="F5FFCE8A"/>
    <w:rsid w:val="F9F54F14"/>
    <w:rsid w:val="FA737CB7"/>
    <w:rsid w:val="FBFC0F1E"/>
    <w:rsid w:val="FD76BC89"/>
    <w:rsid w:val="FDFB7A0C"/>
    <w:rsid w:val="FDFFB4C3"/>
    <w:rsid w:val="FF4C28B6"/>
    <w:rsid w:val="FFEDD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spacing w:before="100" w:beforeLines="100" w:beforeAutospacing="0" w:after="100" w:afterLines="100" w:afterAutospacing="0"/>
      <w:jc w:val="left"/>
      <w:outlineLvl w:val="0"/>
    </w:pPr>
    <w:rPr>
      <w:rFonts w:hint="eastAsia" w:ascii="宋体" w:hAnsi="宋体" w:eastAsia="黑体" w:cs="宋体"/>
      <w:b/>
      <w:bCs/>
      <w:kern w:val="44"/>
      <w:sz w:val="32"/>
      <w:szCs w:val="48"/>
      <w:lang w:bidi="ar"/>
    </w:rPr>
  </w:style>
  <w:style w:type="paragraph" w:styleId="3">
    <w:name w:val="heading 2"/>
    <w:basedOn w:val="2"/>
    <w:next w:val="1"/>
    <w:link w:val="14"/>
    <w:semiHidden/>
    <w:unhideWhenUsed/>
    <w:qFormat/>
    <w:uiPriority w:val="0"/>
    <w:pPr>
      <w:keepNext/>
      <w:keepLines/>
      <w:spacing w:after="0" w:line="360" w:lineRule="auto"/>
      <w:ind w:firstLine="602" w:firstLineChars="200"/>
      <w:jc w:val="left"/>
      <w:outlineLvl w:val="1"/>
    </w:pPr>
    <w:rPr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6"/>
    <w:semiHidden/>
    <w:unhideWhenUsed/>
    <w:qFormat/>
    <w:uiPriority w:val="0"/>
    <w:pPr>
      <w:spacing w:before="0" w:beforeAutospacing="0" w:after="0" w:afterAutospacing="0" w:line="360" w:lineRule="auto"/>
      <w:ind w:firstLine="480" w:firstLineChars="200"/>
      <w:jc w:val="left"/>
      <w:outlineLvl w:val="2"/>
    </w:pPr>
    <w:rPr>
      <w:rFonts w:hint="eastAsia" w:ascii="宋体" w:hAnsi="宋体" w:eastAsia="黑体" w:cs="黑体"/>
      <w:b/>
      <w:bCs/>
      <w:kern w:val="0"/>
      <w:lang w:bidi="ar"/>
    </w:rPr>
  </w:style>
  <w:style w:type="paragraph" w:styleId="5">
    <w:name w:val="heading 4"/>
    <w:basedOn w:val="1"/>
    <w:next w:val="1"/>
    <w:link w:val="17"/>
    <w:semiHidden/>
    <w:unhideWhenUsed/>
    <w:qFormat/>
    <w:uiPriority w:val="0"/>
    <w:pPr>
      <w:spacing w:before="0" w:beforeAutospacing="0" w:after="0" w:afterAutospacing="0"/>
      <w:jc w:val="left"/>
      <w:outlineLvl w:val="3"/>
    </w:pPr>
    <w:rPr>
      <w:rFonts w:hint="eastAsia" w:ascii="宋体" w:hAnsi="宋体" w:eastAsia="黑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5"/>
    <w:uiPriority w:val="0"/>
    <w:rPr>
      <w:rFonts w:eastAsia="SimSong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1 Char"/>
    <w:link w:val="2"/>
    <w:qFormat/>
    <w:uiPriority w:val="0"/>
    <w:rPr>
      <w:rFonts w:ascii="宋体" w:hAnsi="宋体" w:eastAsia="黑体" w:cs="宋体"/>
      <w:b/>
      <w:kern w:val="28"/>
      <w:sz w:val="32"/>
      <w:lang w:eastAsia="en-US"/>
    </w:rPr>
  </w:style>
  <w:style w:type="character" w:customStyle="1" w:styleId="14">
    <w:name w:val="标题 2 字符"/>
    <w:link w:val="3"/>
    <w:qFormat/>
    <w:uiPriority w:val="0"/>
    <w:rPr>
      <w:rFonts w:ascii="Arial" w:hAnsi="Arial" w:eastAsia="Heiti SC Medium"/>
      <w:b/>
      <w:sz w:val="28"/>
    </w:rPr>
  </w:style>
  <w:style w:type="character" w:customStyle="1" w:styleId="15">
    <w:name w:val="正文文本 字符"/>
    <w:basedOn w:val="11"/>
    <w:link w:val="7"/>
    <w:qFormat/>
    <w:uiPriority w:val="0"/>
    <w:rPr>
      <w:rFonts w:eastAsia="SimSong"/>
      <w:kern w:val="2"/>
      <w:sz w:val="21"/>
      <w:szCs w:val="24"/>
      <w:lang w:bidi="ar-SA"/>
    </w:rPr>
  </w:style>
  <w:style w:type="character" w:customStyle="1" w:styleId="16">
    <w:name w:val="标题 3 字符"/>
    <w:link w:val="4"/>
    <w:qFormat/>
    <w:uiPriority w:val="0"/>
    <w:rPr>
      <w:rFonts w:ascii="宋体" w:hAnsi="宋体" w:eastAsia="黑体" w:cs="黑体"/>
      <w:b/>
      <w:kern w:val="28"/>
      <w:sz w:val="28"/>
      <w:lang w:eastAsia="en-US"/>
    </w:rPr>
  </w:style>
  <w:style w:type="character" w:customStyle="1" w:styleId="17">
    <w:name w:val="Heading 4 Char"/>
    <w:basedOn w:val="11"/>
    <w:link w:val="5"/>
    <w:semiHidden/>
    <w:uiPriority w:val="9"/>
    <w:rPr>
      <w:rFonts w:ascii="宋体" w:hAnsi="宋体" w:eastAsia="黑体" w:cs="宋体"/>
      <w:color w:val="000000" w:themeColor="text1"/>
      <w:sz w:val="24"/>
      <w:szCs w:val="24"/>
      <w:lang w:eastAsia="en-US"/>
      <w14:textFill>
        <w14:solidFill>
          <w14:schemeClr w14:val="tx1"/>
        </w14:solidFill>
      </w14:textFill>
    </w:rPr>
  </w:style>
  <w:style w:type="paragraph" w:customStyle="1" w:styleId="18">
    <w:name w:val="章"/>
    <w:basedOn w:val="1"/>
    <w:next w:val="1"/>
    <w:uiPriority w:val="0"/>
    <w:pPr>
      <w:keepNext/>
      <w:keepLines/>
      <w:pBdr>
        <w:top w:val="none" w:color="auto" w:sz="0" w:space="1"/>
        <w:left w:val="none" w:color="auto" w:sz="0" w:space="4"/>
        <w:bottom w:val="none" w:color="4874CB" w:themeColor="accent1" w:sz="0" w:space="1"/>
        <w:right w:val="none" w:color="auto" w:sz="0" w:space="4"/>
      </w:pBdr>
      <w:spacing w:before="480" w:after="240"/>
      <w:ind w:firstLine="0"/>
      <w:contextualSpacing/>
      <w:jc w:val="center"/>
      <w:outlineLvl w:val="0"/>
    </w:pPr>
    <w:rPr>
      <w:rFonts w:eastAsia="+中文标题（章）" w:cs="Heiti SC Medium" w:asciiTheme="majorAscii" w:hAnsiTheme="majorAscii"/>
      <w:color w:val="000000"/>
      <w:spacing w:val="6"/>
      <w:kern w:val="28"/>
      <w:sz w:val="32"/>
      <w:szCs w:val="32"/>
      <w:lang w:eastAsia="en-US"/>
    </w:rPr>
  </w:style>
  <w:style w:type="paragraph" w:customStyle="1" w:styleId="19">
    <w:name w:val="节"/>
    <w:basedOn w:val="9"/>
    <w:uiPriority w:val="0"/>
    <w:pPr>
      <w:spacing w:after="120"/>
      <w:ind w:left="1080"/>
      <w:jc w:val="center"/>
    </w:pPr>
    <w:rPr>
      <w:rFonts w:eastAsia="Heiti SC Medium" w:cs="Heiti SC Medium" w:asciiTheme="minorAscii" w:hAnsiTheme="minorAscii"/>
      <w:b w:val="0"/>
      <w:color w:val="000000" w:themeColor="text1"/>
      <w:spacing w:val="6"/>
      <w:kern w:val="28"/>
      <w:sz w:val="30"/>
      <w:szCs w:val="30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2026-06-04T05:02:00Z</dcterms:created>
  <dc:creator>菩提心声</dc:creator>
  <cp:lastModifiedBy>菩提心声</cp:lastModifiedBy>
  <dcterms:modified xsi:type="dcterms:W3CDTF">2026-06-03T21:16:53Z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C26F6C5FE2104313FD25206A00A4A716_41</vt:lpwstr>
  </property>
</Properties>
</file>