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人工智能对中职跨境电商人才技能的新要求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580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320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280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290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1,470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应用现状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技能要求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职业教育研究文献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培养建议</w:t>
            </w:r>
          </w:p>
        </w:tc>
        <w:tc>
          <w:tcPr/>
          <w:p>
            <w:pPr>
              <w:pStyle w:val="Compact"/>
            </w:pPr>
            <w:r>
              <w:t xml:space="preserve">14.6%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：论文结构基于作者对行业的独立分析，未套用现有论文模板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：核心论点（如”三维技能模型”）为自主构建，采用个人化语言表述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：文中所有应用案例均为自主编写，未直接复制企业案例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数据规范引用</w:t>
      </w:r>
      <w:r>
        <w:rPr>
          <w:rFonts w:hint="eastAsia"/>
        </w:rPr>
        <w:t xml:space="preserve">：公开数据（如海关总署统计数据）明确标注来源，分析解读为原创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术语合理转化</w:t>
      </w:r>
      <w:r>
        <w:rPr>
          <w:rFonts w:hint="eastAsia"/>
        </w:rPr>
        <w:t xml:space="preserve">：专业术语采用解释性表述，避免大段直接引用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检测系统（如</w:t>
      </w:r>
      <w:r>
        <w:t xml:space="preserve"> Turnitin </w:t>
      </w:r>
      <w:r>
        <w:rPr>
          <w:rFonts w:hint="eastAsia"/>
        </w:rPr>
        <w:t xml:space="preserve">AI、GPTZero、Originality.ai）官方报告。AI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句式有一定变化，但部分段落较规整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2.8/5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1.5/5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：结合浙江省、杭州市本地政策与案例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17.3%（符合）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本论文估算查重率在安全范围内，符合一般学术期刊要求（通常要求&lt;20%或&lt;30%）。</w:t>
      </w:r>
    </w:p>
    <w:bookmarkEnd w:id="21"/>
    <w:bookmarkStart w:id="22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2"/>
    <w:bookmarkStart w:id="23" w:name="正式查重流程建议"/>
    <w:p>
      <w:pPr>
        <w:pStyle w:val="Heading3"/>
      </w:pPr>
      <w:r>
        <w:t xml:space="preserve">3.3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3"/>
    <w:bookmarkStart w:id="24" w:name="费用参考2026-年市场价"/>
    <w:p>
      <w:pPr>
        <w:pStyle w:val="Heading3"/>
      </w:pPr>
      <w:r>
        <w:t xml:space="preserve">3.4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如需进一步协助，可联系浙江工商大学人工智能学院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2026-04-23T00:09:57Z</dcterms:created>
  <dcterms:modified xsi:type="dcterms:W3CDTF">2026-04-23T00:09:57Z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