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57200"/>
        </w:rPr>
        <w:t>佛教中国化进程中的僧才教育</w:t>
      </w:r>
    </w:p>
    <w:p>
      <w:pPr>
        <w:jc w:val="center"/>
      </w:pPr>
      <w:r>
        <w:rPr>
          <w:rFonts w:ascii="黑体" w:hAnsi="黑体" w:eastAsia="黑体"/>
          <w:b/>
          <w:color w:val="646464"/>
          <w:sz w:val="355600"/>
        </w:rPr>
        <w:t>——以隆莲法师尼众僧才教育观为参照</w:t>
      </w:r>
    </w:p>
    <w:p>
      <w:pPr>
        <w:jc w:val="center"/>
      </w:pPr>
      <w:r>
        <w:rPr>
          <w:rFonts w:ascii="黑体" w:hAnsi="黑体" w:eastAsia="黑体"/>
          <w:b/>
          <w:color w:val="4472C4"/>
          <w:sz w:val="406400"/>
        </w:rPr>
        <w:t>调查问卷数据汇总总表</w:t>
      </w:r>
    </w:p>
    <w:p>
      <w:pPr>
        <w:jc w:val="center"/>
      </w:pPr>
      <w:r>
        <w:rPr>
          <w:rFonts w:ascii="仿宋" w:hAnsi="仿宋" w:eastAsia="仿宋"/>
          <w:color w:val="808080"/>
          <w:sz w:val="304800"/>
        </w:rPr>
        <w:t>(N=100)</w:t>
      </w:r>
    </w:p>
    <w:p>
      <w:pPr>
        <w:jc w:val="center"/>
      </w:pPr>
      <w:r>
        <w:rPr>
          <w:rFonts w:ascii="仿宋" w:hAnsi="仿宋" w:eastAsia="仿宋"/>
          <w:color w:val="969696"/>
          <w:sz w:val="254000"/>
        </w:rPr>
        <w:t>模拟数据 · 仅供学术研究参考</w:t>
      </w:r>
    </w:p>
    <w:p/>
    <w:p>
      <w:pPr>
        <w:jc w:val="center"/>
      </w:pPr>
      <w:r>
        <w:rPr>
          <w:rFonts w:ascii="黑体" w:hAnsi="黑体" w:eastAsia="黑体"/>
          <w:b/>
          <w:color w:val="4472C4"/>
          <w:sz w:val="304800"/>
        </w:rPr>
        <w:t>表1：受访者基本信息分布（N=100）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题号</w:t>
            </w:r>
          </w:p>
        </w:tc>
        <w:tc>
          <w:tcPr>
            <w:tcW w:type="dxa" w:w="2493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项目</w:t>
            </w:r>
          </w:p>
        </w:tc>
        <w:tc>
          <w:tcPr>
            <w:tcW w:type="dxa" w:w="2493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频数（人）</w:t>
            </w:r>
          </w:p>
        </w:tc>
        <w:tc>
          <w:tcPr>
            <w:tcW w:type="dxa" w:w="2493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百分比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 身份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A 佛学院在读学僧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B 佛学院教师/法师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C 寺院常住僧众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D 佛教院校管理人员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E 宗教学/佛学研究者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F 其他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Q2 性别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A 男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B 女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Q3 年龄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A 18-25岁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B 26-35岁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C 36-50岁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D 51岁以上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Q4 出家/从业年限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A 5年以下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B 5-10年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C 11-20年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D 20年以上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E 未出家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Q5 地区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A 西南地区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22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22%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B 华东地区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C 华北地区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D 华中地区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14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14%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E 华南地区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F 西北地区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9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9%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G 东北地区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H 港澳台及海外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4%</w:t>
            </w:r>
          </w:p>
        </w:tc>
      </w:tr>
    </w:tbl>
    <w:p>
      <w:r>
        <w:br w:type="page"/>
      </w:r>
    </w:p>
    <w:p/>
    <w:p>
      <w:pPr>
        <w:jc w:val="center"/>
      </w:pPr>
      <w:r>
        <w:rPr>
          <w:rFonts w:ascii="黑体" w:hAnsi="黑体" w:eastAsia="黑体"/>
          <w:b/>
          <w:color w:val="4472C4"/>
          <w:sz w:val="304800"/>
        </w:rPr>
        <w:t>表2：核心认知与现状评价单选题总览（N=100）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题号</w:t>
            </w:r>
          </w:p>
        </w:tc>
        <w:tc>
          <w:tcPr>
            <w:tcW w:type="dxa" w:w="1246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项目</w:t>
            </w:r>
          </w:p>
        </w:tc>
        <w:tc>
          <w:tcPr>
            <w:tcW w:type="dxa" w:w="1246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A</w:t>
            </w:r>
          </w:p>
        </w:tc>
        <w:tc>
          <w:tcPr>
            <w:tcW w:type="dxa" w:w="1246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B</w:t>
            </w:r>
          </w:p>
        </w:tc>
        <w:tc>
          <w:tcPr>
            <w:tcW w:type="dxa" w:w="1246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C</w:t>
            </w:r>
          </w:p>
        </w:tc>
        <w:tc>
          <w:tcPr>
            <w:tcW w:type="dxa" w:w="1246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D</w:t>
            </w:r>
          </w:p>
        </w:tc>
        <w:tc>
          <w:tcPr>
            <w:tcW w:type="dxa" w:w="1246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E</w:t>
            </w:r>
          </w:p>
        </w:tc>
        <w:tc>
          <w:tcPr>
            <w:tcW w:type="dxa" w:w="1246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F</w:t>
            </w:r>
          </w:p>
        </w:tc>
      </w:tr>
      <w:tr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Q6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佛教中国化了解程度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22%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8%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Q8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僧才教育角色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38%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45%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12%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Q9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当前最薄弱环节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28%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12%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5%</w:t>
            </w:r>
          </w:p>
        </w:tc>
      </w:tr>
      <w:tr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Q10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院校整体教育质量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50%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Q12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"以戒为师"重要性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8%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Q13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"学修一体化"落实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18%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28%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14%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Q14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尼众与男众教育比较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12%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13%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Q15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佛学/文化课比例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45%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38%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12%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Q16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隆莲法师了解程度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Q17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隆莲法师理念评价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55%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Q19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最大启示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12%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8%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Q20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"爱国爱教"重要性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60%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8%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Q23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尼众教育方向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5%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  <w:tr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Q24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传统与现代关系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5%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  <w:tc>
          <w:tcPr>
            <w:tcW w:type="dxa" w:w="1246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—</w:t>
            </w:r>
          </w:p>
        </w:tc>
      </w:tr>
    </w:tbl>
    <w:p>
      <w:r>
        <w:br w:type="page"/>
      </w:r>
    </w:p>
    <w:p/>
    <w:p>
      <w:pPr>
        <w:jc w:val="center"/>
      </w:pPr>
      <w:r>
        <w:rPr>
          <w:rFonts w:ascii="黑体" w:hAnsi="黑体" w:eastAsia="黑体"/>
          <w:b/>
          <w:color w:val="4472C4"/>
          <w:sz w:val="304800"/>
        </w:rPr>
        <w:t>表3：多选题响应频次总览（N=100）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题号</w:t>
            </w:r>
          </w:p>
        </w:tc>
        <w:tc>
          <w:tcPr>
            <w:tcW w:type="dxa" w:w="2493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选项内容</w:t>
            </w:r>
          </w:p>
        </w:tc>
        <w:tc>
          <w:tcPr>
            <w:tcW w:type="dxa" w:w="2493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频次</w:t>
            </w:r>
          </w:p>
        </w:tc>
        <w:tc>
          <w:tcPr>
            <w:tcW w:type="dxa" w:w="2493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28600"/>
              </w:rPr>
              <w:t>提及率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Q7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A 教义与传统文化融合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82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82%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B 僧团制度与社会适应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C 实践服务社会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65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65%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D 培养体系规范化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48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48%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E 爱国爱教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Q11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A 佛学与文化课比例失衡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B 师资力量薄弱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65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65%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C 学修脱节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D 戒律教育松弛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E 目标与社会脱节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F 管理制度不健全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G 尼众资源不足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Q18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A "以戒为师"体系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80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80%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B "学修一体化"模式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C 佛学与文学并重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D 传统与现代融合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E 爱国爱教导向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F 恢复二部僧戒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Q21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A 戒律教育系统化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75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75%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B 传统与现代知识素养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C 爱国主义教育深化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D 社会服务实践能力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E 师资专业化建设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45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45%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F 尼众专项扶持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G 院校管理现代化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Q22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A 精通经典的宗教师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B 时代化阐释学术型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C 社会服务实践型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65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65%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D 爱国爱教合格僧才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70%</w:t>
            </w:r>
          </w:p>
        </w:tc>
      </w:tr>
      <w:tr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E 国际视野复合型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</w:t>
            </w:r>
          </w:p>
        </w:tc>
        <w:tc>
          <w:tcPr>
            <w:tcW w:type="dxa" w:w="2493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</w:tr>
      <w:tr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F 组织管理型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</w:t>
            </w:r>
          </w:p>
        </w:tc>
        <w:tc>
          <w:tcPr>
            <w:tcW w:type="dxa" w:w="2493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</w:tr>
    </w:tbl>
    <w:p>
      <w:r>
        <w:br w:type="page"/>
      </w:r>
    </w:p>
    <w:p/>
    <w:p>
      <w:pPr>
        <w:jc w:val="center"/>
      </w:pPr>
      <w:r>
        <w:rPr>
          <w:rFonts w:ascii="黑体" w:hAnsi="黑体" w:eastAsia="黑体"/>
          <w:b/>
          <w:color w:val="4472C4"/>
          <w:sz w:val="304800"/>
        </w:rPr>
        <w:t>表4：关键交叉分析摘要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03200"/>
              </w:rPr>
              <w:t>交叉维度</w:t>
            </w:r>
          </w:p>
        </w:tc>
        <w:tc>
          <w:tcPr>
            <w:tcW w:type="dxa" w:w="1994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03200"/>
              </w:rPr>
              <w:t>分组</w:t>
            </w:r>
          </w:p>
        </w:tc>
        <w:tc>
          <w:tcPr>
            <w:tcW w:type="dxa" w:w="1994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03200"/>
              </w:rPr>
              <w:t>Q10-A</w:t>
              <w:br/>
              <w:t>教育质量"优良"</w:t>
            </w:r>
          </w:p>
        </w:tc>
        <w:tc>
          <w:tcPr>
            <w:tcW w:type="dxa" w:w="1994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03200"/>
              </w:rPr>
              <w:t>Q12-A</w:t>
              <w:br/>
              <w:t>"戒律极其重要"</w:t>
            </w:r>
          </w:p>
        </w:tc>
        <w:tc>
          <w:tcPr>
            <w:tcW w:type="dxa" w:w="1994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03200"/>
              </w:rPr>
              <w:t>Q14-C</w:t>
              <w:br/>
              <w:t>"尼众差距明显"</w:t>
            </w:r>
          </w:p>
        </w:tc>
      </w:tr>
      <w:tr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身份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学僧(N=40)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10%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50%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38%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法师/教师(N=20)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60%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30%</w:t>
            </w:r>
          </w:p>
        </w:tc>
      </w:tr>
      <w:tr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管理人员(N=10)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30%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70%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性别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男众(N=60)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17%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58%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28%</w:t>
            </w:r>
          </w:p>
        </w:tc>
      </w:tr>
      <w:tr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女众(N=40)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12%</w:t>
            </w:r>
          </w:p>
        </w:tc>
        <w:tc>
          <w:tcPr>
            <w:tcW w:type="dxa" w:w="1994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50%</w:t>
            </w:r>
          </w:p>
        </w:tc>
        <w:tc>
          <w:tcPr>
            <w:tcW w:type="dxa" w:w="1994"/>
            <w:shd w:fill="FFF2CC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45%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28600"/>
              </w:rPr>
              <w:t>隆莲了解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系统了解(N=15)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80%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20%</w:t>
            </w:r>
          </w:p>
        </w:tc>
      </w:tr>
      <w:tr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基本了解(N=40)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18%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60%</w:t>
            </w:r>
          </w:p>
        </w:tc>
        <w:tc>
          <w:tcPr>
            <w:tcW w:type="dxa" w:w="1994"/>
            <w:shd w:fill="E8EDF5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35%</w:t>
            </w:r>
          </w:p>
        </w:tc>
      </w:tr>
      <w:tr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28600"/>
              </w:rPr>
              <w:t>仅听说/未闻(N=45)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6%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  <w:tc>
          <w:tcPr>
            <w:tcW w:type="dxa" w:w="199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28600"/>
              </w:rPr>
              <w:t>40%</w:t>
            </w:r>
          </w:p>
        </w:tc>
      </w:tr>
    </w:tbl>
    <w:p>
      <w:pPr>
        <w:spacing w:before="160"/>
        <w:ind w:left="283"/>
      </w:pPr>
      <w:r>
        <w:rPr>
          <w:rFonts w:ascii="仿宋" w:hAnsi="仿宋" w:eastAsia="仿宋"/>
          <w:i/>
          <w:color w:val="646464"/>
          <w:sz w:val="228600"/>
        </w:rPr>
        <w:t>注：女众中认为尼众教育"差距明显"的比例(45%)显著高于男众(28%)。对隆莲了解越深，教育质量评价越高，更认同戒律根本性地位。</w:t>
      </w:r>
    </w:p>
    <w:p/>
    <w:p>
      <w:pPr>
        <w:jc w:val="center"/>
      </w:pPr>
      <w:r>
        <w:rPr>
          <w:rFonts w:ascii="黑体" w:hAnsi="黑体" w:eastAsia="黑体"/>
          <w:b/>
          <w:color w:val="4472C4"/>
          <w:sz w:val="304800"/>
        </w:rPr>
        <w:t>表5：开放题(Q25)词频摘要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54000"/>
              </w:rPr>
              <w:t>排名</w:t>
            </w:r>
          </w:p>
        </w:tc>
        <w:tc>
          <w:tcPr>
            <w:tcW w:type="dxa" w:w="3324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54000"/>
              </w:rPr>
              <w:t>关键词</w:t>
            </w:r>
          </w:p>
        </w:tc>
        <w:tc>
          <w:tcPr>
            <w:tcW w:type="dxa" w:w="3324"/>
            <w:shd w:fill="4472C4" w:val="clear"/>
          </w:tcPr>
          <w:p>
            <w:pPr>
              <w:spacing w:before="20" w:after="20"/>
              <w:jc w:val="center"/>
            </w:pPr>
            <w:r>
              <w:rPr>
                <w:color w:val="FFFFFF"/>
              </w:rPr>
            </w:r>
            <w:r>
              <w:rPr>
                <w:rFonts w:ascii="仿宋" w:hAnsi="仿宋" w:eastAsia="仿宋"/>
                <w:b/>
                <w:color w:val="FFFFFF"/>
                <w:sz w:val="254000"/>
              </w:rPr>
              <w:t>出现频次</w:t>
            </w:r>
          </w:p>
        </w:tc>
      </w:tr>
      <w:tr>
        <w:tc>
          <w:tcPr>
            <w:tcW w:type="dxa" w:w="3324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54000"/>
              </w:rPr>
              <w:t>1</w:t>
            </w:r>
          </w:p>
        </w:tc>
        <w:tc>
          <w:tcPr>
            <w:tcW w:type="dxa" w:w="3324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54000"/>
              </w:rPr>
              <w:t>加强实修/学修结合</w:t>
            </w:r>
          </w:p>
        </w:tc>
        <w:tc>
          <w:tcPr>
            <w:tcW w:type="dxa" w:w="3324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54000"/>
              </w:rPr>
              <w:t>8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54000"/>
              </w:rPr>
              <w:t>2</w:t>
            </w:r>
          </w:p>
        </w:tc>
        <w:tc>
          <w:tcPr>
            <w:tcW w:type="dxa" w:w="3324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54000"/>
              </w:rPr>
              <w:t>重视尼众/增加尼众资源</w:t>
            </w:r>
          </w:p>
        </w:tc>
        <w:tc>
          <w:tcPr>
            <w:tcW w:type="dxa" w:w="332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54000"/>
              </w:rPr>
              <w:t>6</w:t>
            </w:r>
          </w:p>
        </w:tc>
      </w:tr>
      <w:tr>
        <w:tc>
          <w:tcPr>
            <w:tcW w:type="dxa" w:w="3324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54000"/>
              </w:rPr>
              <w:t>3</w:t>
            </w:r>
          </w:p>
        </w:tc>
        <w:tc>
          <w:tcPr>
            <w:tcW w:type="dxa" w:w="3324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54000"/>
              </w:rPr>
              <w:t>增加传统文化课程</w:t>
            </w:r>
          </w:p>
        </w:tc>
        <w:tc>
          <w:tcPr>
            <w:tcW w:type="dxa" w:w="3324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54000"/>
              </w:rPr>
              <w:t>5</w:t>
            </w:r>
          </w:p>
        </w:tc>
      </w:tr>
      <w:tr>
        <w:tc>
          <w:tcPr>
            <w:tcW w:type="dxa" w:w="332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54000"/>
              </w:rPr>
              <w:t>4</w:t>
            </w:r>
          </w:p>
        </w:tc>
        <w:tc>
          <w:tcPr>
            <w:tcW w:type="dxa" w:w="3324"/>
            <w:shd w:fill="FFFFFF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54000"/>
              </w:rPr>
              <w:t>弘扬隆莲法师思想</w:t>
            </w:r>
          </w:p>
        </w:tc>
        <w:tc>
          <w:tcPr>
            <w:tcW w:type="dxa" w:w="3324"/>
            <w:shd w:fill="FFFFFF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54000"/>
              </w:rPr>
              <w:t>4</w:t>
            </w:r>
          </w:p>
        </w:tc>
      </w:tr>
      <w:tr>
        <w:tc>
          <w:tcPr>
            <w:tcW w:type="dxa" w:w="3324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54000"/>
              </w:rPr>
              <w:t>5</w:t>
            </w:r>
          </w:p>
        </w:tc>
        <w:tc>
          <w:tcPr>
            <w:tcW w:type="dxa" w:w="3324"/>
            <w:shd w:fill="F2F2F2" w:val="clear"/>
          </w:tcPr>
          <w:p>
            <w:pPr>
              <w:spacing w:before="20" w:after="20"/>
              <w:jc w:val="left"/>
            </w:pPr>
            <w:r/>
            <w:r>
              <w:rPr>
                <w:rFonts w:ascii="仿宋" w:hAnsi="仿宋" w:eastAsia="仿宋"/>
                <w:sz w:val="254000"/>
              </w:rPr>
              <w:t>服务社会/实践能力</w:t>
            </w:r>
          </w:p>
        </w:tc>
        <w:tc>
          <w:tcPr>
            <w:tcW w:type="dxa" w:w="3324"/>
            <w:shd w:fill="F2F2F2" w:val="clear"/>
          </w:tcPr>
          <w:p>
            <w:pPr>
              <w:spacing w:before="20" w:after="20"/>
              <w:jc w:val="center"/>
            </w:pPr>
            <w:r/>
            <w:r>
              <w:rPr>
                <w:rFonts w:ascii="仿宋" w:hAnsi="仿宋" w:eastAsia="仿宋"/>
                <w:sz w:val="254000"/>
              </w:rPr>
              <w:t>3</w:t>
            </w:r>
          </w:p>
        </w:tc>
      </w:tr>
    </w:tbl>
    <w:sectPr w:rsidR="00FC693F" w:rsidRPr="0006063C" w:rsidSect="0003461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