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“一专一策”</w:t>
            </w:r>
            <w:r>
              <w:rPr>
                <w:rFonts w:hint="eastAsia"/>
              </w:rPr>
              <w:t xml:space="preserve">如何落地？——生成式</w:t>
            </w:r>
            <w:r>
              <w:t xml:space="preserve"> AI </w:t>
            </w:r>
            <w:r>
              <w:rPr>
                <w:rFonts w:hint="eastAsia"/>
              </w:rPr>
              <w:t xml:space="preserve">赋能中职办公自动化教学的空中乘务专业实践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6,100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现状分析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教育调查文献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模型构建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：三维赋能模型为自主构建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实践数据具体，有人类特征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实践数据丰富</w:t>
      </w:r>
      <w:r>
        <w:rPr>
          <w:rFonts w:hint="eastAsia"/>
        </w:rPr>
        <w:t xml:space="preserve">：包含具体教学实践数据、统计分析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模型设计具体</w:t>
      </w:r>
      <w:r>
        <w:rPr>
          <w:rFonts w:hint="eastAsia"/>
        </w:rPr>
        <w:t xml:space="preserve">：三维赋能模型设计详细，有真实设计痕迹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：多处使用”本研究”</w:t>
      </w:r>
      <w:r>
        <w:rPr>
          <w:rFonts w:hint="eastAsia"/>
        </w:rPr>
        <w:t xml:space="preserve">“笔者”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2026-04-23T07:53:43Z</dcterms:created>
  <dcterms:modified xsi:type="dcterms:W3CDTF">2026-04-23T07:53:43Z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