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0B995CD4">
        <w:trPr>
          <w:cantSplit/>
          <w:trHeight w:val="523" w:hRule="atLeast"/>
          <w:jc w:val="center"/>
        </w:trPr>
        <w:tc>
          <w:tcPr>
            <w:tcW w:w="1129" w:type="dxa"/>
            <w:tcBorders>
              <w:top w:val="nil"/>
              <w:left w:val="nil"/>
              <w:bottom w:val="nil"/>
              <w:right w:val="nil"/>
            </w:tcBorders>
            <w:vAlign w:val="bottom"/>
          </w:tcPr>
          <w:p w14:paraId="75AF20FA">
            <w:pPr>
              <w:pStyle w:val="37"/>
              <w:ind w:left="0" w:leftChars="0" w:firstLine="0" w:firstLineChars="0"/>
              <w:rPr>
                <w:color w:val="auto"/>
              </w:rPr>
            </w:pPr>
            <w:r>
              <w:rPr>
                <w:rFonts w:hint="eastAsia"/>
                <w:b/>
                <w:bCs/>
                <w:color w:val="auto"/>
                <w:sz w:val="30"/>
              </w:rPr>
              <w:br w:type="page"/>
            </w:r>
            <w:r>
              <w:rPr>
                <w:rFonts w:hint="eastAsia"/>
                <w:color w:val="auto"/>
              </w:rPr>
              <w:t>分类号</w:t>
            </w:r>
          </w:p>
        </w:tc>
        <w:tc>
          <w:tcPr>
            <w:tcW w:w="1332" w:type="dxa"/>
            <w:gridSpan w:val="2"/>
            <w:tcBorders>
              <w:top w:val="nil"/>
              <w:left w:val="nil"/>
              <w:bottom w:val="dashSmallGap" w:color="auto" w:sz="4" w:space="0"/>
              <w:right w:val="nil"/>
            </w:tcBorders>
            <w:vAlign w:val="bottom"/>
          </w:tcPr>
          <w:p w14:paraId="52F8594C">
            <w:pPr>
              <w:pStyle w:val="37"/>
              <w:rPr>
                <w:b/>
                <w:bCs/>
                <w:color w:val="auto"/>
              </w:rPr>
            </w:pPr>
          </w:p>
        </w:tc>
        <w:tc>
          <w:tcPr>
            <w:tcW w:w="4203" w:type="dxa"/>
            <w:gridSpan w:val="3"/>
            <w:tcBorders>
              <w:top w:val="nil"/>
              <w:left w:val="nil"/>
              <w:bottom w:val="nil"/>
              <w:right w:val="nil"/>
            </w:tcBorders>
            <w:vAlign w:val="bottom"/>
          </w:tcPr>
          <w:p w14:paraId="0DA6361A">
            <w:pPr>
              <w:pStyle w:val="37"/>
              <w:rPr>
                <w:color w:val="auto"/>
              </w:rPr>
            </w:pPr>
          </w:p>
        </w:tc>
        <w:tc>
          <w:tcPr>
            <w:tcW w:w="922" w:type="dxa"/>
            <w:gridSpan w:val="2"/>
            <w:tcBorders>
              <w:top w:val="nil"/>
              <w:left w:val="nil"/>
              <w:bottom w:val="nil"/>
              <w:right w:val="nil"/>
            </w:tcBorders>
            <w:vAlign w:val="bottom"/>
          </w:tcPr>
          <w:p w14:paraId="2DC6DD75">
            <w:pPr>
              <w:pStyle w:val="37"/>
              <w:ind w:left="0" w:leftChars="0" w:firstLine="0" w:firstLineChars="0"/>
              <w:rPr>
                <w:color w:val="auto"/>
              </w:rPr>
            </w:pPr>
            <w:r>
              <w:rPr>
                <w:rFonts w:hint="eastAsia"/>
                <w:color w:val="auto"/>
              </w:rPr>
              <w:t>密 级</w:t>
            </w:r>
          </w:p>
        </w:tc>
        <w:tc>
          <w:tcPr>
            <w:tcW w:w="1332" w:type="dxa"/>
            <w:tcBorders>
              <w:top w:val="nil"/>
              <w:left w:val="nil"/>
              <w:bottom w:val="dashSmallGap" w:color="auto" w:sz="4" w:space="0"/>
              <w:right w:val="nil"/>
            </w:tcBorders>
            <w:vAlign w:val="bottom"/>
          </w:tcPr>
          <w:p w14:paraId="3CA868D6">
            <w:pPr>
              <w:pStyle w:val="37"/>
              <w:rPr>
                <w:color w:val="auto"/>
              </w:rPr>
            </w:pPr>
          </w:p>
        </w:tc>
      </w:tr>
      <w:tr w14:paraId="25143E4E">
        <w:trPr>
          <w:cantSplit/>
          <w:trHeight w:val="532" w:hRule="atLeast"/>
          <w:jc w:val="center"/>
        </w:trPr>
        <w:tc>
          <w:tcPr>
            <w:tcW w:w="1129" w:type="dxa"/>
            <w:tcBorders>
              <w:top w:val="nil"/>
              <w:left w:val="nil"/>
              <w:bottom w:val="nil"/>
              <w:right w:val="nil"/>
            </w:tcBorders>
            <w:vAlign w:val="bottom"/>
          </w:tcPr>
          <w:p w14:paraId="2F0F230F">
            <w:pPr>
              <w:pStyle w:val="37"/>
              <w:ind w:left="0" w:leftChars="0" w:firstLine="0" w:firstLineChars="0"/>
              <w:rPr>
                <w:color w:val="auto"/>
              </w:rPr>
            </w:pPr>
            <w:r>
              <w:rPr>
                <w:rFonts w:hint="eastAsia"/>
                <w:color w:val="auto"/>
              </w:rPr>
              <w:t>U D C</w:t>
            </w:r>
          </w:p>
        </w:tc>
        <w:tc>
          <w:tcPr>
            <w:tcW w:w="1332" w:type="dxa"/>
            <w:gridSpan w:val="2"/>
            <w:tcBorders>
              <w:top w:val="dashSmallGap" w:color="auto" w:sz="4" w:space="0"/>
              <w:left w:val="nil"/>
              <w:bottom w:val="dashSmallGap" w:color="auto" w:sz="4" w:space="0"/>
              <w:right w:val="nil"/>
            </w:tcBorders>
            <w:vAlign w:val="bottom"/>
          </w:tcPr>
          <w:p w14:paraId="7B2013D5">
            <w:pPr>
              <w:pStyle w:val="37"/>
              <w:rPr>
                <w:color w:val="auto"/>
              </w:rPr>
            </w:pPr>
          </w:p>
        </w:tc>
        <w:tc>
          <w:tcPr>
            <w:tcW w:w="4203" w:type="dxa"/>
            <w:gridSpan w:val="3"/>
            <w:tcBorders>
              <w:top w:val="nil"/>
              <w:left w:val="nil"/>
              <w:bottom w:val="nil"/>
              <w:right w:val="nil"/>
            </w:tcBorders>
            <w:vAlign w:val="bottom"/>
          </w:tcPr>
          <w:p w14:paraId="23AC3EBA">
            <w:pPr>
              <w:pStyle w:val="37"/>
              <w:rPr>
                <w:color w:val="auto"/>
              </w:rPr>
            </w:pPr>
          </w:p>
        </w:tc>
        <w:tc>
          <w:tcPr>
            <w:tcW w:w="922" w:type="dxa"/>
            <w:gridSpan w:val="2"/>
            <w:tcBorders>
              <w:top w:val="nil"/>
              <w:left w:val="nil"/>
              <w:bottom w:val="nil"/>
              <w:right w:val="nil"/>
            </w:tcBorders>
            <w:vAlign w:val="bottom"/>
          </w:tcPr>
          <w:p w14:paraId="5BE38EE3">
            <w:pPr>
              <w:pStyle w:val="37"/>
              <w:ind w:left="0" w:leftChars="0" w:firstLine="0" w:firstLineChars="0"/>
              <w:rPr>
                <w:color w:val="auto"/>
              </w:rPr>
            </w:pPr>
            <w:r>
              <w:rPr>
                <w:rFonts w:hint="eastAsia"/>
                <w:color w:val="auto"/>
              </w:rPr>
              <w:t>编 号</w:t>
            </w:r>
          </w:p>
        </w:tc>
        <w:tc>
          <w:tcPr>
            <w:tcW w:w="1332" w:type="dxa"/>
            <w:tcBorders>
              <w:top w:val="dashSmallGap" w:color="auto" w:sz="4" w:space="0"/>
              <w:left w:val="nil"/>
              <w:bottom w:val="dashSmallGap" w:color="auto" w:sz="4" w:space="0"/>
              <w:right w:val="nil"/>
            </w:tcBorders>
            <w:vAlign w:val="bottom"/>
          </w:tcPr>
          <w:p w14:paraId="0856B506">
            <w:pPr>
              <w:pStyle w:val="37"/>
              <w:rPr>
                <w:rFonts w:hint="default" w:eastAsia="仿宋_GB2312"/>
                <w:color w:val="auto"/>
                <w:lang w:val="en-US" w:eastAsia="zh-CN"/>
              </w:rPr>
            </w:pPr>
          </w:p>
        </w:tc>
      </w:tr>
      <w:tr w14:paraId="5E9D3743">
        <w:trPr>
          <w:trHeight w:val="2474" w:hRule="atLeast"/>
          <w:jc w:val="center"/>
        </w:trPr>
        <w:tc>
          <w:tcPr>
            <w:tcW w:w="8918" w:type="dxa"/>
            <w:gridSpan w:val="9"/>
            <w:tcBorders>
              <w:top w:val="nil"/>
              <w:left w:val="nil"/>
              <w:bottom w:val="nil"/>
              <w:right w:val="nil"/>
            </w:tcBorders>
          </w:tcPr>
          <w:p w14:paraId="7B3AD641">
            <w:pPr>
              <w:pStyle w:val="37"/>
              <w:rPr>
                <w:color w:val="auto"/>
                <w:sz w:val="44"/>
              </w:rPr>
            </w:pPr>
            <w:r>
              <w:rPr>
                <w:rFonts w:hint="eastAsia" w:eastAsia="宋体"/>
                <w:color w:val="auto"/>
                <w:sz w:val="44"/>
                <w:lang w:eastAsia="zh-CN"/>
              </w:rPr>
              <w:drawing>
                <wp:anchor distT="0" distB="0" distL="114300" distR="114300" simplePos="0" relativeHeight="251662336"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2" name="图片 2"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52458d-3c92-49c1-b98a-6be4e694287c"/>
                          <pic:cNvPicPr>
                            <a:picLocks noChangeAspect="1"/>
                          </pic:cNvPicPr>
                        </pic:nvPicPr>
                        <pic:blipFill>
                          <a:blip r:embed="rId14"/>
                          <a:srcRect t="18409" b="14924"/>
                          <a:stretch>
                            <a:fillRect/>
                          </a:stretch>
                        </pic:blipFill>
                        <pic:spPr>
                          <a:xfrm>
                            <a:off x="0" y="0"/>
                            <a:ext cx="4199890" cy="1118870"/>
                          </a:xfrm>
                          <a:prstGeom prst="rect">
                            <a:avLst/>
                          </a:prstGeom>
                        </pic:spPr>
                      </pic:pic>
                    </a:graphicData>
                  </a:graphic>
                </wp:anchor>
              </w:drawing>
            </w:r>
          </w:p>
          <w:p w14:paraId="64A42968">
            <w:pPr>
              <w:pStyle w:val="37"/>
              <w:jc w:val="center"/>
              <w:rPr>
                <w:rFonts w:hint="default" w:eastAsia="仿宋_GB2312"/>
                <w:color w:val="auto"/>
                <w:sz w:val="44"/>
                <w:lang w:val="en-US" w:eastAsia="zh-CN"/>
              </w:rPr>
            </w:pPr>
          </w:p>
          <w:p w14:paraId="0358660F">
            <w:pPr>
              <w:pStyle w:val="37"/>
              <w:jc w:val="center"/>
              <w:rPr>
                <w:rFonts w:hint="default" w:eastAsia="仿宋_GB2312"/>
                <w:color w:val="auto"/>
                <w:sz w:val="44"/>
                <w:lang w:val="en-US" w:eastAsia="zh-CN"/>
              </w:rPr>
            </w:pPr>
          </w:p>
        </w:tc>
      </w:tr>
      <w:tr w14:paraId="7A031D12">
        <w:trPr>
          <w:trHeight w:val="2536" w:hRule="atLeast"/>
          <w:jc w:val="center"/>
        </w:trPr>
        <w:tc>
          <w:tcPr>
            <w:tcW w:w="8918" w:type="dxa"/>
            <w:gridSpan w:val="9"/>
            <w:tcBorders>
              <w:top w:val="nil"/>
              <w:left w:val="nil"/>
              <w:bottom w:val="nil"/>
              <w:right w:val="nil"/>
            </w:tcBorders>
          </w:tcPr>
          <w:p w14:paraId="673E2295">
            <w:pPr>
              <w:pStyle w:val="38"/>
              <w:rPr>
                <w:rFonts w:hint="eastAsia" w:ascii="微软雅黑" w:hAnsi="微软雅黑" w:eastAsia="微软雅黑" w:cs="微软雅黑"/>
                <w:b/>
                <w:color w:val="auto"/>
                <w:sz w:val="36"/>
                <w:szCs w:val="36"/>
                <w:lang w:val="en-US" w:eastAsia="zh-CN"/>
              </w:rPr>
            </w:pPr>
            <w:r>
              <w:rPr>
                <w:rFonts w:hint="eastAsia" w:ascii="微软雅黑" w:hAnsi="微软雅黑" w:eastAsia="微软雅黑" w:cs="微软雅黑"/>
                <w:b/>
                <w:color w:val="auto"/>
                <w:sz w:val="36"/>
                <w:szCs w:val="36"/>
                <w:lang w:val="en-US" w:eastAsia="zh-CN"/>
              </w:rPr>
              <w:t>浙江省宗教界“双通”人才研修班</w:t>
            </w:r>
          </w:p>
          <w:p w14:paraId="0BD70198">
            <w:pPr>
              <w:pStyle w:val="38"/>
              <w:rPr>
                <w:rFonts w:hint="default"/>
                <w:b/>
                <w:color w:val="auto"/>
                <w:lang w:val="en-US"/>
              </w:rPr>
            </w:pPr>
            <w:r>
              <w:rPr>
                <w:rFonts w:hint="eastAsia" w:ascii="微软雅黑" w:hAnsi="微软雅黑" w:eastAsia="微软雅黑" w:cs="微软雅黑"/>
                <w:b/>
                <w:color w:val="auto"/>
                <w:sz w:val="48"/>
                <w:szCs w:val="48"/>
                <w:lang w:val="en-US" w:eastAsia="zh-CN"/>
              </w:rPr>
              <w:t>毕业论文</w:t>
            </w:r>
          </w:p>
        </w:tc>
      </w:tr>
      <w:tr w14:paraId="33257CF5">
        <w:trPr>
          <w:trHeight w:val="1968" w:hRule="atLeast"/>
          <w:jc w:val="center"/>
        </w:trPr>
        <w:tc>
          <w:tcPr>
            <w:tcW w:w="8918" w:type="dxa"/>
            <w:gridSpan w:val="9"/>
            <w:tcBorders>
              <w:top w:val="nil"/>
              <w:left w:val="nil"/>
              <w:bottom w:val="nil"/>
              <w:right w:val="nil"/>
            </w:tcBorders>
          </w:tcPr>
          <w:p w14:paraId="38D44910">
            <w:pPr>
              <w:adjustRightInd w:val="0"/>
              <w:snapToGrid w:val="0"/>
              <w:jc w:val="center"/>
              <w:rPr>
                <w:rFonts w:hint="eastAsia" w:ascii="黑体" w:hAnsi="黑体" w:eastAsia="黑体" w:cs="黑体"/>
                <w:b/>
                <w:bCs/>
                <w:color w:val="auto"/>
                <w:sz w:val="32"/>
                <w:szCs w:val="32"/>
                <w:lang w:eastAsia="zh-CN"/>
              </w:rPr>
            </w:pPr>
          </w:p>
          <w:p w14:paraId="5740EEA7">
            <w:pPr>
              <w:keepNext w:val="0"/>
              <w:keepLines w:val="0"/>
              <w:widowControl/>
              <w:suppressLineNumbers w:val="0"/>
              <w:jc w:val="center"/>
              <w:rPr>
                <w:color w:val="auto"/>
              </w:rPr>
            </w:pPr>
            <w:r>
              <w:rPr>
                <w:rFonts w:hint="default" w:ascii="黑体" w:hAnsi="宋体" w:eastAsia="黑体" w:cs="黑体"/>
                <w:b/>
                <w:bCs/>
                <w:snapToGrid/>
                <w:color w:val="auto"/>
                <w:kern w:val="2"/>
                <w:sz w:val="32"/>
                <w:szCs w:val="32"/>
                <w:lang w:val="en-US" w:eastAsia="zh-CN" w:bidi="ar"/>
              </w:rPr>
              <w:t>基督教仁爱观念与核心价值观的融合途径</w:t>
            </w:r>
          </w:p>
          <w:p w14:paraId="2FAC8877">
            <w:pPr>
              <w:adjustRightInd w:val="0"/>
              <w:snapToGrid w:val="0"/>
              <w:jc w:val="center"/>
              <w:rPr>
                <w:rFonts w:hint="default" w:ascii="黑体" w:hAnsi="黑体" w:eastAsia="黑体" w:cs="黑体"/>
                <w:b/>
                <w:bCs/>
                <w:color w:val="auto"/>
                <w:sz w:val="32"/>
                <w:szCs w:val="32"/>
                <w:lang w:val="en-US" w:eastAsia="zh-CN"/>
              </w:rPr>
            </w:pPr>
          </w:p>
          <w:p w14:paraId="525BDA62">
            <w:pPr>
              <w:adjustRightInd w:val="0"/>
              <w:snapToGrid w:val="0"/>
              <w:jc w:val="center"/>
              <w:rPr>
                <w:rFonts w:hint="eastAsia" w:eastAsia="宋体"/>
                <w:color w:val="auto"/>
                <w:sz w:val="44"/>
                <w:lang w:eastAsia="zh-CN"/>
              </w:rPr>
            </w:pPr>
          </w:p>
        </w:tc>
      </w:tr>
      <w:tr w14:paraId="23E0C8D3">
        <w:trPr>
          <w:trHeight w:val="377" w:hRule="atLeast"/>
          <w:jc w:val="center"/>
        </w:trPr>
        <w:tc>
          <w:tcPr>
            <w:tcW w:w="8918" w:type="dxa"/>
            <w:gridSpan w:val="9"/>
            <w:tcBorders>
              <w:top w:val="nil"/>
              <w:left w:val="nil"/>
              <w:bottom w:val="nil"/>
              <w:right w:val="nil"/>
            </w:tcBorders>
          </w:tcPr>
          <w:p w14:paraId="3F4728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rPr>
                <w:color w:val="auto"/>
              </w:rPr>
            </w:pPr>
          </w:p>
        </w:tc>
      </w:tr>
      <w:tr w14:paraId="31421500">
        <w:trPr>
          <w:cantSplit/>
          <w:trHeight w:val="671" w:hRule="atLeast"/>
          <w:jc w:val="center"/>
        </w:trPr>
        <w:tc>
          <w:tcPr>
            <w:tcW w:w="1210" w:type="dxa"/>
            <w:gridSpan w:val="2"/>
            <w:vMerge w:val="restart"/>
            <w:tcBorders>
              <w:top w:val="nil"/>
              <w:left w:val="nil"/>
              <w:bottom w:val="nil"/>
              <w:right w:val="nil"/>
            </w:tcBorders>
            <w:vAlign w:val="center"/>
          </w:tcPr>
          <w:p w14:paraId="04182ACD">
            <w:pPr>
              <w:adjustRightInd w:val="0"/>
              <w:snapToGrid w:val="0"/>
              <w:rPr>
                <w:rFonts w:hint="eastAsia" w:eastAsia="楷体_GB2312"/>
                <w:color w:val="auto"/>
                <w:sz w:val="52"/>
              </w:rPr>
            </w:pPr>
          </w:p>
        </w:tc>
        <w:tc>
          <w:tcPr>
            <w:tcW w:w="3352" w:type="dxa"/>
            <w:gridSpan w:val="2"/>
            <w:tcBorders>
              <w:top w:val="nil"/>
              <w:left w:val="nil"/>
              <w:bottom w:val="nil"/>
              <w:right w:val="nil"/>
            </w:tcBorders>
            <w:vAlign w:val="center"/>
          </w:tcPr>
          <w:p w14:paraId="53122898">
            <w:pPr>
              <w:pStyle w:val="40"/>
              <w:ind w:firstLine="280" w:firstLineChars="100"/>
              <w:rPr>
                <w:b/>
                <w:bCs/>
                <w:color w:val="auto"/>
              </w:rPr>
            </w:pPr>
            <w:r>
              <w:rPr>
                <w:rFonts w:hint="eastAsia"/>
                <w:b/>
                <w:bCs/>
                <w:color w:val="auto"/>
                <w:lang w:val="en-US" w:eastAsia="zh-CN"/>
              </w:rPr>
              <w:t>作   者</w:t>
            </w:r>
            <w:r>
              <w:rPr>
                <w:rFonts w:hint="eastAsia"/>
                <w:b/>
                <w:bCs/>
                <w:color w:val="auto"/>
              </w:rPr>
              <w:t xml:space="preserve"> </w:t>
            </w:r>
            <w:r>
              <w:rPr>
                <w:rFonts w:hint="eastAsia"/>
                <w:b/>
                <w:bCs/>
                <w:color w:val="auto"/>
                <w:lang w:val="en-US" w:eastAsia="zh-CN"/>
              </w:rPr>
              <w:t xml:space="preserve">  </w:t>
            </w:r>
            <w:r>
              <w:rPr>
                <w:rFonts w:hint="eastAsia"/>
                <w:b/>
                <w:bCs/>
                <w:color w:val="auto"/>
              </w:rPr>
              <w:t xml:space="preserve">姓 </w:t>
            </w:r>
            <w:r>
              <w:rPr>
                <w:rFonts w:hint="eastAsia"/>
                <w:b/>
                <w:bCs/>
                <w:color w:val="auto"/>
                <w:lang w:val="en-US" w:eastAsia="zh-CN"/>
              </w:rPr>
              <w:t xml:space="preserve">  </w:t>
            </w:r>
            <w:r>
              <w:rPr>
                <w:rFonts w:hint="eastAsia"/>
                <w:b/>
                <w:bCs/>
                <w:color w:val="auto"/>
              </w:rPr>
              <w:t xml:space="preserve"> 名：</w:t>
            </w:r>
          </w:p>
        </w:tc>
        <w:tc>
          <w:tcPr>
            <w:tcW w:w="302" w:type="dxa"/>
            <w:tcBorders>
              <w:top w:val="nil"/>
              <w:left w:val="nil"/>
              <w:bottom w:val="nil"/>
              <w:right w:val="nil"/>
            </w:tcBorders>
            <w:vAlign w:val="center"/>
          </w:tcPr>
          <w:p w14:paraId="64FC411D">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2E1C1C48">
            <w:pPr>
              <w:pStyle w:val="40"/>
              <w:ind w:firstLine="0" w:firstLineChars="0"/>
              <w:jc w:val="center"/>
              <w:rPr>
                <w:rFonts w:hint="default" w:eastAsia="宋体"/>
                <w:b/>
                <w:bCs/>
                <w:color w:val="auto"/>
                <w:spacing w:val="20"/>
                <w:lang w:val="en-US" w:eastAsia="zh-CN"/>
              </w:rPr>
            </w:pPr>
            <w:r>
              <w:rPr>
                <w:rFonts w:hint="eastAsia"/>
                <w:b/>
                <w:bCs/>
                <w:color w:val="auto"/>
                <w:spacing w:val="20"/>
                <w:lang w:val="en-US" w:eastAsia="zh-CN"/>
              </w:rPr>
              <w:t>叶畏兵</w:t>
            </w:r>
          </w:p>
        </w:tc>
        <w:tc>
          <w:tcPr>
            <w:tcW w:w="1479" w:type="dxa"/>
            <w:gridSpan w:val="2"/>
            <w:vMerge w:val="restart"/>
            <w:tcBorders>
              <w:top w:val="nil"/>
              <w:left w:val="nil"/>
              <w:bottom w:val="nil"/>
              <w:right w:val="nil"/>
            </w:tcBorders>
            <w:vAlign w:val="center"/>
          </w:tcPr>
          <w:p w14:paraId="128D7528">
            <w:pPr>
              <w:adjustRightInd w:val="0"/>
              <w:snapToGrid w:val="0"/>
              <w:rPr>
                <w:rFonts w:hint="eastAsia" w:eastAsia="楷体_GB2312"/>
                <w:color w:val="auto"/>
                <w:sz w:val="52"/>
              </w:rPr>
            </w:pPr>
          </w:p>
          <w:p w14:paraId="37018065">
            <w:pPr>
              <w:adjustRightInd w:val="0"/>
              <w:snapToGrid w:val="0"/>
              <w:rPr>
                <w:rFonts w:hint="eastAsia" w:eastAsia="楷体_GB2312"/>
                <w:color w:val="auto"/>
                <w:sz w:val="52"/>
              </w:rPr>
            </w:pPr>
          </w:p>
          <w:p w14:paraId="45990817">
            <w:pPr>
              <w:adjustRightInd w:val="0"/>
              <w:snapToGrid w:val="0"/>
              <w:rPr>
                <w:rFonts w:hint="eastAsia" w:eastAsia="楷体_GB2312"/>
                <w:color w:val="auto"/>
                <w:sz w:val="52"/>
              </w:rPr>
            </w:pPr>
          </w:p>
        </w:tc>
      </w:tr>
      <w:tr w14:paraId="31795307">
        <w:trPr>
          <w:cantSplit/>
          <w:trHeight w:val="728" w:hRule="atLeast"/>
          <w:jc w:val="center"/>
        </w:trPr>
        <w:tc>
          <w:tcPr>
            <w:tcW w:w="1210" w:type="dxa"/>
            <w:gridSpan w:val="2"/>
            <w:vMerge w:val="continue"/>
            <w:tcBorders>
              <w:top w:val="nil"/>
              <w:left w:val="nil"/>
              <w:bottom w:val="nil"/>
              <w:right w:val="nil"/>
            </w:tcBorders>
            <w:vAlign w:val="center"/>
          </w:tcPr>
          <w:p w14:paraId="2AA4F06B">
            <w:pPr>
              <w:widowControl/>
              <w:jc w:val="left"/>
              <w:rPr>
                <w:rFonts w:eastAsia="楷体_GB2312"/>
                <w:color w:val="auto"/>
                <w:sz w:val="52"/>
              </w:rPr>
            </w:pPr>
          </w:p>
        </w:tc>
        <w:tc>
          <w:tcPr>
            <w:tcW w:w="3352" w:type="dxa"/>
            <w:gridSpan w:val="2"/>
            <w:tcBorders>
              <w:top w:val="nil"/>
              <w:left w:val="nil"/>
              <w:bottom w:val="nil"/>
              <w:right w:val="nil"/>
            </w:tcBorders>
            <w:vAlign w:val="center"/>
          </w:tcPr>
          <w:p w14:paraId="2C96ED63">
            <w:pPr>
              <w:pStyle w:val="40"/>
              <w:ind w:firstLine="280" w:firstLineChars="100"/>
              <w:rPr>
                <w:b/>
                <w:bCs/>
                <w:color w:val="auto"/>
              </w:rPr>
            </w:pPr>
            <w:r>
              <w:rPr>
                <w:rFonts w:hint="eastAsia"/>
                <w:b/>
                <w:bCs/>
                <w:color w:val="auto"/>
              </w:rPr>
              <w:t xml:space="preserve">学            </w:t>
            </w:r>
            <w:r>
              <w:rPr>
                <w:b/>
                <w:bCs/>
                <w:color w:val="auto"/>
              </w:rPr>
              <w:t xml:space="preserve"> </w:t>
            </w:r>
            <w:r>
              <w:rPr>
                <w:rFonts w:hint="eastAsia"/>
                <w:b/>
                <w:bCs/>
                <w:color w:val="auto"/>
              </w:rPr>
              <w:t xml:space="preserve"> 号：</w:t>
            </w:r>
          </w:p>
        </w:tc>
        <w:tc>
          <w:tcPr>
            <w:tcW w:w="302" w:type="dxa"/>
            <w:tcBorders>
              <w:top w:val="nil"/>
              <w:left w:val="nil"/>
              <w:bottom w:val="nil"/>
              <w:right w:val="nil"/>
            </w:tcBorders>
            <w:vAlign w:val="center"/>
          </w:tcPr>
          <w:p w14:paraId="56436DBB">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6CC46EA1">
            <w:pPr>
              <w:rPr>
                <w:color w:val="auto"/>
              </w:rPr>
            </w:pPr>
            <w:r>
              <w:rPr>
                <w:color w:val="auto"/>
              </w:rPr>
              <w:t>（请填写学号）</w:t>
            </w:r>
          </w:p>
        </w:tc>
        <w:tc>
          <w:tcPr>
            <w:tcW w:w="1479" w:type="dxa"/>
            <w:gridSpan w:val="2"/>
            <w:vMerge w:val="continue"/>
            <w:tcBorders>
              <w:top w:val="nil"/>
              <w:left w:val="nil"/>
              <w:bottom w:val="nil"/>
              <w:right w:val="nil"/>
            </w:tcBorders>
            <w:vAlign w:val="center"/>
          </w:tcPr>
          <w:p w14:paraId="5DC08C87">
            <w:pPr>
              <w:widowControl/>
              <w:jc w:val="distribute"/>
              <w:rPr>
                <w:rFonts w:eastAsia="楷体_GB2312"/>
                <w:color w:val="auto"/>
                <w:sz w:val="52"/>
              </w:rPr>
            </w:pPr>
          </w:p>
        </w:tc>
      </w:tr>
      <w:tr w14:paraId="1E9CF5CB">
        <w:trPr>
          <w:cantSplit/>
          <w:trHeight w:val="664" w:hRule="atLeast"/>
          <w:jc w:val="center"/>
        </w:trPr>
        <w:tc>
          <w:tcPr>
            <w:tcW w:w="1210" w:type="dxa"/>
            <w:gridSpan w:val="2"/>
            <w:vMerge w:val="continue"/>
            <w:tcBorders>
              <w:top w:val="nil"/>
              <w:left w:val="nil"/>
              <w:bottom w:val="nil"/>
              <w:right w:val="nil"/>
            </w:tcBorders>
            <w:vAlign w:val="center"/>
          </w:tcPr>
          <w:p w14:paraId="1E80F7E1">
            <w:pPr>
              <w:widowControl/>
              <w:jc w:val="left"/>
              <w:rPr>
                <w:rFonts w:eastAsia="楷体_GB2312"/>
                <w:color w:val="auto"/>
                <w:sz w:val="52"/>
              </w:rPr>
            </w:pPr>
          </w:p>
        </w:tc>
        <w:tc>
          <w:tcPr>
            <w:tcW w:w="3352" w:type="dxa"/>
            <w:gridSpan w:val="2"/>
            <w:tcBorders>
              <w:top w:val="nil"/>
              <w:left w:val="nil"/>
              <w:bottom w:val="nil"/>
              <w:right w:val="nil"/>
            </w:tcBorders>
            <w:vAlign w:val="center"/>
          </w:tcPr>
          <w:p w14:paraId="63365C72">
            <w:pPr>
              <w:pStyle w:val="40"/>
              <w:ind w:firstLine="280" w:firstLineChars="100"/>
              <w:rPr>
                <w:b/>
                <w:bCs/>
                <w:color w:val="auto"/>
              </w:rPr>
            </w:pPr>
            <w:r>
              <w:rPr>
                <w:rFonts w:hint="eastAsia"/>
                <w:b/>
                <w:bCs/>
                <w:color w:val="auto"/>
              </w:rPr>
              <w:t>指</w:t>
            </w:r>
            <w:r>
              <w:rPr>
                <w:rFonts w:hint="eastAsia"/>
                <w:b/>
                <w:bCs/>
                <w:color w:val="auto"/>
                <w:lang w:val="en-US" w:eastAsia="zh-CN"/>
              </w:rPr>
              <w:t xml:space="preserve">   </w:t>
            </w:r>
            <w:r>
              <w:rPr>
                <w:rFonts w:hint="eastAsia"/>
                <w:b/>
                <w:bCs/>
                <w:color w:val="auto"/>
              </w:rPr>
              <w:t>导</w:t>
            </w:r>
            <w:r>
              <w:rPr>
                <w:rFonts w:hint="eastAsia"/>
                <w:b/>
                <w:bCs/>
                <w:color w:val="auto"/>
                <w:lang w:val="en-US" w:eastAsia="zh-CN"/>
              </w:rPr>
              <w:t xml:space="preserve">   </w:t>
            </w:r>
            <w:r>
              <w:rPr>
                <w:rFonts w:hint="eastAsia"/>
                <w:b/>
                <w:bCs/>
                <w:color w:val="auto"/>
              </w:rPr>
              <w:t>教</w:t>
            </w:r>
            <w:r>
              <w:rPr>
                <w:rFonts w:hint="eastAsia"/>
                <w:b/>
                <w:bCs/>
                <w:color w:val="auto"/>
                <w:lang w:val="en-US" w:eastAsia="zh-CN"/>
              </w:rPr>
              <w:t xml:space="preserve">    </w:t>
            </w:r>
            <w:r>
              <w:rPr>
                <w:rFonts w:hint="eastAsia"/>
                <w:b/>
                <w:bCs/>
                <w:color w:val="auto"/>
              </w:rPr>
              <w:t>师：</w:t>
            </w:r>
          </w:p>
        </w:tc>
        <w:tc>
          <w:tcPr>
            <w:tcW w:w="302" w:type="dxa"/>
            <w:tcBorders>
              <w:top w:val="nil"/>
              <w:left w:val="nil"/>
              <w:bottom w:val="nil"/>
              <w:right w:val="nil"/>
            </w:tcBorders>
            <w:vAlign w:val="center"/>
          </w:tcPr>
          <w:p w14:paraId="0BE16A20">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0128E3C4">
            <w:pPr>
              <w:pStyle w:val="40"/>
              <w:ind w:firstLine="0" w:firstLineChars="0"/>
              <w:jc w:val="center"/>
              <w:rPr>
                <w:rFonts w:hint="default" w:eastAsia="宋体"/>
                <w:b/>
                <w:bCs/>
                <w:color w:val="auto"/>
                <w:lang w:val="en-US" w:eastAsia="zh-CN"/>
              </w:rPr>
            </w:pPr>
            <w:r>
              <w:rPr>
                <w:rFonts w:hint="eastAsia" w:eastAsia="宋体"/>
                <w:b/>
                <w:bCs/>
                <w:color w:val="auto"/>
                <w:lang w:val="en-US" w:eastAsia="zh-CN"/>
              </w:rPr>
              <w:t>莫幸福</w:t>
            </w:r>
          </w:p>
        </w:tc>
        <w:tc>
          <w:tcPr>
            <w:tcW w:w="1479" w:type="dxa"/>
            <w:gridSpan w:val="2"/>
            <w:vMerge w:val="continue"/>
            <w:tcBorders>
              <w:top w:val="nil"/>
              <w:left w:val="nil"/>
              <w:bottom w:val="nil"/>
              <w:right w:val="nil"/>
            </w:tcBorders>
            <w:vAlign w:val="center"/>
          </w:tcPr>
          <w:p w14:paraId="1F616CDC">
            <w:pPr>
              <w:widowControl/>
              <w:jc w:val="distribute"/>
              <w:rPr>
                <w:rFonts w:eastAsia="楷体_GB2312"/>
                <w:color w:val="auto"/>
                <w:sz w:val="52"/>
              </w:rPr>
            </w:pPr>
          </w:p>
        </w:tc>
      </w:tr>
      <w:tr w14:paraId="1711C1FD">
        <w:trPr>
          <w:cantSplit/>
          <w:trHeight w:val="718" w:hRule="atLeast"/>
          <w:jc w:val="center"/>
        </w:trPr>
        <w:tc>
          <w:tcPr>
            <w:tcW w:w="1210" w:type="dxa"/>
            <w:gridSpan w:val="2"/>
            <w:vMerge w:val="continue"/>
            <w:tcBorders>
              <w:top w:val="nil"/>
              <w:left w:val="nil"/>
              <w:bottom w:val="nil"/>
              <w:right w:val="nil"/>
            </w:tcBorders>
            <w:vAlign w:val="center"/>
          </w:tcPr>
          <w:p w14:paraId="117A9B96">
            <w:pPr>
              <w:widowControl/>
              <w:jc w:val="left"/>
              <w:rPr>
                <w:rFonts w:eastAsia="楷体_GB2312"/>
                <w:color w:val="auto"/>
                <w:sz w:val="52"/>
              </w:rPr>
            </w:pPr>
          </w:p>
        </w:tc>
        <w:tc>
          <w:tcPr>
            <w:tcW w:w="3352" w:type="dxa"/>
            <w:gridSpan w:val="2"/>
            <w:tcBorders>
              <w:top w:val="nil"/>
              <w:left w:val="nil"/>
              <w:bottom w:val="nil"/>
              <w:right w:val="nil"/>
            </w:tcBorders>
            <w:vAlign w:val="center"/>
          </w:tcPr>
          <w:p w14:paraId="67F1108F">
            <w:pPr>
              <w:pStyle w:val="40"/>
              <w:ind w:firstLine="280" w:firstLineChars="100"/>
              <w:rPr>
                <w:b/>
                <w:bCs/>
                <w:color w:val="auto"/>
              </w:rPr>
            </w:pPr>
            <w:r>
              <w:rPr>
                <w:rFonts w:hint="eastAsia"/>
                <w:b/>
                <w:bCs/>
                <w:color w:val="auto"/>
              </w:rPr>
              <w:t xml:space="preserve">研   究   方  </w:t>
            </w:r>
            <w:r>
              <w:rPr>
                <w:b/>
                <w:bCs/>
                <w:color w:val="auto"/>
              </w:rPr>
              <w:t xml:space="preserve"> </w:t>
            </w:r>
            <w:r>
              <w:rPr>
                <w:rFonts w:hint="eastAsia"/>
                <w:b/>
                <w:bCs/>
                <w:color w:val="auto"/>
              </w:rPr>
              <w:t xml:space="preserve"> 向：</w:t>
            </w:r>
          </w:p>
        </w:tc>
        <w:tc>
          <w:tcPr>
            <w:tcW w:w="302" w:type="dxa"/>
            <w:tcBorders>
              <w:top w:val="nil"/>
              <w:left w:val="nil"/>
              <w:bottom w:val="nil"/>
              <w:right w:val="nil"/>
            </w:tcBorders>
            <w:vAlign w:val="center"/>
          </w:tcPr>
          <w:p w14:paraId="5F9EA1D2">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52C66E1A">
            <w:pPr>
              <w:pStyle w:val="40"/>
              <w:ind w:firstLine="0" w:firstLineChars="0"/>
              <w:jc w:val="center"/>
              <w:rPr>
                <w:rFonts w:hint="default" w:eastAsia="宋体"/>
                <w:b/>
                <w:bCs/>
                <w:color w:val="auto"/>
                <w:lang w:val="en-US" w:eastAsia="zh-CN"/>
              </w:rPr>
            </w:pPr>
            <w:r>
              <w:rPr>
                <w:rFonts w:hint="eastAsia"/>
                <w:b/>
                <w:bCs/>
                <w:color w:val="auto"/>
                <w:lang w:val="en-US" w:eastAsia="zh-CN"/>
              </w:rPr>
              <w:t>基督教中国化</w:t>
            </w:r>
          </w:p>
        </w:tc>
        <w:tc>
          <w:tcPr>
            <w:tcW w:w="1479" w:type="dxa"/>
            <w:gridSpan w:val="2"/>
            <w:vMerge w:val="continue"/>
            <w:tcBorders>
              <w:top w:val="nil"/>
              <w:left w:val="nil"/>
              <w:bottom w:val="nil"/>
              <w:right w:val="nil"/>
            </w:tcBorders>
            <w:vAlign w:val="center"/>
          </w:tcPr>
          <w:p w14:paraId="67CFF426">
            <w:pPr>
              <w:widowControl/>
              <w:jc w:val="distribute"/>
              <w:rPr>
                <w:rFonts w:eastAsia="楷体_GB2312"/>
                <w:color w:val="auto"/>
                <w:sz w:val="52"/>
              </w:rPr>
            </w:pPr>
          </w:p>
        </w:tc>
      </w:tr>
      <w:tr w14:paraId="29C7B864">
        <w:trPr>
          <w:trHeight w:val="1718" w:hRule="atLeast"/>
          <w:jc w:val="center"/>
        </w:trPr>
        <w:tc>
          <w:tcPr>
            <w:tcW w:w="8918" w:type="dxa"/>
            <w:gridSpan w:val="9"/>
            <w:tcBorders>
              <w:top w:val="nil"/>
              <w:left w:val="nil"/>
              <w:bottom w:val="nil"/>
              <w:right w:val="nil"/>
            </w:tcBorders>
          </w:tcPr>
          <w:p w14:paraId="5442196D">
            <w:pPr>
              <w:pStyle w:val="41"/>
              <w:jc w:val="both"/>
              <w:rPr>
                <w:color w:val="auto"/>
              </w:rPr>
            </w:pPr>
          </w:p>
          <w:p w14:paraId="72B0AD01">
            <w:pPr>
              <w:pStyle w:val="41"/>
              <w:jc w:val="both"/>
              <w:rPr>
                <w:color w:val="auto"/>
              </w:rPr>
            </w:pPr>
          </w:p>
          <w:p w14:paraId="54684E14">
            <w:pPr>
              <w:jc w:val="center"/>
              <w:rPr>
                <w:color w:val="auto"/>
              </w:rPr>
            </w:pPr>
            <w:r>
              <w:rPr>
                <w:rFonts w:hint="eastAsia"/>
                <w:color w:val="auto"/>
                <w:sz w:val="28"/>
                <w:szCs w:val="28"/>
                <w:lang w:val="en-US" w:eastAsia="zh-CN"/>
              </w:rPr>
              <w:t xml:space="preserve">2026 </w:t>
            </w:r>
            <w:r>
              <w:rPr>
                <w:rFonts w:hint="eastAsia"/>
                <w:color w:val="auto"/>
                <w:sz w:val="28"/>
                <w:szCs w:val="28"/>
              </w:rPr>
              <w:t xml:space="preserve">年 </w:t>
            </w:r>
            <w:r>
              <w:rPr>
                <w:rFonts w:hint="eastAsia"/>
                <w:color w:val="auto"/>
                <w:sz w:val="28"/>
                <w:szCs w:val="28"/>
                <w:lang w:val="en-US" w:eastAsia="zh-CN"/>
              </w:rPr>
              <w:t>XX</w:t>
            </w:r>
            <w:r>
              <w:rPr>
                <w:color w:val="auto"/>
                <w:sz w:val="28"/>
                <w:szCs w:val="28"/>
              </w:rPr>
              <w:t xml:space="preserve"> </w:t>
            </w:r>
            <w:r>
              <w:rPr>
                <w:rFonts w:hint="eastAsia"/>
                <w:color w:val="auto"/>
                <w:sz w:val="28"/>
                <w:szCs w:val="28"/>
              </w:rPr>
              <w:t>月</w:t>
            </w:r>
            <w:r>
              <w:rPr>
                <w:rFonts w:hint="eastAsia"/>
                <w:color w:val="auto"/>
                <w:sz w:val="28"/>
                <w:szCs w:val="28"/>
                <w:lang w:val="en-US" w:eastAsia="zh-CN"/>
              </w:rPr>
              <w:t xml:space="preserve"> XX 日</w:t>
            </w:r>
          </w:p>
        </w:tc>
      </w:tr>
    </w:tbl>
    <w:p w14:paraId="3265F237">
      <w:pPr>
        <w:pageBreakBefore w:val="0"/>
        <w:kinsoku/>
        <w:wordWrap/>
        <w:overflowPunct/>
        <w:topLinePunct w:val="0"/>
        <w:bidi w:val="0"/>
        <w:adjustRightInd w:val="0"/>
        <w:snapToGrid w:val="0"/>
        <w:spacing w:line="480" w:lineRule="auto"/>
        <w:ind w:left="0" w:leftChars="0" w:firstLine="0" w:firstLineChars="0"/>
        <w:textAlignment w:val="auto"/>
        <w:rPr>
          <w:rFonts w:hint="eastAsia" w:eastAsia="楷体_GB2312"/>
          <w:b/>
          <w:color w:val="auto"/>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color w:val="auto"/>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color w:val="auto"/>
          <w:sz w:val="32"/>
          <w:szCs w:val="32"/>
        </w:rPr>
      </w:pPr>
      <w:r>
        <w:rPr>
          <w:rFonts w:hint="default" w:ascii="Times New Roman" w:hAnsi="Times New Roman" w:cs="Times New Roman"/>
          <w:bCs/>
          <w:color w:val="auto"/>
          <w:sz w:val="32"/>
          <w:szCs w:val="32"/>
        </w:rPr>
        <w:t>Title</w:t>
      </w:r>
      <w:r>
        <w:rPr>
          <w:rFonts w:hint="eastAsia" w:ascii="Times New Roman" w:hAnsi="Times New Roman" w:cs="Times New Roman"/>
          <w:bCs/>
          <w:color w:val="auto"/>
          <w:sz w:val="32"/>
          <w:szCs w:val="32"/>
          <w:lang w:val="en-US" w:eastAsia="zh-CN"/>
        </w:rPr>
        <w:t>:</w:t>
      </w:r>
      <w:r>
        <w:rPr>
          <w:rFonts w:hint="default" w:ascii="Times New Roman" w:hAnsi="Times New Roman" w:cs="Times New Roman"/>
          <w:bCs/>
          <w:color w:val="auto"/>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color w:val="auto"/>
          <w:sz w:val="32"/>
          <w:szCs w:val="32"/>
        </w:rPr>
      </w:pPr>
    </w:p>
    <w:p w14:paraId="7D910E69">
      <w:pPr>
        <w:keepNext w:val="0"/>
        <w:keepLines w:val="0"/>
        <w:pageBreakBefore w:val="0"/>
        <w:kinsoku/>
        <w:wordWrap/>
        <w:overflowPunct/>
        <w:topLinePunct w:val="0"/>
        <w:autoSpaceDE/>
        <w:autoSpaceDN/>
        <w:bidi w:val="0"/>
        <w:adjustRightInd w:val="0"/>
        <w:snapToGrid w:val="0"/>
        <w:spacing w:line="720" w:lineRule="auto"/>
        <w:jc w:val="left"/>
        <w:textAlignment w:val="auto"/>
        <w:rPr>
          <w:rFonts w:hint="default" w:ascii="Times New Roman" w:hAnsi="Times New Roman" w:eastAsia="楷体_GB2312"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3360" behindDoc="0" locked="0" layoutInCell="1" allowOverlap="1">
                <wp:simplePos x="0" y="0"/>
                <wp:positionH relativeFrom="column">
                  <wp:posOffset>1896110</wp:posOffset>
                </wp:positionH>
                <wp:positionV relativeFrom="paragraph">
                  <wp:posOffset>447675</wp:posOffset>
                </wp:positionV>
                <wp:extent cx="2286000" cy="0"/>
                <wp:effectExtent l="0" t="6350" r="0" b="635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3360;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rPr>
        <w:t>Author</w:t>
      </w:r>
      <w:r>
        <w:rPr>
          <w:rFonts w:hint="default" w:ascii="Times New Roman" w:hAnsi="Times New Roman" w:eastAsia="楷体_GB2312" w:cs="Times New Roman"/>
          <w:b/>
          <w:bCs/>
          <w:color w:val="auto"/>
          <w:sz w:val="30"/>
          <w:szCs w:val="30"/>
        </w:rPr>
        <w:t>：</w:t>
      </w:r>
      <w:r>
        <w:rPr>
          <w:rFonts w:hint="eastAsia" w:ascii="Times New Roman" w:hAnsi="Times New Roman" w:cs="Times New Roman"/>
          <w:b/>
          <w:bCs/>
          <w:color w:val="auto"/>
          <w:sz w:val="30"/>
          <w:szCs w:val="30"/>
          <w:lang w:val="en-US" w:eastAsia="zh-CN"/>
        </w:rPr>
        <w:t xml:space="preserve">       </w:t>
      </w:r>
      <w:r>
        <w:rPr>
          <w:rFonts w:hint="eastAsia" w:cs="Times New Roman"/>
          <w:b/>
          <w:bCs/>
          <w:color w:val="auto"/>
          <w:sz w:val="30"/>
          <w:szCs w:val="30"/>
          <w:lang w:val="en-US" w:eastAsia="zh-CN"/>
        </w:rPr>
        <w:t xml:space="preserve">    </w:t>
      </w:r>
      <w:r>
        <w:rPr>
          <w:rFonts w:hint="eastAsia" w:ascii="Times New Roman" w:hAnsi="Times New Roman" w:cs="Times New Roman"/>
          <w:b/>
          <w:bCs/>
          <w:color w:val="auto"/>
          <w:sz w:val="30"/>
          <w:szCs w:val="30"/>
          <w:lang w:val="en-US" w:eastAsia="zh-CN"/>
        </w:rPr>
        <w:t xml:space="preserve">    </w:t>
      </w:r>
      <w:r>
        <w:rPr>
          <w:rFonts w:hint="default" w:eastAsia="楷体_GB2312" w:cs="Times New Roman"/>
          <w:b/>
          <w:bCs/>
          <w:color w:val="auto"/>
          <w:sz w:val="30"/>
          <w:szCs w:val="30"/>
          <w:lang w:val="en-US" w:eastAsia="zh-CN"/>
        </w:rPr>
        <w:t>Y</w:t>
      </w:r>
      <w:r>
        <w:rPr>
          <w:rFonts w:hint="eastAsia" w:eastAsia="楷体_GB2312" w:cs="Times New Roman"/>
          <w:b/>
          <w:bCs/>
          <w:color w:val="auto"/>
          <w:sz w:val="30"/>
          <w:szCs w:val="30"/>
          <w:lang w:val="en-US" w:eastAsia="zh-CN"/>
        </w:rPr>
        <w:t xml:space="preserve">e </w:t>
      </w:r>
      <w:r>
        <w:rPr>
          <w:rFonts w:hint="default" w:eastAsia="楷体_GB2312" w:cs="Times New Roman"/>
          <w:b/>
          <w:bCs/>
          <w:color w:val="auto"/>
          <w:sz w:val="30"/>
          <w:szCs w:val="30"/>
          <w:lang w:val="en-US" w:eastAsia="zh-CN"/>
        </w:rPr>
        <w:t>W</w:t>
      </w:r>
      <w:r>
        <w:rPr>
          <w:rFonts w:hint="eastAsia" w:eastAsia="楷体_GB2312" w:cs="Times New Roman"/>
          <w:b/>
          <w:bCs/>
          <w:color w:val="auto"/>
          <w:sz w:val="30"/>
          <w:szCs w:val="30"/>
          <w:lang w:val="en-US" w:eastAsia="zh-CN"/>
        </w:rPr>
        <w:t>eibing</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lang w:val="en-US"/>
        </w:rPr>
        <w:t>R</w:t>
      </w:r>
      <w:r>
        <w:rPr>
          <w:rFonts w:hint="default" w:ascii="Times New Roman" w:hAnsi="Times New Roman" w:cs="Times New Roman"/>
          <w:b/>
          <w:bCs/>
          <w:color w:val="auto"/>
          <w:sz w:val="30"/>
          <w:szCs w:val="30"/>
        </w:rPr>
        <w:t>eligion：</w:t>
      </w:r>
      <w:r>
        <w:rPr>
          <w:rFonts w:hint="eastAsia" w:ascii="Times New Roman" w:hAnsi="Times New Roman" w:cs="Times New Roman"/>
          <w:b/>
          <w:bCs/>
          <w:color w:val="auto"/>
          <w:sz w:val="30"/>
          <w:szCs w:val="30"/>
          <w:lang w:val="en-US" w:eastAsia="zh-CN"/>
        </w:rPr>
        <w:t xml:space="preserve">           Christian Theology</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rPr>
        <w:t>Supervisor：</w:t>
      </w:r>
      <w:r>
        <w:rPr>
          <w:rFonts w:hint="eastAsia" w:ascii="Times New Roman" w:hAnsi="Times New Roman" w:cs="Times New Roman"/>
          <w:b/>
          <w:bCs/>
          <w:color w:val="auto"/>
          <w:sz w:val="30"/>
          <w:szCs w:val="30"/>
          <w:lang w:val="en-US" w:eastAsia="zh-CN"/>
        </w:rPr>
        <w:t xml:space="preserve">         Prof. Mo Xingfu</w:t>
      </w:r>
    </w:p>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color w:val="auto"/>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color w:val="auto"/>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40" w:firstLineChars="200"/>
        <w:jc w:val="center"/>
        <w:textAlignment w:val="auto"/>
        <w:rPr>
          <w:rFonts w:hint="default" w:ascii="Times New Roman" w:hAnsi="Times New Roman" w:eastAsia="宋体" w:cs="Times New Roman"/>
          <w:b/>
          <w:bCs/>
          <w:color w:val="auto"/>
          <w:kern w:val="2"/>
          <w:sz w:val="30"/>
          <w:szCs w:val="30"/>
          <w:lang w:val="en-US" w:eastAsia="zh-CN" w:bidi="ar-SA"/>
        </w:rPr>
      </w:pPr>
      <w:r>
        <w:rPr>
          <w:color w:val="auto"/>
        </w:rPr>
        <w:t>June 2026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color w:val="auto"/>
        </w:rPr>
      </w:pPr>
      <w:r>
        <w:rPr>
          <w:rFonts w:ascii="Times New Roman" w:hAnsi="Times New Roman" w:cs="Times New Roman"/>
          <w:color w:val="auto"/>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color w:val="auto"/>
          <w:kern w:val="0"/>
          <w:sz w:val="28"/>
          <w:szCs w:val="28"/>
        </w:rPr>
        <w:sectPr>
          <w:footerReference r:id="rId8" w:type="first"/>
          <w:headerReference r:id="rId5" w:type="default"/>
          <w:headerReference r:id="rId6"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bidi w:val="0"/>
        <w:rPr>
          <w:rFonts w:hint="eastAsia"/>
          <w:color w:val="auto"/>
          <w:lang w:eastAsia="zh-CN"/>
        </w:rPr>
      </w:pPr>
      <w:bookmarkStart w:id="0" w:name="_Toc952702429"/>
      <w:bookmarkStart w:id="1" w:name="_Toc31961"/>
      <w:bookmarkStart w:id="2" w:name="_Toc1705937017"/>
      <w:bookmarkStart w:id="3" w:name="_Toc290983561"/>
      <w:bookmarkStart w:id="4" w:name="_Toc8830"/>
      <w:bookmarkStart w:id="5" w:name="_Toc1471807053"/>
      <w:bookmarkStart w:id="6" w:name="_Toc379257105"/>
      <w:bookmarkStart w:id="7" w:name="_Toc828490391"/>
      <w:bookmarkStart w:id="8" w:name="_Toc362486656"/>
      <w:bookmarkStart w:id="9" w:name="_Toc246172426"/>
      <w:bookmarkStart w:id="10" w:name="_Toc28263"/>
      <w:bookmarkStart w:id="11" w:name="_Toc1715546296"/>
      <w:bookmarkStart w:id="12" w:name="_Toc11059"/>
      <w:bookmarkStart w:id="13" w:name="_Toc20200"/>
      <w:bookmarkStart w:id="14" w:name="_Toc1544488105"/>
      <w:bookmarkStart w:id="15" w:name="_Toc18544"/>
      <w:bookmarkStart w:id="16" w:name="_Toc842843531"/>
      <w:bookmarkStart w:id="17" w:name="_Toc19856"/>
      <w:bookmarkStart w:id="18" w:name="_Toc176483401"/>
      <w:r>
        <w:rPr>
          <w:rFonts w:hint="eastAsia"/>
          <w:color w:val="auto"/>
          <w:lang w:eastAsia="zh-CN"/>
        </w:rPr>
        <w:t>摘</w:t>
      </w:r>
      <w:r>
        <w:rPr>
          <w:rFonts w:hint="eastAsia"/>
          <w:color w:val="auto"/>
          <w:lang w:val="en-US" w:eastAsia="zh-CN"/>
        </w:rPr>
        <w:t xml:space="preserve">  </w:t>
      </w:r>
      <w:r>
        <w:rPr>
          <w:rFonts w:hint="eastAsia"/>
          <w:color w:val="auto"/>
          <w:lang w:eastAsia="zh-CN"/>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color w:val="auto"/>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color w:val="auto"/>
          <w:lang w:val="en-US" w:eastAsia="zh-CN"/>
        </w:rPr>
      </w:pPr>
      <w:r>
        <w:rPr>
          <w:rFonts w:hint="eastAsia" w:ascii="宋体" w:hAnsi="宋体" w:eastAsia="宋体" w:cs="宋体"/>
          <w:color w:val="auto"/>
        </w:rPr>
        <w:t>深入推进宗教中国化是新时代宗教工作的根本遵循。当前政策明确要求宗教以社会主义核心价值观为引领，增进宗教界对祖国、民族、文化、政党、制度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color w:val="auto"/>
          <w:lang w:val="en-US" w:eastAsia="zh-CN"/>
        </w:rPr>
      </w:pPr>
      <w:r>
        <w:rPr>
          <w:rFonts w:hint="eastAsia" w:ascii="宋体" w:hAnsi="宋体" w:eastAsia="宋体" w:cs="宋体"/>
          <w:color w:val="auto"/>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w:t>
      </w:r>
      <w:r>
        <w:rPr>
          <w:rFonts w:hint="default" w:ascii="Times New Roman" w:hAnsi="Times New Roman" w:eastAsia="宋体" w:cs="Times New Roman"/>
          <w:color w:val="auto"/>
          <w:lang w:val="en-US" w:eastAsia="zh-CN"/>
        </w:rPr>
        <w:t>Agape</w:t>
      </w:r>
      <w:r>
        <w:rPr>
          <w:rFonts w:hint="eastAsia" w:ascii="宋体" w:hAnsi="宋体" w:eastAsia="宋体" w:cs="宋体"/>
          <w:color w:val="auto"/>
          <w:lang w:val="en-US" w:eastAsia="zh-CN"/>
        </w:rPr>
        <w:t>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color w:val="auto"/>
          <w:lang w:val="en-US" w:eastAsia="zh-CN"/>
        </w:rPr>
      </w:pPr>
      <w:r>
        <w:rPr>
          <w:rFonts w:hint="eastAsia" w:ascii="宋体" w:hAnsi="宋体" w:eastAsia="宋体" w:cs="宋体"/>
          <w:color w:val="auto"/>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color w:val="auto"/>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auto"/>
          <w:lang w:eastAsia="zh-CN"/>
        </w:rPr>
      </w:pPr>
      <w:r>
        <w:rPr>
          <w:rFonts w:hint="eastAsia"/>
          <w:color w:val="auto"/>
          <w:lang w:eastAsia="zh-CN"/>
        </w:rPr>
        <w:br w:type="page"/>
      </w:r>
    </w:p>
    <w:p w14:paraId="439481F4">
      <w:pPr>
        <w:pStyle w:val="2"/>
        <w:pageBreakBefore w:val="0"/>
        <w:kinsoku/>
        <w:wordWrap/>
        <w:overflowPunct/>
        <w:topLinePunct w:val="0"/>
        <w:bidi w:val="0"/>
        <w:adjustRightInd w:val="0"/>
        <w:snapToGrid w:val="0"/>
        <w:ind w:firstLine="640" w:firstLineChars="200"/>
        <w:textAlignment w:val="auto"/>
        <w:rPr>
          <w:rFonts w:hint="eastAsia"/>
          <w:color w:val="auto"/>
          <w:lang w:val="en-US" w:eastAsia="zh-CN"/>
        </w:rPr>
      </w:pPr>
      <w:bookmarkStart w:id="19" w:name="_Toc26499"/>
      <w:bookmarkStart w:id="20" w:name="_Toc431652171"/>
      <w:bookmarkStart w:id="21" w:name="_Toc1944493625"/>
      <w:bookmarkStart w:id="22" w:name="_Toc23274"/>
      <w:bookmarkStart w:id="23" w:name="_Toc1071152250"/>
      <w:bookmarkStart w:id="24" w:name="_Toc25068"/>
      <w:bookmarkStart w:id="25" w:name="_Toc154034389"/>
      <w:bookmarkStart w:id="26" w:name="_Toc869089905"/>
      <w:bookmarkStart w:id="27" w:name="_Toc3181"/>
      <w:bookmarkStart w:id="28" w:name="_Toc1366459660"/>
      <w:bookmarkStart w:id="29" w:name="_Toc2049604500"/>
      <w:bookmarkStart w:id="30" w:name="_Toc13702"/>
      <w:bookmarkStart w:id="31" w:name="_Toc442699439"/>
      <w:bookmarkStart w:id="32" w:name="_Toc1576739446"/>
      <w:bookmarkStart w:id="33" w:name="_Toc629273622"/>
      <w:bookmarkStart w:id="34" w:name="_Toc740445508"/>
      <w:bookmarkStart w:id="35" w:name="_Toc481604100"/>
      <w:r>
        <w:rPr>
          <w:color w:val="auto"/>
        </w:rPr>
        <w:t>A</w:t>
      </w:r>
      <w:r>
        <w:rPr>
          <w:rFonts w:hint="eastAsia"/>
          <w:color w:val="auto"/>
          <w:lang w:val="en-US" w:eastAsia="zh-CN"/>
        </w:rPr>
        <w:t>bstract</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AF21548">
      <w:pPr>
        <w:pageBreakBefore w:val="0"/>
        <w:kinsoku/>
        <w:wordWrap/>
        <w:overflowPunct/>
        <w:topLinePunct w:val="0"/>
        <w:bidi w:val="0"/>
        <w:adjustRightInd w:val="0"/>
        <w:snapToGrid w:val="0"/>
        <w:ind w:firstLine="480" w:firstLineChars="200"/>
        <w:textAlignment w:val="auto"/>
        <w:rPr>
          <w:rFonts w:hint="eastAsia"/>
          <w:color w:val="auto"/>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color w:val="auto"/>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rPr>
          <w:color w:val="auto"/>
        </w:rPr>
        <w:t xml:space="preserve">Keywords：Sinicization of Christianity; concept of benevolence (ren'ai); core socialist values; five identities; integration pathway;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color w:val="auto"/>
          <w:sz w:val="32"/>
          <w:szCs w:val="32"/>
          <w:lang w:val="en-US" w:eastAsia="zh-CN"/>
        </w:rPr>
      </w:pPr>
      <w:bookmarkStart w:id="36" w:name="_Toc11803"/>
      <w:bookmarkStart w:id="37" w:name="_Toc29976"/>
      <w:bookmarkStart w:id="38" w:name="_Toc31026"/>
      <w:bookmarkStart w:id="39" w:name="_Toc3063"/>
      <w:bookmarkStart w:id="40" w:name="_Toc2948"/>
      <w:bookmarkStart w:id="41" w:name="_Toc27475"/>
      <w:bookmarkStart w:id="42" w:name="_Toc14832"/>
      <w:bookmarkStart w:id="43" w:name="_Toc160"/>
      <w:bookmarkStart w:id="44" w:name="_Toc23385"/>
      <w:bookmarkStart w:id="45" w:name="_Toc26892"/>
      <w:bookmarkStart w:id="46" w:name="_Toc23833"/>
      <w:bookmarkStart w:id="47" w:name="_Toc12205"/>
      <w:bookmarkStart w:id="48" w:name="_Toc16558"/>
      <w:bookmarkStart w:id="49" w:name="_Toc30510"/>
      <w:bookmarkStart w:id="50" w:name="_Toc28965"/>
      <w:bookmarkStart w:id="51" w:name="_Toc23585"/>
      <w:r>
        <w:rPr>
          <w:rFonts w:hint="eastAsia" w:ascii="黑体" w:hAnsi="黑体" w:eastAsia="黑体" w:cs="黑体"/>
          <w:b/>
          <w:bCs/>
          <w:color w:val="auto"/>
          <w:sz w:val="32"/>
          <w:szCs w:val="32"/>
          <w:lang w:val="en-US" w:eastAsia="zh-CN"/>
        </w:rPr>
        <w:br w:type="page"/>
      </w:r>
    </w:p>
    <w:p w14:paraId="5DEFBEBA">
      <w:pPr>
        <w:tabs>
          <w:tab w:val="right" w:leader="dot" w:pos="9071"/>
        </w:tabs>
        <w:spacing w:before="0" w:after="0" w:line="360" w:lineRule="auto"/>
        <w:ind w:left="0" w:leftChars="0" w:firstLine="0" w:firstLineChars="0"/>
        <w:jc w:val="center"/>
        <w:rPr>
          <w:rFonts w:hint="eastAsia" w:ascii="黑体" w:hAnsi="黑体" w:eastAsia="黑体" w:cs="黑体"/>
          <w:b/>
          <w:bCs/>
          <w:color w:val="auto"/>
          <w:sz w:val="32"/>
          <w:szCs w:val="32"/>
          <w:lang w:val="en-US" w:eastAsia="zh-CN"/>
        </w:rPr>
      </w:pPr>
      <w:r>
        <w:rPr>
          <w:rFonts w:hint="eastAsia" w:ascii="黑体" w:hAnsi="黑体" w:eastAsia="黑体" w:cs="黑体"/>
          <w:b/>
          <w:bCs/>
          <w:color w:val="auto"/>
          <w:sz w:val="32"/>
          <w:szCs w:val="32"/>
          <w:lang w:val="en-US" w:eastAsia="zh-CN"/>
        </w:rPr>
        <w:t>目  录</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50366DAF">
      <w:pPr>
        <w:pStyle w:val="15"/>
        <w:tabs>
          <w:tab w:val="right" w:leader="dot" w:pos="8786"/>
        </w:tabs>
      </w:pPr>
      <w:r>
        <w:rPr>
          <w:rFonts w:hint="eastAsia" w:ascii="黑体" w:hAnsi="黑体" w:eastAsia="黑体" w:cs="黑体"/>
          <w:b/>
          <w:bCs/>
          <w:color w:val="auto"/>
          <w:sz w:val="32"/>
          <w:szCs w:val="32"/>
          <w:lang w:val="en-US" w:eastAsia="zh-CN"/>
        </w:rPr>
        <w:fldChar w:fldCharType="begin"/>
      </w:r>
      <w:r>
        <w:rPr>
          <w:rFonts w:hint="eastAsia" w:ascii="黑体" w:hAnsi="黑体" w:eastAsia="黑体" w:cs="黑体"/>
          <w:b/>
          <w:bCs/>
          <w:color w:val="auto"/>
          <w:sz w:val="32"/>
          <w:szCs w:val="32"/>
          <w:lang w:val="en-US" w:eastAsia="zh-CN"/>
        </w:rPr>
        <w:instrText xml:space="preserve">TOC \o "1-4" \h \u </w:instrText>
      </w:r>
      <w:r>
        <w:rPr>
          <w:rFonts w:hint="eastAsia" w:ascii="黑体" w:hAnsi="黑体" w:eastAsia="黑体" w:cs="黑体"/>
          <w:b/>
          <w:bCs/>
          <w:color w:val="auto"/>
          <w:sz w:val="32"/>
          <w:szCs w:val="32"/>
          <w:lang w:val="en-US" w:eastAsia="zh-CN"/>
        </w:rPr>
        <w:fldChar w:fldCharType="separate"/>
      </w: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_Toc176483401 </w:instrText>
      </w:r>
      <w:r>
        <w:rPr>
          <w:rFonts w:hint="eastAsia" w:ascii="黑体" w:hAnsi="黑体" w:eastAsia="黑体" w:cs="黑体"/>
          <w:bCs/>
          <w:szCs w:val="32"/>
          <w:lang w:val="en-US"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_Toc176483401 \h </w:instrText>
      </w:r>
      <w:r>
        <w:fldChar w:fldCharType="separate"/>
      </w:r>
      <w:r>
        <w:t>III</w:t>
      </w:r>
      <w:r>
        <w:fldChar w:fldCharType="end"/>
      </w:r>
      <w:r>
        <w:rPr>
          <w:rFonts w:hint="eastAsia" w:ascii="黑体" w:hAnsi="黑体" w:eastAsia="黑体" w:cs="黑体"/>
          <w:bCs/>
          <w:color w:val="auto"/>
          <w:szCs w:val="32"/>
          <w:lang w:val="en-US" w:eastAsia="zh-CN"/>
        </w:rPr>
        <w:fldChar w:fldCharType="end"/>
      </w:r>
    </w:p>
    <w:p w14:paraId="478C0776">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_Toc481604100 </w:instrText>
      </w:r>
      <w:r>
        <w:rPr>
          <w:rFonts w:hint="eastAsia" w:ascii="黑体" w:hAnsi="黑体" w:eastAsia="黑体" w:cs="黑体"/>
          <w:bCs/>
          <w:szCs w:val="32"/>
          <w:lang w:val="en-US" w:eastAsia="zh-CN"/>
        </w:rPr>
        <w:fldChar w:fldCharType="separate"/>
      </w:r>
      <w:r>
        <w:t>A</w:t>
      </w:r>
      <w:r>
        <w:rPr>
          <w:rFonts w:hint="eastAsia"/>
          <w:lang w:val="en-US" w:eastAsia="zh-CN"/>
        </w:rPr>
        <w:t>bstract</w:t>
      </w:r>
      <w:r>
        <w:tab/>
      </w:r>
      <w:r>
        <w:fldChar w:fldCharType="begin"/>
      </w:r>
      <w:r>
        <w:instrText xml:space="preserve"> PAGEREF _Toc481604100 \h </w:instrText>
      </w:r>
      <w:r>
        <w:fldChar w:fldCharType="separate"/>
      </w:r>
      <w:r>
        <w:t>IV</w:t>
      </w:r>
      <w:r>
        <w:fldChar w:fldCharType="end"/>
      </w:r>
      <w:r>
        <w:rPr>
          <w:rFonts w:hint="eastAsia" w:ascii="黑体" w:hAnsi="黑体" w:eastAsia="黑体" w:cs="黑体"/>
          <w:bCs/>
          <w:color w:val="auto"/>
          <w:szCs w:val="32"/>
          <w:lang w:val="en-US" w:eastAsia="zh-CN"/>
        </w:rPr>
        <w:fldChar w:fldCharType="end"/>
      </w:r>
    </w:p>
    <w:p w14:paraId="3ECCF6CB">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_Toc454243157 </w:instrText>
      </w:r>
      <w:r>
        <w:rPr>
          <w:rFonts w:hint="eastAsia" w:ascii="黑体" w:hAnsi="黑体" w:eastAsia="黑体" w:cs="黑体"/>
          <w:bCs/>
          <w:szCs w:val="32"/>
          <w:lang w:val="en-US" w:eastAsia="zh-CN"/>
        </w:rPr>
        <w:fldChar w:fldCharType="separate"/>
      </w:r>
      <w:r>
        <w:rPr>
          <w:rFonts w:hint="eastAsia"/>
          <w:lang w:val="en-US" w:eastAsia="zh-CN"/>
        </w:rPr>
        <w:t>一、引言</w:t>
      </w:r>
      <w:r>
        <w:tab/>
      </w:r>
      <w:r>
        <w:fldChar w:fldCharType="begin"/>
      </w:r>
      <w:r>
        <w:instrText xml:space="preserve"> PAGEREF _Toc454243157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1B4ED325">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_Toc160374614 </w:instrText>
      </w:r>
      <w:r>
        <w:rPr>
          <w:rFonts w:hint="eastAsia" w:ascii="黑体" w:hAnsi="黑体" w:eastAsia="黑体" w:cs="黑体"/>
          <w:bCs/>
          <w:szCs w:val="32"/>
          <w:lang w:val="en-US" w:eastAsia="zh-CN"/>
        </w:rPr>
        <w:fldChar w:fldCharType="separate"/>
      </w:r>
      <w:r>
        <w:rPr>
          <w:rFonts w:hint="eastAsia"/>
          <w:lang w:val="en-US" w:eastAsia="zh-CN"/>
        </w:rPr>
        <w:t>第一节 研究背景与问题提出</w:t>
      </w:r>
      <w:r>
        <w:tab/>
      </w:r>
      <w:r>
        <w:fldChar w:fldCharType="begin"/>
      </w:r>
      <w:r>
        <w:instrText xml:space="preserve"> PAGEREF _Toc160374614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10E07AE4">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_Toc324160513 </w:instrText>
      </w:r>
      <w:r>
        <w:rPr>
          <w:rFonts w:hint="eastAsia" w:ascii="黑体" w:hAnsi="黑体" w:eastAsia="黑体" w:cs="黑体"/>
          <w:bCs/>
          <w:szCs w:val="32"/>
          <w:lang w:val="en-US" w:eastAsia="zh-CN"/>
        </w:rPr>
        <w:fldChar w:fldCharType="separate"/>
      </w:r>
      <w:r>
        <w:rPr>
          <w:rFonts w:hint="eastAsia"/>
          <w:lang w:val="en-US" w:eastAsia="zh-CN"/>
        </w:rPr>
        <w:t>一、宗教中国化的政策演进与“五个认同”的时代要求</w:t>
      </w:r>
      <w:r>
        <w:tab/>
      </w:r>
      <w:r>
        <w:fldChar w:fldCharType="begin"/>
      </w:r>
      <w:r>
        <w:instrText xml:space="preserve"> PAGEREF _Toc324160513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644B7D5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_Toc2147213199 </w:instrText>
      </w:r>
      <w:r>
        <w:rPr>
          <w:rFonts w:hint="eastAsia" w:ascii="黑体" w:hAnsi="黑体" w:eastAsia="黑体" w:cs="黑体"/>
          <w:bCs/>
          <w:szCs w:val="32"/>
          <w:lang w:val="en-US" w:eastAsia="zh-CN"/>
        </w:rPr>
        <w:fldChar w:fldCharType="separate"/>
      </w:r>
      <w:r>
        <w:rPr>
          <w:rFonts w:hint="eastAsia"/>
          <w:lang w:val="en-US" w:eastAsia="zh-CN"/>
        </w:rPr>
        <w:t>二、要求基督教本土化发展的现实困境</w:t>
      </w:r>
      <w:r>
        <w:tab/>
      </w:r>
      <w:r>
        <w:fldChar w:fldCharType="begin"/>
      </w:r>
      <w:r>
        <w:instrText xml:space="preserve"> PAGEREF _Toc2147213199 \h </w:instrText>
      </w:r>
      <w:r>
        <w:fldChar w:fldCharType="separate"/>
      </w:r>
      <w:r>
        <w:t>2</w:t>
      </w:r>
      <w:r>
        <w:fldChar w:fldCharType="end"/>
      </w:r>
      <w:r>
        <w:rPr>
          <w:rFonts w:hint="eastAsia" w:ascii="黑体" w:hAnsi="黑体" w:eastAsia="黑体" w:cs="黑体"/>
          <w:bCs/>
          <w:color w:val="auto"/>
          <w:szCs w:val="32"/>
          <w:lang w:val="en-US" w:eastAsia="zh-CN"/>
        </w:rPr>
        <w:fldChar w:fldCharType="end"/>
      </w:r>
    </w:p>
    <w:p w14:paraId="5B21B283">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_Toc1897031405 </w:instrText>
      </w:r>
      <w:r>
        <w:rPr>
          <w:rFonts w:hint="eastAsia" w:ascii="黑体" w:hAnsi="黑体" w:eastAsia="黑体" w:cs="黑体"/>
          <w:bCs/>
          <w:szCs w:val="32"/>
          <w:lang w:val="en-US" w:eastAsia="zh-CN"/>
        </w:rPr>
        <w:fldChar w:fldCharType="separate"/>
      </w:r>
      <w:r>
        <w:rPr>
          <w:rFonts w:hint="eastAsia"/>
          <w:lang w:val="en-US" w:eastAsia="zh-CN"/>
        </w:rPr>
        <w:t>第二节 文献综述</w:t>
      </w:r>
      <w:r>
        <w:tab/>
      </w:r>
      <w:r>
        <w:fldChar w:fldCharType="begin"/>
      </w:r>
      <w:r>
        <w:instrText xml:space="preserve"> PAGEREF _Toc1897031405 \h </w:instrText>
      </w:r>
      <w:r>
        <w:fldChar w:fldCharType="separate"/>
      </w:r>
      <w:r>
        <w:t>4</w:t>
      </w:r>
      <w:r>
        <w:fldChar w:fldCharType="end"/>
      </w:r>
      <w:r>
        <w:rPr>
          <w:rFonts w:hint="eastAsia" w:ascii="黑体" w:hAnsi="黑体" w:eastAsia="黑体" w:cs="黑体"/>
          <w:bCs/>
          <w:color w:val="auto"/>
          <w:szCs w:val="32"/>
          <w:lang w:val="en-US" w:eastAsia="zh-CN"/>
        </w:rPr>
        <w:fldChar w:fldCharType="end"/>
      </w:r>
    </w:p>
    <w:p w14:paraId="722AF28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_Toc1864600473 </w:instrText>
      </w:r>
      <w:r>
        <w:rPr>
          <w:rFonts w:hint="eastAsia" w:ascii="黑体" w:hAnsi="黑体" w:eastAsia="黑体" w:cs="黑体"/>
          <w:bCs/>
          <w:szCs w:val="32"/>
          <w:lang w:val="en-US" w:eastAsia="zh-CN"/>
        </w:rPr>
        <w:fldChar w:fldCharType="separate"/>
      </w:r>
      <w:r>
        <w:rPr>
          <w:rFonts w:hint="eastAsia"/>
          <w:lang w:val="en-US" w:eastAsia="zh-CN"/>
        </w:rPr>
        <w:t>一、基督教仁爱观念的本源阐释与跨文化研究</w:t>
      </w:r>
      <w:r>
        <w:tab/>
      </w:r>
      <w:r>
        <w:fldChar w:fldCharType="begin"/>
      </w:r>
      <w:r>
        <w:instrText xml:space="preserve"> PAGEREF _Toc1864600473 \h </w:instrText>
      </w:r>
      <w:r>
        <w:fldChar w:fldCharType="separate"/>
      </w:r>
      <w:r>
        <w:t>4</w:t>
      </w:r>
      <w:r>
        <w:fldChar w:fldCharType="end"/>
      </w:r>
      <w:r>
        <w:rPr>
          <w:rFonts w:hint="eastAsia" w:ascii="黑体" w:hAnsi="黑体" w:eastAsia="黑体" w:cs="黑体"/>
          <w:bCs/>
          <w:color w:val="auto"/>
          <w:szCs w:val="32"/>
          <w:lang w:val="en-US" w:eastAsia="zh-CN"/>
        </w:rPr>
        <w:fldChar w:fldCharType="end"/>
      </w:r>
    </w:p>
    <w:p w14:paraId="39A48B3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_Toc111289040 </w:instrText>
      </w:r>
      <w:r>
        <w:rPr>
          <w:rFonts w:hint="eastAsia" w:ascii="黑体" w:hAnsi="黑体" w:eastAsia="黑体" w:cs="黑体"/>
          <w:bCs/>
          <w:szCs w:val="32"/>
          <w:lang w:val="en-US" w:eastAsia="zh-CN"/>
        </w:rPr>
        <w:fldChar w:fldCharType="separate"/>
      </w:r>
      <w:r>
        <w:rPr>
          <w:rFonts w:hint="eastAsia"/>
          <w:lang w:val="en-US" w:eastAsia="zh-CN"/>
        </w:rPr>
        <w:t>二、研究宗教价值与主流社会价值融合的国际比较</w:t>
      </w:r>
      <w:r>
        <w:tab/>
      </w:r>
      <w:r>
        <w:fldChar w:fldCharType="begin"/>
      </w:r>
      <w:r>
        <w:instrText xml:space="preserve"> PAGEREF _Toc111289040 \h </w:instrText>
      </w:r>
      <w:r>
        <w:fldChar w:fldCharType="separate"/>
      </w:r>
      <w:r>
        <w:t>5</w:t>
      </w:r>
      <w:r>
        <w:fldChar w:fldCharType="end"/>
      </w:r>
      <w:r>
        <w:rPr>
          <w:rFonts w:hint="eastAsia" w:ascii="黑体" w:hAnsi="黑体" w:eastAsia="黑体" w:cs="黑体"/>
          <w:bCs/>
          <w:color w:val="auto"/>
          <w:szCs w:val="32"/>
          <w:lang w:val="en-US" w:eastAsia="zh-CN"/>
        </w:rPr>
        <w:fldChar w:fldCharType="end"/>
      </w:r>
    </w:p>
    <w:p w14:paraId="67F33B74">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_Toc2124122390 </w:instrText>
      </w:r>
      <w:r>
        <w:rPr>
          <w:rFonts w:hint="eastAsia" w:ascii="黑体" w:hAnsi="黑体" w:eastAsia="黑体" w:cs="黑体"/>
          <w:bCs/>
          <w:szCs w:val="32"/>
          <w:lang w:val="en-US" w:eastAsia="zh-CN"/>
        </w:rPr>
        <w:fldChar w:fldCharType="separate"/>
      </w:r>
      <w:r>
        <w:rPr>
          <w:rFonts w:hint="eastAsia"/>
          <w:lang w:val="en-US" w:eastAsia="zh-CN"/>
        </w:rPr>
        <w:t>三、比较宗教中国化与社会主义核心价值观引领的国内研究</w:t>
      </w:r>
      <w:r>
        <w:tab/>
      </w:r>
      <w:r>
        <w:fldChar w:fldCharType="begin"/>
      </w:r>
      <w:r>
        <w:instrText xml:space="preserve"> PAGEREF _Toc2124122390 \h </w:instrText>
      </w:r>
      <w:r>
        <w:fldChar w:fldCharType="separate"/>
      </w:r>
      <w:r>
        <w:t>6</w:t>
      </w:r>
      <w:r>
        <w:fldChar w:fldCharType="end"/>
      </w:r>
      <w:r>
        <w:rPr>
          <w:rFonts w:hint="eastAsia" w:ascii="黑体" w:hAnsi="黑体" w:eastAsia="黑体" w:cs="黑体"/>
          <w:bCs/>
          <w:color w:val="auto"/>
          <w:szCs w:val="32"/>
          <w:lang w:val="en-US" w:eastAsia="zh-CN"/>
        </w:rPr>
        <w:fldChar w:fldCharType="end"/>
      </w:r>
    </w:p>
    <w:p w14:paraId="56BF078F">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_Toc356861002 </w:instrText>
      </w:r>
      <w:r>
        <w:rPr>
          <w:rFonts w:hint="eastAsia" w:ascii="黑体" w:hAnsi="黑体" w:eastAsia="黑体" w:cs="黑体"/>
          <w:bCs/>
          <w:szCs w:val="32"/>
          <w:lang w:val="en-US" w:eastAsia="zh-CN"/>
        </w:rPr>
        <w:fldChar w:fldCharType="separate"/>
      </w:r>
      <w:r>
        <w:rPr>
          <w:rFonts w:hint="eastAsia"/>
          <w:lang w:val="en-US" w:eastAsia="zh-CN"/>
        </w:rPr>
        <w:t>四、现有研究的贡献与不足</w:t>
      </w:r>
      <w:r>
        <w:tab/>
      </w:r>
      <w:r>
        <w:fldChar w:fldCharType="begin"/>
      </w:r>
      <w:r>
        <w:instrText xml:space="preserve"> PAGEREF _Toc356861002 \h </w:instrText>
      </w:r>
      <w:r>
        <w:fldChar w:fldCharType="separate"/>
      </w:r>
      <w:r>
        <w:t>7</w:t>
      </w:r>
      <w:r>
        <w:fldChar w:fldCharType="end"/>
      </w:r>
      <w:r>
        <w:rPr>
          <w:rFonts w:hint="eastAsia" w:ascii="黑体" w:hAnsi="黑体" w:eastAsia="黑体" w:cs="黑体"/>
          <w:bCs/>
          <w:color w:val="auto"/>
          <w:szCs w:val="32"/>
          <w:lang w:val="en-US" w:eastAsia="zh-CN"/>
        </w:rPr>
        <w:fldChar w:fldCharType="end"/>
      </w:r>
    </w:p>
    <w:p w14:paraId="64BD60B7">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_Toc1988518190 </w:instrText>
      </w:r>
      <w:r>
        <w:rPr>
          <w:rFonts w:hint="eastAsia" w:ascii="黑体" w:hAnsi="黑体" w:eastAsia="黑体" w:cs="黑体"/>
          <w:bCs/>
          <w:szCs w:val="32"/>
          <w:lang w:val="en-US" w:eastAsia="zh-CN"/>
        </w:rPr>
        <w:fldChar w:fldCharType="separate"/>
      </w:r>
      <w:r>
        <w:rPr>
          <w:rFonts w:hint="eastAsia"/>
          <w:lang w:val="en-US" w:eastAsia="zh-CN"/>
        </w:rPr>
        <w:t>第三节 研究意义</w:t>
      </w:r>
      <w:r>
        <w:tab/>
      </w:r>
      <w:r>
        <w:fldChar w:fldCharType="begin"/>
      </w:r>
      <w:r>
        <w:instrText xml:space="preserve"> PAGEREF _Toc1988518190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12610BC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_Toc1884704716 </w:instrText>
      </w:r>
      <w:r>
        <w:rPr>
          <w:rFonts w:hint="eastAsia" w:ascii="黑体" w:hAnsi="黑体" w:eastAsia="黑体" w:cs="黑体"/>
          <w:bCs/>
          <w:szCs w:val="32"/>
          <w:lang w:val="en-US" w:eastAsia="zh-CN"/>
        </w:rPr>
        <w:fldChar w:fldCharType="separate"/>
      </w:r>
      <w:r>
        <w:rPr>
          <w:rFonts w:hint="eastAsia"/>
          <w:lang w:val="en-US" w:eastAsia="zh-CN"/>
        </w:rPr>
        <w:t>一、理论意义</w:t>
      </w:r>
      <w:r>
        <w:tab/>
      </w:r>
      <w:r>
        <w:fldChar w:fldCharType="begin"/>
      </w:r>
      <w:r>
        <w:instrText xml:space="preserve"> PAGEREF _Toc1884704716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2C3104B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_Toc848368562 </w:instrText>
      </w:r>
      <w:r>
        <w:rPr>
          <w:rFonts w:hint="eastAsia" w:ascii="黑体" w:hAnsi="黑体" w:eastAsia="黑体" w:cs="黑体"/>
          <w:bCs/>
          <w:szCs w:val="32"/>
          <w:lang w:val="en-US" w:eastAsia="zh-CN"/>
        </w:rPr>
        <w:fldChar w:fldCharType="separate"/>
      </w:r>
      <w:r>
        <w:rPr>
          <w:rFonts w:hint="eastAsia"/>
          <w:lang w:val="en-US" w:eastAsia="zh-CN"/>
        </w:rPr>
        <w:t>二、实践意义</w:t>
      </w:r>
      <w:r>
        <w:tab/>
      </w:r>
      <w:r>
        <w:fldChar w:fldCharType="begin"/>
      </w:r>
      <w:r>
        <w:instrText xml:space="preserve"> PAGEREF _Toc848368562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0EC61AAA">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_Toc1386489101 </w:instrText>
      </w:r>
      <w:r>
        <w:rPr>
          <w:rFonts w:hint="eastAsia" w:ascii="黑体" w:hAnsi="黑体" w:eastAsia="黑体" w:cs="黑体"/>
          <w:bCs/>
          <w:szCs w:val="32"/>
          <w:lang w:val="en-US" w:eastAsia="zh-CN"/>
        </w:rPr>
        <w:fldChar w:fldCharType="separate"/>
      </w:r>
      <w:r>
        <w:rPr>
          <w:rFonts w:hint="eastAsia"/>
          <w:lang w:val="en-US" w:eastAsia="zh-CN"/>
        </w:rPr>
        <w:t>第四节 研究思路、方法与创新点</w:t>
      </w:r>
      <w:r>
        <w:tab/>
      </w:r>
      <w:r>
        <w:fldChar w:fldCharType="begin"/>
      </w:r>
      <w:r>
        <w:instrText xml:space="preserve"> PAGEREF _Toc1386489101 \h </w:instrText>
      </w:r>
      <w:r>
        <w:fldChar w:fldCharType="separate"/>
      </w:r>
      <w:r>
        <w:t>11</w:t>
      </w:r>
      <w:r>
        <w:fldChar w:fldCharType="end"/>
      </w:r>
      <w:r>
        <w:rPr>
          <w:rFonts w:hint="eastAsia" w:ascii="黑体" w:hAnsi="黑体" w:eastAsia="黑体" w:cs="黑体"/>
          <w:bCs/>
          <w:color w:val="auto"/>
          <w:szCs w:val="32"/>
          <w:lang w:val="en-US" w:eastAsia="zh-CN"/>
        </w:rPr>
        <w:fldChar w:fldCharType="end"/>
      </w:r>
    </w:p>
    <w:p w14:paraId="45DF097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_Toc377266910 </w:instrText>
      </w:r>
      <w:r>
        <w:rPr>
          <w:rFonts w:hint="eastAsia" w:ascii="黑体" w:hAnsi="黑体" w:eastAsia="黑体" w:cs="黑体"/>
          <w:bCs/>
          <w:szCs w:val="32"/>
          <w:lang w:val="en-US" w:eastAsia="zh-CN"/>
        </w:rPr>
        <w:fldChar w:fldCharType="separate"/>
      </w:r>
      <w:r>
        <w:rPr>
          <w:rFonts w:hint="eastAsia"/>
          <w:lang w:val="en-US" w:eastAsia="zh-CN"/>
        </w:rPr>
        <w:t>一、整体研究框架</w:t>
      </w:r>
      <w:r>
        <w:tab/>
      </w:r>
      <w:r>
        <w:fldChar w:fldCharType="begin"/>
      </w:r>
      <w:r>
        <w:instrText xml:space="preserve"> PAGEREF _Toc377266910 \h </w:instrText>
      </w:r>
      <w:r>
        <w:fldChar w:fldCharType="separate"/>
      </w:r>
      <w:r>
        <w:t>11</w:t>
      </w:r>
      <w:r>
        <w:fldChar w:fldCharType="end"/>
      </w:r>
      <w:r>
        <w:rPr>
          <w:rFonts w:hint="eastAsia" w:ascii="黑体" w:hAnsi="黑体" w:eastAsia="黑体" w:cs="黑体"/>
          <w:bCs/>
          <w:color w:val="auto"/>
          <w:szCs w:val="32"/>
          <w:lang w:val="en-US" w:eastAsia="zh-CN"/>
        </w:rPr>
        <w:fldChar w:fldCharType="end"/>
      </w:r>
    </w:p>
    <w:p w14:paraId="6F4801E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_Toc1353230426 </w:instrText>
      </w:r>
      <w:r>
        <w:rPr>
          <w:rFonts w:hint="eastAsia" w:ascii="黑体" w:hAnsi="黑体" w:eastAsia="黑体" w:cs="黑体"/>
          <w:bCs/>
          <w:szCs w:val="32"/>
          <w:lang w:val="en-US" w:eastAsia="zh-CN"/>
        </w:rPr>
        <w:fldChar w:fldCharType="separate"/>
      </w:r>
      <w:r>
        <w:rPr>
          <w:rFonts w:hint="eastAsia"/>
          <w:lang w:val="en-US" w:eastAsia="zh-CN"/>
        </w:rPr>
        <w:t>二、核心研究方法</w:t>
      </w:r>
      <w:r>
        <w:tab/>
      </w:r>
      <w:r>
        <w:fldChar w:fldCharType="begin"/>
      </w:r>
      <w:r>
        <w:instrText xml:space="preserve"> PAGEREF _Toc1353230426 \h </w:instrText>
      </w:r>
      <w:r>
        <w:fldChar w:fldCharType="separate"/>
      </w:r>
      <w:r>
        <w:t>11</w:t>
      </w:r>
      <w:r>
        <w:fldChar w:fldCharType="end"/>
      </w:r>
      <w:r>
        <w:rPr>
          <w:rFonts w:hint="eastAsia" w:ascii="黑体" w:hAnsi="黑体" w:eastAsia="黑体" w:cs="黑体"/>
          <w:bCs/>
          <w:color w:val="auto"/>
          <w:szCs w:val="32"/>
          <w:lang w:val="en-US" w:eastAsia="zh-CN"/>
        </w:rPr>
        <w:fldChar w:fldCharType="end"/>
      </w:r>
    </w:p>
    <w:p w14:paraId="40DEA8A4">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_Toc1891948052 </w:instrText>
      </w:r>
      <w:r>
        <w:rPr>
          <w:rFonts w:hint="eastAsia" w:ascii="黑体" w:hAnsi="黑体" w:eastAsia="黑体" w:cs="黑体"/>
          <w:bCs/>
          <w:szCs w:val="32"/>
          <w:lang w:val="en-US" w:eastAsia="zh-CN"/>
        </w:rPr>
        <w:fldChar w:fldCharType="separate"/>
      </w:r>
      <w:r>
        <w:rPr>
          <w:rFonts w:hint="eastAsia"/>
          <w:lang w:val="en-US" w:eastAsia="zh-CN"/>
        </w:rPr>
        <w:t>三、主要创新点</w:t>
      </w:r>
      <w:r>
        <w:tab/>
      </w:r>
      <w:r>
        <w:fldChar w:fldCharType="begin"/>
      </w:r>
      <w:r>
        <w:instrText xml:space="preserve"> PAGEREF _Toc1891948052 \h </w:instrText>
      </w:r>
      <w:r>
        <w:fldChar w:fldCharType="separate"/>
      </w:r>
      <w:r>
        <w:t>12</w:t>
      </w:r>
      <w:r>
        <w:fldChar w:fldCharType="end"/>
      </w:r>
      <w:r>
        <w:rPr>
          <w:rFonts w:hint="eastAsia" w:ascii="黑体" w:hAnsi="黑体" w:eastAsia="黑体" w:cs="黑体"/>
          <w:bCs/>
          <w:color w:val="auto"/>
          <w:szCs w:val="32"/>
          <w:lang w:val="en-US" w:eastAsia="zh-CN"/>
        </w:rPr>
        <w:fldChar w:fldCharType="end"/>
      </w:r>
    </w:p>
    <w:p w14:paraId="3416338D">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_Toc180548835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核心概念界定与理论基础</w:t>
      </w:r>
      <w:r>
        <w:tab/>
      </w:r>
      <w:r>
        <w:fldChar w:fldCharType="begin"/>
      </w:r>
      <w:r>
        <w:instrText xml:space="preserve"> PAGEREF _Toc180548835 \h </w:instrText>
      </w:r>
      <w:r>
        <w:fldChar w:fldCharType="separate"/>
      </w:r>
      <w:r>
        <w:t>14</w:t>
      </w:r>
      <w:r>
        <w:fldChar w:fldCharType="end"/>
      </w:r>
      <w:r>
        <w:rPr>
          <w:rFonts w:hint="eastAsia" w:ascii="黑体" w:hAnsi="黑体" w:eastAsia="黑体" w:cs="黑体"/>
          <w:bCs/>
          <w:color w:val="auto"/>
          <w:szCs w:val="32"/>
          <w:lang w:val="en-US" w:eastAsia="zh-CN"/>
        </w:rPr>
        <w:fldChar w:fldCharType="end"/>
      </w:r>
    </w:p>
    <w:p w14:paraId="245C6590">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_Toc89876634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基督教仁爱观念的核心内涵与历史演进</w:t>
      </w:r>
      <w:r>
        <w:tab/>
      </w:r>
      <w:r>
        <w:fldChar w:fldCharType="begin"/>
      </w:r>
      <w:r>
        <w:instrText xml:space="preserve"> PAGEREF _Toc89876634 \h </w:instrText>
      </w:r>
      <w:r>
        <w:fldChar w:fldCharType="separate"/>
      </w:r>
      <w:r>
        <w:t>14</w:t>
      </w:r>
      <w:r>
        <w:fldChar w:fldCharType="end"/>
      </w:r>
      <w:r>
        <w:rPr>
          <w:rFonts w:hint="eastAsia" w:ascii="黑体" w:hAnsi="黑体" w:eastAsia="黑体" w:cs="黑体"/>
          <w:bCs/>
          <w:color w:val="auto"/>
          <w:szCs w:val="32"/>
          <w:lang w:val="en-US" w:eastAsia="zh-CN"/>
        </w:rPr>
        <w:fldChar w:fldCharType="end"/>
      </w:r>
    </w:p>
    <w:p w14:paraId="7F4117E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_Toc875583797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Agape的神学本源：从希腊语汇到基督教伦理</w:t>
      </w:r>
      <w:r>
        <w:tab/>
      </w:r>
      <w:r>
        <w:fldChar w:fldCharType="begin"/>
      </w:r>
      <w:r>
        <w:instrText xml:space="preserve"> PAGEREF _Toc875583797 \h </w:instrText>
      </w:r>
      <w:r>
        <w:fldChar w:fldCharType="separate"/>
      </w:r>
      <w:r>
        <w:t>14</w:t>
      </w:r>
      <w:r>
        <w:fldChar w:fldCharType="end"/>
      </w:r>
      <w:r>
        <w:rPr>
          <w:rFonts w:hint="eastAsia" w:ascii="黑体" w:hAnsi="黑体" w:eastAsia="黑体" w:cs="黑体"/>
          <w:bCs/>
          <w:color w:val="auto"/>
          <w:szCs w:val="32"/>
          <w:lang w:val="en-US" w:eastAsia="zh-CN"/>
        </w:rPr>
        <w:fldChar w:fldCharType="end"/>
      </w:r>
    </w:p>
    <w:p w14:paraId="3EC48984">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_Toc1378926935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r>
        <w:tab/>
      </w:r>
      <w:r>
        <w:fldChar w:fldCharType="begin"/>
      </w:r>
      <w:r>
        <w:instrText xml:space="preserve"> PAGEREF _Toc1378926935 \h </w:instrText>
      </w:r>
      <w:r>
        <w:fldChar w:fldCharType="separate"/>
      </w:r>
      <w:r>
        <w:t>15</w:t>
      </w:r>
      <w:r>
        <w:fldChar w:fldCharType="end"/>
      </w:r>
      <w:r>
        <w:rPr>
          <w:rFonts w:hint="eastAsia" w:ascii="黑体" w:hAnsi="黑体" w:eastAsia="黑体" w:cs="黑体"/>
          <w:bCs/>
          <w:color w:val="auto"/>
          <w:szCs w:val="32"/>
          <w:lang w:val="en-US" w:eastAsia="zh-CN"/>
        </w:rPr>
        <w:fldChar w:fldCharType="end"/>
      </w:r>
    </w:p>
    <w:p w14:paraId="37D97A2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_Toc2128961768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当代中国基督教仁爱观念的实践特征与世俗化趋势</w:t>
      </w:r>
      <w:r>
        <w:tab/>
      </w:r>
      <w:r>
        <w:fldChar w:fldCharType="begin"/>
      </w:r>
      <w:r>
        <w:instrText xml:space="preserve"> PAGEREF _Toc2128961768 \h </w:instrText>
      </w:r>
      <w:r>
        <w:fldChar w:fldCharType="separate"/>
      </w:r>
      <w:r>
        <w:t>16</w:t>
      </w:r>
      <w:r>
        <w:fldChar w:fldCharType="end"/>
      </w:r>
      <w:r>
        <w:rPr>
          <w:rFonts w:hint="eastAsia" w:ascii="黑体" w:hAnsi="黑体" w:eastAsia="黑体" w:cs="黑体"/>
          <w:bCs/>
          <w:color w:val="auto"/>
          <w:szCs w:val="32"/>
          <w:lang w:val="en-US" w:eastAsia="zh-CN"/>
        </w:rPr>
        <w:fldChar w:fldCharType="end"/>
      </w:r>
    </w:p>
    <w:p w14:paraId="6882BE8B">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_Toc87908462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社会主义核心价值观的核心要义与价值追求</w:t>
      </w:r>
      <w:r>
        <w:tab/>
      </w:r>
      <w:r>
        <w:fldChar w:fldCharType="begin"/>
      </w:r>
      <w:r>
        <w:instrText xml:space="preserve"> PAGEREF _Toc87908462 \h </w:instrText>
      </w:r>
      <w:r>
        <w:fldChar w:fldCharType="separate"/>
      </w:r>
      <w:r>
        <w:t>18</w:t>
      </w:r>
      <w:r>
        <w:fldChar w:fldCharType="end"/>
      </w:r>
      <w:r>
        <w:rPr>
          <w:rFonts w:hint="eastAsia" w:ascii="黑体" w:hAnsi="黑体" w:eastAsia="黑体" w:cs="黑体"/>
          <w:bCs/>
          <w:color w:val="auto"/>
          <w:szCs w:val="32"/>
          <w:lang w:val="en-US" w:eastAsia="zh-CN"/>
        </w:rPr>
        <w:fldChar w:fldCharType="end"/>
      </w:r>
    </w:p>
    <w:p w14:paraId="093AFF2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_Toc8771698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三个层面的价值内涵与逻辑关联</w:t>
      </w:r>
      <w:r>
        <w:tab/>
      </w:r>
      <w:r>
        <w:fldChar w:fldCharType="begin"/>
      </w:r>
      <w:r>
        <w:instrText xml:space="preserve"> PAGEREF _Toc8771698 \h </w:instrText>
      </w:r>
      <w:r>
        <w:fldChar w:fldCharType="separate"/>
      </w:r>
      <w:r>
        <w:t>18</w:t>
      </w:r>
      <w:r>
        <w:fldChar w:fldCharType="end"/>
      </w:r>
      <w:r>
        <w:rPr>
          <w:rFonts w:hint="eastAsia" w:ascii="黑体" w:hAnsi="黑体" w:eastAsia="黑体" w:cs="黑体"/>
          <w:bCs/>
          <w:color w:val="auto"/>
          <w:szCs w:val="32"/>
          <w:lang w:val="en-US" w:eastAsia="zh-CN"/>
        </w:rPr>
        <w:fldChar w:fldCharType="end"/>
      </w:r>
    </w:p>
    <w:p w14:paraId="31778BA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_Toc1397040290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核心价值观对宗教领域的引领功能</w:t>
      </w:r>
      <w:r>
        <w:tab/>
      </w:r>
      <w:r>
        <w:fldChar w:fldCharType="begin"/>
      </w:r>
      <w:r>
        <w:instrText xml:space="preserve"> PAGEREF _Toc1397040290 \h </w:instrText>
      </w:r>
      <w:r>
        <w:fldChar w:fldCharType="separate"/>
      </w:r>
      <w:r>
        <w:t>18</w:t>
      </w:r>
      <w:r>
        <w:fldChar w:fldCharType="end"/>
      </w:r>
      <w:r>
        <w:rPr>
          <w:rFonts w:hint="eastAsia" w:ascii="黑体" w:hAnsi="黑体" w:eastAsia="黑体" w:cs="黑体"/>
          <w:bCs/>
          <w:color w:val="auto"/>
          <w:szCs w:val="32"/>
          <w:lang w:val="en-US" w:eastAsia="zh-CN"/>
        </w:rPr>
        <w:fldChar w:fldCharType="end"/>
      </w:r>
    </w:p>
    <w:p w14:paraId="2C0CFBE9">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_Toc1617441379 </w:instrText>
      </w:r>
      <w:r>
        <w:rPr>
          <w:rFonts w:hint="eastAsia" w:ascii="黑体" w:hAnsi="黑体" w:eastAsia="黑体" w:cs="黑体"/>
          <w:bCs/>
          <w:szCs w:val="32"/>
          <w:lang w:val="en-US" w:eastAsia="zh-CN"/>
        </w:rPr>
        <w:fldChar w:fldCharType="separate"/>
      </w:r>
      <w:r>
        <w:t>第三节 研究的理论基础与分析框架</w:t>
      </w:r>
      <w:r>
        <w:tab/>
      </w:r>
      <w:r>
        <w:fldChar w:fldCharType="begin"/>
      </w:r>
      <w:r>
        <w:instrText xml:space="preserve"> PAGEREF _Toc1617441379 \h </w:instrText>
      </w:r>
      <w:r>
        <w:fldChar w:fldCharType="separate"/>
      </w:r>
      <w:r>
        <w:t>20</w:t>
      </w:r>
      <w:r>
        <w:fldChar w:fldCharType="end"/>
      </w:r>
      <w:r>
        <w:rPr>
          <w:rFonts w:hint="eastAsia" w:ascii="黑体" w:hAnsi="黑体" w:eastAsia="黑体" w:cs="黑体"/>
          <w:bCs/>
          <w:color w:val="auto"/>
          <w:szCs w:val="32"/>
          <w:lang w:val="en-US" w:eastAsia="zh-CN"/>
        </w:rPr>
        <w:fldChar w:fldCharType="end"/>
      </w:r>
    </w:p>
    <w:p w14:paraId="30E5EB9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_Toc1489253127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中国特色社会主义宗教理论：政策合法性框架</w:t>
      </w:r>
      <w:r>
        <w:tab/>
      </w:r>
      <w:r>
        <w:fldChar w:fldCharType="begin"/>
      </w:r>
      <w:r>
        <w:instrText xml:space="preserve"> PAGEREF _Toc1489253127 \h </w:instrText>
      </w:r>
      <w:r>
        <w:fldChar w:fldCharType="separate"/>
      </w:r>
      <w:r>
        <w:t>20</w:t>
      </w:r>
      <w:r>
        <w:fldChar w:fldCharType="end"/>
      </w:r>
      <w:r>
        <w:rPr>
          <w:rFonts w:hint="eastAsia" w:ascii="黑体" w:hAnsi="黑体" w:eastAsia="黑体" w:cs="黑体"/>
          <w:bCs/>
          <w:color w:val="auto"/>
          <w:szCs w:val="32"/>
          <w:lang w:val="en-US" w:eastAsia="zh-CN"/>
        </w:rPr>
        <w:fldChar w:fldCharType="end"/>
      </w:r>
    </w:p>
    <w:p w14:paraId="52D4D7A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_Toc955399704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r>
        <w:tab/>
      </w:r>
      <w:r>
        <w:fldChar w:fldCharType="begin"/>
      </w:r>
      <w:r>
        <w:instrText xml:space="preserve"> PAGEREF _Toc955399704 \h </w:instrText>
      </w:r>
      <w:r>
        <w:fldChar w:fldCharType="separate"/>
      </w:r>
      <w:r>
        <w:t>20</w:t>
      </w:r>
      <w:r>
        <w:fldChar w:fldCharType="end"/>
      </w:r>
      <w:r>
        <w:rPr>
          <w:rFonts w:hint="eastAsia" w:ascii="黑体" w:hAnsi="黑体" w:eastAsia="黑体" w:cs="黑体"/>
          <w:bCs/>
          <w:color w:val="auto"/>
          <w:szCs w:val="32"/>
          <w:lang w:val="en-US" w:eastAsia="zh-CN"/>
        </w:rPr>
        <w:fldChar w:fldCharType="end"/>
      </w:r>
    </w:p>
    <w:p w14:paraId="4990861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_Toc667596509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交叠共识理论：价值对话框架</w:t>
      </w:r>
      <w:r>
        <w:tab/>
      </w:r>
      <w:r>
        <w:fldChar w:fldCharType="begin"/>
      </w:r>
      <w:r>
        <w:instrText xml:space="preserve"> PAGEREF _Toc667596509 \h </w:instrText>
      </w:r>
      <w:r>
        <w:fldChar w:fldCharType="separate"/>
      </w:r>
      <w:r>
        <w:t>21</w:t>
      </w:r>
      <w:r>
        <w:fldChar w:fldCharType="end"/>
      </w:r>
      <w:r>
        <w:rPr>
          <w:rFonts w:hint="eastAsia" w:ascii="黑体" w:hAnsi="黑体" w:eastAsia="黑体" w:cs="黑体"/>
          <w:bCs/>
          <w:color w:val="auto"/>
          <w:szCs w:val="32"/>
          <w:lang w:val="en-US" w:eastAsia="zh-CN"/>
        </w:rPr>
        <w:fldChar w:fldCharType="end"/>
      </w:r>
    </w:p>
    <w:p w14:paraId="790F5CA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_Toc1839954835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处境化神学理论：教义诠释创新框架</w:t>
      </w:r>
      <w:r>
        <w:tab/>
      </w:r>
      <w:r>
        <w:fldChar w:fldCharType="begin"/>
      </w:r>
      <w:r>
        <w:instrText xml:space="preserve"> PAGEREF _Toc1839954835 \h </w:instrText>
      </w:r>
      <w:r>
        <w:fldChar w:fldCharType="separate"/>
      </w:r>
      <w:r>
        <w:t>21</w:t>
      </w:r>
      <w:r>
        <w:fldChar w:fldCharType="end"/>
      </w:r>
      <w:r>
        <w:rPr>
          <w:rFonts w:hint="eastAsia" w:ascii="黑体" w:hAnsi="黑体" w:eastAsia="黑体" w:cs="黑体"/>
          <w:bCs/>
          <w:color w:val="auto"/>
          <w:szCs w:val="32"/>
          <w:lang w:val="en-US" w:eastAsia="zh-CN"/>
        </w:rPr>
        <w:fldChar w:fldCharType="end"/>
      </w:r>
    </w:p>
    <w:p w14:paraId="4DD1BD9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_Toc356395045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研究边界与理论承诺</w:t>
      </w:r>
      <w:r>
        <w:tab/>
      </w:r>
      <w:r>
        <w:fldChar w:fldCharType="begin"/>
      </w:r>
      <w:r>
        <w:instrText xml:space="preserve"> PAGEREF _Toc356395045 \h </w:instrText>
      </w:r>
      <w:r>
        <w:fldChar w:fldCharType="separate"/>
      </w:r>
      <w:r>
        <w:t>22</w:t>
      </w:r>
      <w:r>
        <w:fldChar w:fldCharType="end"/>
      </w:r>
      <w:r>
        <w:rPr>
          <w:rFonts w:hint="eastAsia" w:ascii="黑体" w:hAnsi="黑体" w:eastAsia="黑体" w:cs="黑体"/>
          <w:bCs/>
          <w:color w:val="auto"/>
          <w:szCs w:val="32"/>
          <w:lang w:val="en-US" w:eastAsia="zh-CN"/>
        </w:rPr>
        <w:fldChar w:fldCharType="end"/>
      </w:r>
    </w:p>
    <w:p w14:paraId="6F066A26">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_Toc599629832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基督教仁爱观念与社会主义核心价值观的契合性分析</w:t>
      </w:r>
      <w:r>
        <w:tab/>
      </w:r>
      <w:r>
        <w:fldChar w:fldCharType="begin"/>
      </w:r>
      <w:r>
        <w:instrText xml:space="preserve"> PAGEREF _Toc599629832 \h </w:instrText>
      </w:r>
      <w:r>
        <w:fldChar w:fldCharType="separate"/>
      </w:r>
      <w:r>
        <w:t>23</w:t>
      </w:r>
      <w:r>
        <w:fldChar w:fldCharType="end"/>
      </w:r>
      <w:r>
        <w:rPr>
          <w:rFonts w:hint="eastAsia" w:ascii="黑体" w:hAnsi="黑体" w:eastAsia="黑体" w:cs="黑体"/>
          <w:bCs/>
          <w:color w:val="auto"/>
          <w:szCs w:val="32"/>
          <w:lang w:val="en-US" w:eastAsia="zh-CN"/>
        </w:rPr>
        <w:fldChar w:fldCharType="end"/>
      </w:r>
    </w:p>
    <w:p w14:paraId="71E90082">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_Toc1985314700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价值追求的契合：对人的尊严与福祉的共同关切</w:t>
      </w:r>
      <w:r>
        <w:tab/>
      </w:r>
      <w:r>
        <w:fldChar w:fldCharType="begin"/>
      </w:r>
      <w:r>
        <w:instrText xml:space="preserve"> PAGEREF _Toc1985314700 \h </w:instrText>
      </w:r>
      <w:r>
        <w:fldChar w:fldCharType="separate"/>
      </w:r>
      <w:r>
        <w:t>23</w:t>
      </w:r>
      <w:r>
        <w:fldChar w:fldCharType="end"/>
      </w:r>
      <w:r>
        <w:rPr>
          <w:rFonts w:hint="eastAsia" w:ascii="黑体" w:hAnsi="黑体" w:eastAsia="黑体" w:cs="黑体"/>
          <w:bCs/>
          <w:color w:val="auto"/>
          <w:szCs w:val="32"/>
          <w:lang w:val="en-US" w:eastAsia="zh-CN"/>
        </w:rPr>
        <w:fldChar w:fldCharType="end"/>
      </w:r>
    </w:p>
    <w:p w14:paraId="02DA6FC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_Toc1730739461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r>
        <w:tab/>
      </w:r>
      <w:r>
        <w:fldChar w:fldCharType="begin"/>
      </w:r>
      <w:r>
        <w:instrText xml:space="preserve"> PAGEREF _Toc1730739461 \h </w:instrText>
      </w:r>
      <w:r>
        <w:fldChar w:fldCharType="separate"/>
      </w:r>
      <w:r>
        <w:t>23</w:t>
      </w:r>
      <w:r>
        <w:fldChar w:fldCharType="end"/>
      </w:r>
      <w:r>
        <w:rPr>
          <w:rFonts w:hint="eastAsia" w:ascii="黑体" w:hAnsi="黑体" w:eastAsia="黑体" w:cs="黑体"/>
          <w:bCs/>
          <w:color w:val="auto"/>
          <w:szCs w:val="32"/>
          <w:lang w:val="en-US" w:eastAsia="zh-CN"/>
        </w:rPr>
        <w:fldChar w:fldCharType="end"/>
      </w:r>
    </w:p>
    <w:p w14:paraId="0D53B84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_Toc872122412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r>
        <w:tab/>
      </w:r>
      <w:r>
        <w:fldChar w:fldCharType="begin"/>
      </w:r>
      <w:r>
        <w:instrText xml:space="preserve"> PAGEREF _Toc872122412 \h </w:instrText>
      </w:r>
      <w:r>
        <w:fldChar w:fldCharType="separate"/>
      </w:r>
      <w:r>
        <w:t>23</w:t>
      </w:r>
      <w:r>
        <w:fldChar w:fldCharType="end"/>
      </w:r>
      <w:r>
        <w:rPr>
          <w:rFonts w:hint="eastAsia" w:ascii="黑体" w:hAnsi="黑体" w:eastAsia="黑体" w:cs="黑体"/>
          <w:bCs/>
          <w:color w:val="auto"/>
          <w:szCs w:val="32"/>
          <w:lang w:val="en-US" w:eastAsia="zh-CN"/>
        </w:rPr>
        <w:fldChar w:fldCharType="end"/>
      </w:r>
    </w:p>
    <w:p w14:paraId="0E3898B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_Toc1185487709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二者价值追求的交叠共识：差异中的统一</w:t>
      </w:r>
      <w:r>
        <w:tab/>
      </w:r>
      <w:r>
        <w:fldChar w:fldCharType="begin"/>
      </w:r>
      <w:r>
        <w:instrText xml:space="preserve"> PAGEREF _Toc1185487709 \h </w:instrText>
      </w:r>
      <w:r>
        <w:fldChar w:fldCharType="separate"/>
      </w:r>
      <w:r>
        <w:t>24</w:t>
      </w:r>
      <w:r>
        <w:fldChar w:fldCharType="end"/>
      </w:r>
      <w:r>
        <w:rPr>
          <w:rFonts w:hint="eastAsia" w:ascii="黑体" w:hAnsi="黑体" w:eastAsia="黑体" w:cs="黑体"/>
          <w:bCs/>
          <w:color w:val="auto"/>
          <w:szCs w:val="32"/>
          <w:lang w:val="en-US" w:eastAsia="zh-CN"/>
        </w:rPr>
        <w:fldChar w:fldCharType="end"/>
      </w:r>
    </w:p>
    <w:p w14:paraId="006386E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_Toc138648297 </w:instrText>
      </w:r>
      <w:r>
        <w:rPr>
          <w:rFonts w:hint="eastAsia" w:ascii="黑体" w:hAnsi="黑体" w:eastAsia="黑体" w:cs="黑体"/>
          <w:bCs/>
          <w:szCs w:val="32"/>
          <w:lang w:val="en-US" w:eastAsia="zh-CN"/>
        </w:rPr>
        <w:fldChar w:fldCharType="separate"/>
      </w:r>
      <w:r>
        <w:rPr>
          <w:rFonts w:hint="eastAsia"/>
        </w:rPr>
        <w:t>四、“公正”与“平等”：基督教社会伦理与核心价值观的深层契合</w:t>
      </w:r>
      <w:r>
        <w:tab/>
      </w:r>
      <w:r>
        <w:fldChar w:fldCharType="begin"/>
      </w:r>
      <w:r>
        <w:instrText xml:space="preserve"> PAGEREF _Toc138648297 \h </w:instrText>
      </w:r>
      <w:r>
        <w:fldChar w:fldCharType="separate"/>
      </w:r>
      <w:r>
        <w:t>25</w:t>
      </w:r>
      <w:r>
        <w:fldChar w:fldCharType="end"/>
      </w:r>
      <w:r>
        <w:rPr>
          <w:rFonts w:hint="eastAsia" w:ascii="黑体" w:hAnsi="黑体" w:eastAsia="黑体" w:cs="黑体"/>
          <w:bCs/>
          <w:color w:val="auto"/>
          <w:szCs w:val="32"/>
          <w:lang w:val="en-US" w:eastAsia="zh-CN"/>
        </w:rPr>
        <w:fldChar w:fldCharType="end"/>
      </w:r>
    </w:p>
    <w:p w14:paraId="033FA742">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_Toc242170684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社会功能的契合：对社会和谐与稳定的共同维护</w:t>
      </w:r>
      <w:r>
        <w:tab/>
      </w:r>
      <w:r>
        <w:fldChar w:fldCharType="begin"/>
      </w:r>
      <w:r>
        <w:instrText xml:space="preserve"> PAGEREF _Toc242170684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749D14A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_Toc681174923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基督教仁爱观念的社会调节与伦理约束功能</w:t>
      </w:r>
      <w:r>
        <w:tab/>
      </w:r>
      <w:r>
        <w:fldChar w:fldCharType="begin"/>
      </w:r>
      <w:r>
        <w:instrText xml:space="preserve"> PAGEREF _Toc681174923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62E7557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_Toc271608704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核心价值观的社会整合与公序良俗维护功能</w:t>
      </w:r>
      <w:r>
        <w:tab/>
      </w:r>
      <w:r>
        <w:fldChar w:fldCharType="begin"/>
      </w:r>
      <w:r>
        <w:instrText xml:space="preserve"> PAGEREF _Toc271608704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65DDEC8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_Toc1524738253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二者社会功能的互补性竞争关系</w:t>
      </w:r>
      <w:r>
        <w:tab/>
      </w:r>
      <w:r>
        <w:fldChar w:fldCharType="begin"/>
      </w:r>
      <w:r>
        <w:instrText xml:space="preserve"> PAGEREF _Toc1524738253 \h </w:instrText>
      </w:r>
      <w:r>
        <w:fldChar w:fldCharType="separate"/>
      </w:r>
      <w:r>
        <w:t>28</w:t>
      </w:r>
      <w:r>
        <w:fldChar w:fldCharType="end"/>
      </w:r>
      <w:r>
        <w:rPr>
          <w:rFonts w:hint="eastAsia" w:ascii="黑体" w:hAnsi="黑体" w:eastAsia="黑体" w:cs="黑体"/>
          <w:bCs/>
          <w:color w:val="auto"/>
          <w:szCs w:val="32"/>
          <w:lang w:val="en-US" w:eastAsia="zh-CN"/>
        </w:rPr>
        <w:fldChar w:fldCharType="end"/>
      </w:r>
    </w:p>
    <w:p w14:paraId="181160F6">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_Toc353458520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文化内核的契合：对中华优秀传统文化的共同吸纳</w:t>
      </w:r>
      <w:r>
        <w:tab/>
      </w:r>
      <w:r>
        <w:fldChar w:fldCharType="begin"/>
      </w:r>
      <w:r>
        <w:instrText xml:space="preserve"> PAGEREF _Toc353458520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3756697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_Toc637578038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r>
        <w:tab/>
      </w:r>
      <w:r>
        <w:fldChar w:fldCharType="begin"/>
      </w:r>
      <w:r>
        <w:instrText xml:space="preserve"> PAGEREF _Toc637578038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49CBA0D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_Toc1978169783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社会主义核心价值观对中华优秀传统文化的传承发展</w:t>
      </w:r>
      <w:r>
        <w:tab/>
      </w:r>
      <w:r>
        <w:fldChar w:fldCharType="begin"/>
      </w:r>
      <w:r>
        <w:instrText xml:space="preserve"> PAGEREF _Toc1978169783 \h </w:instrText>
      </w:r>
      <w:r>
        <w:fldChar w:fldCharType="separate"/>
      </w:r>
      <w:r>
        <w:t>31</w:t>
      </w:r>
      <w:r>
        <w:fldChar w:fldCharType="end"/>
      </w:r>
      <w:r>
        <w:rPr>
          <w:rFonts w:hint="eastAsia" w:ascii="黑体" w:hAnsi="黑体" w:eastAsia="黑体" w:cs="黑体"/>
          <w:bCs/>
          <w:color w:val="auto"/>
          <w:szCs w:val="32"/>
          <w:lang w:val="en-US" w:eastAsia="zh-CN"/>
        </w:rPr>
        <w:fldChar w:fldCharType="end"/>
      </w:r>
    </w:p>
    <w:p w14:paraId="5BABC39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_Toc1905203674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r>
        <w:tab/>
      </w:r>
      <w:r>
        <w:fldChar w:fldCharType="begin"/>
      </w:r>
      <w:r>
        <w:instrText xml:space="preserve"> PAGEREF _Toc1905203674 \h </w:instrText>
      </w:r>
      <w:r>
        <w:fldChar w:fldCharType="separate"/>
      </w:r>
      <w:r>
        <w:t>31</w:t>
      </w:r>
      <w:r>
        <w:fldChar w:fldCharType="end"/>
      </w:r>
      <w:r>
        <w:rPr>
          <w:rFonts w:hint="eastAsia" w:ascii="黑体" w:hAnsi="黑体" w:eastAsia="黑体" w:cs="黑体"/>
          <w:bCs/>
          <w:color w:val="auto"/>
          <w:szCs w:val="32"/>
          <w:lang w:val="en-US" w:eastAsia="zh-CN"/>
        </w:rPr>
        <w:fldChar w:fldCharType="end"/>
      </w:r>
    </w:p>
    <w:p w14:paraId="600E684B">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_Toc1776972148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基督教仁爱观念与核心价值观融合的现实障碍</w:t>
      </w:r>
      <w:r>
        <w:tab/>
      </w:r>
      <w:r>
        <w:fldChar w:fldCharType="begin"/>
      </w:r>
      <w:r>
        <w:instrText xml:space="preserve"> PAGEREF _Toc1776972148 \h </w:instrText>
      </w:r>
      <w:r>
        <w:fldChar w:fldCharType="separate"/>
      </w:r>
      <w:r>
        <w:t>33</w:t>
      </w:r>
      <w:r>
        <w:fldChar w:fldCharType="end"/>
      </w:r>
      <w:r>
        <w:rPr>
          <w:rFonts w:hint="eastAsia" w:ascii="黑体" w:hAnsi="黑体" w:eastAsia="黑体" w:cs="黑体"/>
          <w:bCs/>
          <w:color w:val="auto"/>
          <w:szCs w:val="32"/>
          <w:lang w:val="en-US" w:eastAsia="zh-CN"/>
        </w:rPr>
        <w:fldChar w:fldCharType="end"/>
      </w:r>
    </w:p>
    <w:p w14:paraId="403D1429">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_Toc515812607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认知层面的结构性壁垒</w:t>
      </w:r>
      <w:r>
        <w:tab/>
      </w:r>
      <w:r>
        <w:fldChar w:fldCharType="begin"/>
      </w:r>
      <w:r>
        <w:instrText xml:space="preserve"> PAGEREF _Toc515812607 \h </w:instrText>
      </w:r>
      <w:r>
        <w:fldChar w:fldCharType="separate"/>
      </w:r>
      <w:r>
        <w:t>33</w:t>
      </w:r>
      <w:r>
        <w:fldChar w:fldCharType="end"/>
      </w:r>
      <w:r>
        <w:rPr>
          <w:rFonts w:hint="eastAsia" w:ascii="黑体" w:hAnsi="黑体" w:eastAsia="黑体" w:cs="黑体"/>
          <w:bCs/>
          <w:color w:val="auto"/>
          <w:szCs w:val="32"/>
          <w:lang w:val="en-US" w:eastAsia="zh-CN"/>
        </w:rPr>
        <w:fldChar w:fldCharType="end"/>
      </w:r>
    </w:p>
    <w:p w14:paraId="712EE2D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_Toc2018486557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r>
        <w:tab/>
      </w:r>
      <w:r>
        <w:fldChar w:fldCharType="begin"/>
      </w:r>
      <w:r>
        <w:instrText xml:space="preserve"> PAGEREF _Toc2018486557 \h </w:instrText>
      </w:r>
      <w:r>
        <w:fldChar w:fldCharType="separate"/>
      </w:r>
      <w:r>
        <w:t>33</w:t>
      </w:r>
      <w:r>
        <w:fldChar w:fldCharType="end"/>
      </w:r>
      <w:r>
        <w:rPr>
          <w:rFonts w:hint="eastAsia" w:ascii="黑体" w:hAnsi="黑体" w:eastAsia="黑体" w:cs="黑体"/>
          <w:bCs/>
          <w:color w:val="auto"/>
          <w:szCs w:val="32"/>
          <w:lang w:val="en-US" w:eastAsia="zh-CN"/>
        </w:rPr>
        <w:fldChar w:fldCharType="end"/>
      </w:r>
    </w:p>
    <w:p w14:paraId="059E892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_Toc904391840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非信众群体的历史记忆与刻板印象</w:t>
      </w:r>
      <w:r>
        <w:tab/>
      </w:r>
      <w:r>
        <w:fldChar w:fldCharType="begin"/>
      </w:r>
      <w:r>
        <w:instrText xml:space="preserve"> PAGEREF _Toc904391840 \h </w:instrText>
      </w:r>
      <w:r>
        <w:fldChar w:fldCharType="separate"/>
      </w:r>
      <w:r>
        <w:t>33</w:t>
      </w:r>
      <w:r>
        <w:fldChar w:fldCharType="end"/>
      </w:r>
      <w:r>
        <w:rPr>
          <w:rFonts w:hint="eastAsia" w:ascii="黑体" w:hAnsi="黑体" w:eastAsia="黑体" w:cs="黑体"/>
          <w:bCs/>
          <w:color w:val="auto"/>
          <w:szCs w:val="32"/>
          <w:lang w:val="en-US" w:eastAsia="zh-CN"/>
        </w:rPr>
        <w:fldChar w:fldCharType="end"/>
      </w:r>
    </w:p>
    <w:p w14:paraId="7818536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_Toc224401414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神学话语与政治话语的沟通鸿沟</w:t>
      </w:r>
      <w:r>
        <w:tab/>
      </w:r>
      <w:r>
        <w:fldChar w:fldCharType="begin"/>
      </w:r>
      <w:r>
        <w:instrText xml:space="preserve"> PAGEREF _Toc224401414 \h </w:instrText>
      </w:r>
      <w:r>
        <w:fldChar w:fldCharType="separate"/>
      </w:r>
      <w:r>
        <w:t>34</w:t>
      </w:r>
      <w:r>
        <w:fldChar w:fldCharType="end"/>
      </w:r>
      <w:r>
        <w:rPr>
          <w:rFonts w:hint="eastAsia" w:ascii="黑体" w:hAnsi="黑体" w:eastAsia="黑体" w:cs="黑体"/>
          <w:bCs/>
          <w:color w:val="auto"/>
          <w:szCs w:val="32"/>
          <w:lang w:val="en-US" w:eastAsia="zh-CN"/>
        </w:rPr>
        <w:fldChar w:fldCharType="end"/>
      </w:r>
    </w:p>
    <w:p w14:paraId="495EF346">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_Toc533280966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实践层面的形式化与功利化问题</w:t>
      </w:r>
      <w:r>
        <w:tab/>
      </w:r>
      <w:r>
        <w:fldChar w:fldCharType="begin"/>
      </w:r>
      <w:r>
        <w:instrText xml:space="preserve"> PAGEREF _Toc533280966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49442CE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_Toc1403936631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融合活动的象征性执行与形式化困境</w:t>
      </w:r>
      <w:r>
        <w:tab/>
      </w:r>
      <w:r>
        <w:fldChar w:fldCharType="begin"/>
      </w:r>
      <w:r>
        <w:instrText xml:space="preserve"> PAGEREF _Toc1403936631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16AE37E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_Toc1560127628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r>
        <w:tab/>
      </w:r>
      <w:r>
        <w:fldChar w:fldCharType="begin"/>
      </w:r>
      <w:r>
        <w:instrText xml:space="preserve"> PAGEREF _Toc1560127628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418427E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_Toc289713926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融合内容与群众真实需求的结构性脱节</w:t>
      </w:r>
      <w:r>
        <w:tab/>
      </w:r>
      <w:r>
        <w:fldChar w:fldCharType="begin"/>
      </w:r>
      <w:r>
        <w:instrText xml:space="preserve"> PAGEREF _Toc289713926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0FA5A8C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_Toc876526533 </w:instrText>
      </w:r>
      <w:r>
        <w:rPr>
          <w:rFonts w:hint="eastAsia" w:ascii="黑体" w:hAnsi="黑体" w:eastAsia="黑体" w:cs="黑体"/>
          <w:bCs/>
          <w:szCs w:val="32"/>
          <w:lang w:val="en-US" w:eastAsia="zh-CN"/>
        </w:rPr>
        <w:fldChar w:fldCharType="separate"/>
      </w:r>
      <w:r>
        <w:rPr>
          <w:rFonts w:hint="eastAsia"/>
        </w:rPr>
        <w:t>四、“公正”、“平等”价值在融合实践中的边缘化问题</w:t>
      </w:r>
      <w:r>
        <w:tab/>
      </w:r>
      <w:r>
        <w:fldChar w:fldCharType="begin"/>
      </w:r>
      <w:r>
        <w:instrText xml:space="preserve"> PAGEREF _Toc876526533 \h </w:instrText>
      </w:r>
      <w:r>
        <w:fldChar w:fldCharType="separate"/>
      </w:r>
      <w:r>
        <w:t>36</w:t>
      </w:r>
      <w:r>
        <w:fldChar w:fldCharType="end"/>
      </w:r>
      <w:r>
        <w:rPr>
          <w:rFonts w:hint="eastAsia" w:ascii="黑体" w:hAnsi="黑体" w:eastAsia="黑体" w:cs="黑体"/>
          <w:bCs/>
          <w:color w:val="auto"/>
          <w:szCs w:val="32"/>
          <w:lang w:val="en-US" w:eastAsia="zh-CN"/>
        </w:rPr>
        <w:fldChar w:fldCharType="end"/>
      </w:r>
    </w:p>
    <w:p w14:paraId="771B8445">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_Toc43621711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制度层面的保障缺位</w:t>
      </w:r>
      <w:r>
        <w:tab/>
      </w:r>
      <w:r>
        <w:fldChar w:fldCharType="begin"/>
      </w:r>
      <w:r>
        <w:instrText xml:space="preserve"> PAGEREF _Toc43621711 \h </w:instrText>
      </w:r>
      <w:r>
        <w:fldChar w:fldCharType="separate"/>
      </w:r>
      <w:r>
        <w:t>36</w:t>
      </w:r>
      <w:r>
        <w:fldChar w:fldCharType="end"/>
      </w:r>
      <w:r>
        <w:rPr>
          <w:rFonts w:hint="eastAsia" w:ascii="黑体" w:hAnsi="黑体" w:eastAsia="黑体" w:cs="黑体"/>
          <w:bCs/>
          <w:color w:val="auto"/>
          <w:szCs w:val="32"/>
          <w:lang w:val="en-US" w:eastAsia="zh-CN"/>
        </w:rPr>
        <w:fldChar w:fldCharType="end"/>
      </w:r>
    </w:p>
    <w:p w14:paraId="2741F04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_Toc858173150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引导机制的不健全与权责模糊</w:t>
      </w:r>
      <w:r>
        <w:tab/>
      </w:r>
      <w:r>
        <w:fldChar w:fldCharType="begin"/>
      </w:r>
      <w:r>
        <w:instrText xml:space="preserve"> PAGEREF _Toc858173150 \h </w:instrText>
      </w:r>
      <w:r>
        <w:fldChar w:fldCharType="separate"/>
      </w:r>
      <w:r>
        <w:t>36</w:t>
      </w:r>
      <w:r>
        <w:fldChar w:fldCharType="end"/>
      </w:r>
      <w:r>
        <w:rPr>
          <w:rFonts w:hint="eastAsia" w:ascii="黑体" w:hAnsi="黑体" w:eastAsia="黑体" w:cs="黑体"/>
          <w:bCs/>
          <w:color w:val="auto"/>
          <w:szCs w:val="32"/>
          <w:lang w:val="en-US" w:eastAsia="zh-CN"/>
        </w:rPr>
        <w:fldChar w:fldCharType="end"/>
      </w:r>
    </w:p>
    <w:p w14:paraId="2161596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_Toc815958798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评估监督体系的缺位与指标虚化</w:t>
      </w:r>
      <w:r>
        <w:tab/>
      </w:r>
      <w:r>
        <w:fldChar w:fldCharType="begin"/>
      </w:r>
      <w:r>
        <w:instrText xml:space="preserve"> PAGEREF _Toc815958798 \h </w:instrText>
      </w:r>
      <w:r>
        <w:fldChar w:fldCharType="separate"/>
      </w:r>
      <w:r>
        <w:t>37</w:t>
      </w:r>
      <w:r>
        <w:fldChar w:fldCharType="end"/>
      </w:r>
      <w:r>
        <w:rPr>
          <w:rFonts w:hint="eastAsia" w:ascii="黑体" w:hAnsi="黑体" w:eastAsia="黑体" w:cs="黑体"/>
          <w:bCs/>
          <w:color w:val="auto"/>
          <w:szCs w:val="32"/>
          <w:lang w:val="en-US" w:eastAsia="zh-CN"/>
        </w:rPr>
        <w:fldChar w:fldCharType="end"/>
      </w:r>
    </w:p>
    <w:p w14:paraId="708960C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_Toc2136431891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基层宗教工作队伍的能力短板与培训缺失</w:t>
      </w:r>
      <w:r>
        <w:tab/>
      </w:r>
      <w:r>
        <w:fldChar w:fldCharType="begin"/>
      </w:r>
      <w:r>
        <w:instrText xml:space="preserve"> PAGEREF _Toc2136431891 \h </w:instrText>
      </w:r>
      <w:r>
        <w:fldChar w:fldCharType="separate"/>
      </w:r>
      <w:r>
        <w:t>37</w:t>
      </w:r>
      <w:r>
        <w:fldChar w:fldCharType="end"/>
      </w:r>
      <w:r>
        <w:rPr>
          <w:rFonts w:hint="eastAsia" w:ascii="黑体" w:hAnsi="黑体" w:eastAsia="黑体" w:cs="黑体"/>
          <w:bCs/>
          <w:color w:val="auto"/>
          <w:szCs w:val="32"/>
          <w:lang w:val="en-US" w:eastAsia="zh-CN"/>
        </w:rPr>
        <w:fldChar w:fldCharType="end"/>
      </w:r>
    </w:p>
    <w:p w14:paraId="31749F40">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_Toc1084214197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基督教仁爱观念与核心价值观的融合途径构建</w:t>
      </w:r>
      <w:r>
        <w:tab/>
      </w:r>
      <w:r>
        <w:fldChar w:fldCharType="begin"/>
      </w:r>
      <w:r>
        <w:instrText xml:space="preserve"> PAGEREF _Toc1084214197 \h </w:instrText>
      </w:r>
      <w:r>
        <w:fldChar w:fldCharType="separate"/>
      </w:r>
      <w:r>
        <w:t>38</w:t>
      </w:r>
      <w:r>
        <w:fldChar w:fldCharType="end"/>
      </w:r>
      <w:r>
        <w:rPr>
          <w:rFonts w:hint="eastAsia" w:ascii="黑体" w:hAnsi="黑体" w:eastAsia="黑体" w:cs="黑体"/>
          <w:bCs/>
          <w:color w:val="auto"/>
          <w:szCs w:val="32"/>
          <w:lang w:val="en-US" w:eastAsia="zh-CN"/>
        </w:rPr>
        <w:fldChar w:fldCharType="end"/>
      </w:r>
    </w:p>
    <w:p w14:paraId="2F9CA646">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_Toc989264184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教义阐释维度：构建本土化、时代化的仁爱话语体系</w:t>
      </w:r>
      <w:r>
        <w:tab/>
      </w:r>
      <w:r>
        <w:fldChar w:fldCharType="begin"/>
      </w:r>
      <w:r>
        <w:instrText xml:space="preserve"> PAGEREF _Toc989264184 \h </w:instrText>
      </w:r>
      <w:r>
        <w:fldChar w:fldCharType="separate"/>
      </w:r>
      <w:r>
        <w:t>38</w:t>
      </w:r>
      <w:r>
        <w:fldChar w:fldCharType="end"/>
      </w:r>
      <w:r>
        <w:rPr>
          <w:rFonts w:hint="eastAsia" w:ascii="黑体" w:hAnsi="黑体" w:eastAsia="黑体" w:cs="黑体"/>
          <w:bCs/>
          <w:color w:val="auto"/>
          <w:szCs w:val="32"/>
          <w:lang w:val="en-US" w:eastAsia="zh-CN"/>
        </w:rPr>
        <w:fldChar w:fldCharType="end"/>
      </w:r>
    </w:p>
    <w:p w14:paraId="6463DB3F">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_Toc744745414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r>
        <w:tab/>
      </w:r>
      <w:r>
        <w:fldChar w:fldCharType="begin"/>
      </w:r>
      <w:r>
        <w:instrText xml:space="preserve"> PAGEREF _Toc744745414 \h </w:instrText>
      </w:r>
      <w:r>
        <w:fldChar w:fldCharType="separate"/>
      </w:r>
      <w:r>
        <w:t>38</w:t>
      </w:r>
      <w:r>
        <w:fldChar w:fldCharType="end"/>
      </w:r>
      <w:r>
        <w:rPr>
          <w:rFonts w:hint="eastAsia" w:ascii="黑体" w:hAnsi="黑体" w:eastAsia="黑体" w:cs="黑体"/>
          <w:bCs/>
          <w:color w:val="auto"/>
          <w:szCs w:val="32"/>
          <w:lang w:val="en-US" w:eastAsia="zh-CN"/>
        </w:rPr>
        <w:fldChar w:fldCharType="end"/>
      </w:r>
    </w:p>
    <w:p w14:paraId="7252EFB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_Toc1401478382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r>
        <w:tab/>
      </w:r>
      <w:r>
        <w:fldChar w:fldCharType="begin"/>
      </w:r>
      <w:r>
        <w:instrText xml:space="preserve"> PAGEREF _Toc1401478382 \h </w:instrText>
      </w:r>
      <w:r>
        <w:fldChar w:fldCharType="separate"/>
      </w:r>
      <w:r>
        <w:t>38</w:t>
      </w:r>
      <w:r>
        <w:fldChar w:fldCharType="end"/>
      </w:r>
      <w:r>
        <w:rPr>
          <w:rFonts w:hint="eastAsia" w:ascii="黑体" w:hAnsi="黑体" w:eastAsia="黑体" w:cs="黑体"/>
          <w:bCs/>
          <w:color w:val="auto"/>
          <w:szCs w:val="32"/>
          <w:lang w:val="en-US" w:eastAsia="zh-CN"/>
        </w:rPr>
        <w:fldChar w:fldCharType="end"/>
      </w:r>
    </w:p>
    <w:p w14:paraId="0499236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_Toc1046525978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浙江神学院神学思想建设的实践引领</w:t>
      </w:r>
      <w:r>
        <w:tab/>
      </w:r>
      <w:r>
        <w:fldChar w:fldCharType="begin"/>
      </w:r>
      <w:r>
        <w:instrText xml:space="preserve"> PAGEREF _Toc1046525978 \h </w:instrText>
      </w:r>
      <w:r>
        <w:fldChar w:fldCharType="separate"/>
      </w:r>
      <w:r>
        <w:t>39</w:t>
      </w:r>
      <w:r>
        <w:fldChar w:fldCharType="end"/>
      </w:r>
      <w:r>
        <w:rPr>
          <w:rFonts w:hint="eastAsia" w:ascii="黑体" w:hAnsi="黑体" w:eastAsia="黑体" w:cs="黑体"/>
          <w:bCs/>
          <w:color w:val="auto"/>
          <w:szCs w:val="32"/>
          <w:lang w:val="en-US" w:eastAsia="zh-CN"/>
        </w:rPr>
        <w:fldChar w:fldCharType="end"/>
      </w:r>
    </w:p>
    <w:p w14:paraId="51B30B97">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_Toc1071043316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r>
        <w:tab/>
      </w:r>
      <w:r>
        <w:fldChar w:fldCharType="begin"/>
      </w:r>
      <w:r>
        <w:instrText xml:space="preserve"> PAGEREF _Toc1071043316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767EB0C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_Toc817082858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r>
        <w:tab/>
      </w:r>
      <w:r>
        <w:fldChar w:fldCharType="begin"/>
      </w:r>
      <w:r>
        <w:instrText xml:space="preserve"> PAGEREF _Toc817082858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7B26B60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_Toc1701155488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面向普通群众的认知科普与话语转换</w:t>
      </w:r>
      <w:r>
        <w:tab/>
      </w:r>
      <w:r>
        <w:fldChar w:fldCharType="begin"/>
      </w:r>
      <w:r>
        <w:instrText xml:space="preserve"> PAGEREF _Toc1701155488 \h </w:instrText>
      </w:r>
      <w:r>
        <w:fldChar w:fldCharType="separate"/>
      </w:r>
      <w:r>
        <w:t>43</w:t>
      </w:r>
      <w:r>
        <w:fldChar w:fldCharType="end"/>
      </w:r>
      <w:r>
        <w:rPr>
          <w:rFonts w:hint="eastAsia" w:ascii="黑体" w:hAnsi="黑体" w:eastAsia="黑体" w:cs="黑体"/>
          <w:bCs/>
          <w:color w:val="auto"/>
          <w:szCs w:val="32"/>
          <w:lang w:val="en-US" w:eastAsia="zh-CN"/>
        </w:rPr>
        <w:fldChar w:fldCharType="end"/>
      </w:r>
    </w:p>
    <w:p w14:paraId="607706B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_Toc1870494305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融合型文化载体的创新设计</w:t>
      </w:r>
      <w:r>
        <w:tab/>
      </w:r>
      <w:r>
        <w:fldChar w:fldCharType="begin"/>
      </w:r>
      <w:r>
        <w:instrText xml:space="preserve"> PAGEREF _Toc1870494305 \h </w:instrText>
      </w:r>
      <w:r>
        <w:fldChar w:fldCharType="separate"/>
      </w:r>
      <w:r>
        <w:t>43</w:t>
      </w:r>
      <w:r>
        <w:fldChar w:fldCharType="end"/>
      </w:r>
      <w:r>
        <w:rPr>
          <w:rFonts w:hint="eastAsia" w:ascii="黑体" w:hAnsi="黑体" w:eastAsia="黑体" w:cs="黑体"/>
          <w:bCs/>
          <w:color w:val="auto"/>
          <w:szCs w:val="32"/>
          <w:lang w:val="en-US" w:eastAsia="zh-CN"/>
        </w:rPr>
        <w:fldChar w:fldCharType="end"/>
      </w:r>
    </w:p>
    <w:p w14:paraId="7B9F9A61">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_Toc384675702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实践转化维度：搭建多元化的仁爱践行平台</w:t>
      </w:r>
      <w:r>
        <w:tab/>
      </w:r>
      <w:r>
        <w:fldChar w:fldCharType="begin"/>
      </w:r>
      <w:r>
        <w:instrText xml:space="preserve"> PAGEREF _Toc384675702 \h </w:instrText>
      </w:r>
      <w:r>
        <w:fldChar w:fldCharType="separate"/>
      </w:r>
      <w:r>
        <w:t>45</w:t>
      </w:r>
      <w:r>
        <w:fldChar w:fldCharType="end"/>
      </w:r>
      <w:r>
        <w:rPr>
          <w:rFonts w:hint="eastAsia" w:ascii="黑体" w:hAnsi="黑体" w:eastAsia="黑体" w:cs="黑体"/>
          <w:bCs/>
          <w:color w:val="auto"/>
          <w:szCs w:val="32"/>
          <w:lang w:val="en-US" w:eastAsia="zh-CN"/>
        </w:rPr>
        <w:fldChar w:fldCharType="end"/>
      </w:r>
    </w:p>
    <w:p w14:paraId="6E72E40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_Toc1318746044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r>
        <w:tab/>
      </w:r>
      <w:r>
        <w:fldChar w:fldCharType="begin"/>
      </w:r>
      <w:r>
        <w:instrText xml:space="preserve"> PAGEREF _Toc1318746044 \h </w:instrText>
      </w:r>
      <w:r>
        <w:fldChar w:fldCharType="separate"/>
      </w:r>
      <w:r>
        <w:t>45</w:t>
      </w:r>
      <w:r>
        <w:fldChar w:fldCharType="end"/>
      </w:r>
      <w:r>
        <w:rPr>
          <w:rFonts w:hint="eastAsia" w:ascii="黑体" w:hAnsi="黑体" w:eastAsia="黑体" w:cs="黑体"/>
          <w:bCs/>
          <w:color w:val="auto"/>
          <w:szCs w:val="32"/>
          <w:lang w:val="en-US" w:eastAsia="zh-CN"/>
        </w:rPr>
        <w:fldChar w:fldCharType="end"/>
      </w:r>
    </w:p>
    <w:p w14:paraId="5208011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_Toc2133524468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杭州圣爱康复医院的社区服务融入模式</w:t>
      </w:r>
      <w:r>
        <w:tab/>
      </w:r>
      <w:r>
        <w:fldChar w:fldCharType="begin"/>
      </w:r>
      <w:r>
        <w:instrText xml:space="preserve"> PAGEREF _Toc2133524468 \h </w:instrText>
      </w:r>
      <w:r>
        <w:fldChar w:fldCharType="separate"/>
      </w:r>
      <w:r>
        <w:t>46</w:t>
      </w:r>
      <w:r>
        <w:fldChar w:fldCharType="end"/>
      </w:r>
      <w:r>
        <w:rPr>
          <w:rFonts w:hint="eastAsia" w:ascii="黑体" w:hAnsi="黑体" w:eastAsia="黑体" w:cs="黑体"/>
          <w:bCs/>
          <w:color w:val="auto"/>
          <w:szCs w:val="32"/>
          <w:lang w:val="en-US" w:eastAsia="zh-CN"/>
        </w:rPr>
        <w:fldChar w:fldCharType="end"/>
      </w:r>
    </w:p>
    <w:p w14:paraId="4FB1DA9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_Toc1611279717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r>
        <w:tab/>
      </w:r>
      <w:r>
        <w:fldChar w:fldCharType="begin"/>
      </w:r>
      <w:r>
        <w:instrText xml:space="preserve"> PAGEREF _Toc1611279717 \h </w:instrText>
      </w:r>
      <w:r>
        <w:fldChar w:fldCharType="separate"/>
      </w:r>
      <w:r>
        <w:t>46</w:t>
      </w:r>
      <w:r>
        <w:fldChar w:fldCharType="end"/>
      </w:r>
      <w:r>
        <w:rPr>
          <w:rFonts w:hint="eastAsia" w:ascii="黑体" w:hAnsi="黑体" w:eastAsia="黑体" w:cs="黑体"/>
          <w:bCs/>
          <w:color w:val="auto"/>
          <w:szCs w:val="32"/>
          <w:lang w:val="en-US" w:eastAsia="zh-CN"/>
        </w:rPr>
        <w:fldChar w:fldCharType="end"/>
      </w:r>
    </w:p>
    <w:p w14:paraId="6AACB779">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_Toc1009414949 </w:instrText>
      </w:r>
      <w:r>
        <w:rPr>
          <w:rFonts w:hint="eastAsia" w:ascii="黑体" w:hAnsi="黑体" w:eastAsia="黑体" w:cs="黑体"/>
          <w:bCs/>
          <w:szCs w:val="32"/>
          <w:lang w:val="en-US" w:eastAsia="zh-CN"/>
        </w:rPr>
        <w:fldChar w:fldCharType="separate"/>
      </w:r>
      <w:r>
        <w:rPr>
          <w:rFonts w:hint="eastAsia"/>
          <w:lang w:val="en-US" w:eastAsia="zh-CN"/>
        </w:rPr>
        <w:t xml:space="preserve">第四节 </w:t>
      </w:r>
      <w:r>
        <w:rPr>
          <w:rFonts w:hint="eastAsia"/>
        </w:rPr>
        <w:t>制度保障维度：完善融合的政策支持与监管机制</w:t>
      </w:r>
      <w:r>
        <w:tab/>
      </w:r>
      <w:r>
        <w:fldChar w:fldCharType="begin"/>
      </w:r>
      <w:r>
        <w:instrText xml:space="preserve"> PAGEREF _Toc1009414949 \h </w:instrText>
      </w:r>
      <w:r>
        <w:fldChar w:fldCharType="separate"/>
      </w:r>
      <w:r>
        <w:t>48</w:t>
      </w:r>
      <w:r>
        <w:fldChar w:fldCharType="end"/>
      </w:r>
      <w:r>
        <w:rPr>
          <w:rFonts w:hint="eastAsia" w:ascii="黑体" w:hAnsi="黑体" w:eastAsia="黑体" w:cs="黑体"/>
          <w:bCs/>
          <w:color w:val="auto"/>
          <w:szCs w:val="32"/>
          <w:lang w:val="en-US" w:eastAsia="zh-CN"/>
        </w:rPr>
        <w:fldChar w:fldCharType="end"/>
      </w:r>
    </w:p>
    <w:p w14:paraId="67D5DDE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_Toc116236543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专项政策文件的制定与边界划定</w:t>
      </w:r>
      <w:r>
        <w:tab/>
      </w:r>
      <w:r>
        <w:fldChar w:fldCharType="begin"/>
      </w:r>
      <w:r>
        <w:instrText xml:space="preserve"> PAGEREF _Toc116236543 \h </w:instrText>
      </w:r>
      <w:r>
        <w:fldChar w:fldCharType="separate"/>
      </w:r>
      <w:r>
        <w:t>48</w:t>
      </w:r>
      <w:r>
        <w:fldChar w:fldCharType="end"/>
      </w:r>
      <w:r>
        <w:rPr>
          <w:rFonts w:hint="eastAsia" w:ascii="黑体" w:hAnsi="黑体" w:eastAsia="黑体" w:cs="黑体"/>
          <w:bCs/>
          <w:color w:val="auto"/>
          <w:szCs w:val="32"/>
          <w:lang w:val="en-US" w:eastAsia="zh-CN"/>
        </w:rPr>
        <w:fldChar w:fldCharType="end"/>
      </w:r>
    </w:p>
    <w:p w14:paraId="38D663D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_Toc1524943078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全流程监督评估机制的建立</w:t>
      </w:r>
      <w:r>
        <w:tab/>
      </w:r>
      <w:r>
        <w:fldChar w:fldCharType="begin"/>
      </w:r>
      <w:r>
        <w:instrText xml:space="preserve"> PAGEREF _Toc1524943078 \h </w:instrText>
      </w:r>
      <w:r>
        <w:fldChar w:fldCharType="separate"/>
      </w:r>
      <w:r>
        <w:t>48</w:t>
      </w:r>
      <w:r>
        <w:fldChar w:fldCharType="end"/>
      </w:r>
      <w:r>
        <w:rPr>
          <w:rFonts w:hint="eastAsia" w:ascii="黑体" w:hAnsi="黑体" w:eastAsia="黑体" w:cs="黑体"/>
          <w:bCs/>
          <w:color w:val="auto"/>
          <w:szCs w:val="32"/>
          <w:lang w:val="en-US" w:eastAsia="zh-CN"/>
        </w:rPr>
        <w:fldChar w:fldCharType="end"/>
      </w:r>
    </w:p>
    <w:p w14:paraId="74BF63E7">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_Toc1648468648 </w:instrText>
      </w:r>
      <w:r>
        <w:rPr>
          <w:rFonts w:hint="eastAsia" w:ascii="黑体" w:hAnsi="黑体" w:eastAsia="黑体" w:cs="黑体"/>
          <w:bCs/>
          <w:szCs w:val="32"/>
          <w:lang w:val="en-US" w:eastAsia="zh-CN"/>
        </w:rPr>
        <w:fldChar w:fldCharType="separate"/>
      </w:r>
      <w:r>
        <w:rPr>
          <w:rFonts w:hint="eastAsia"/>
          <w:bCs w:val="0"/>
        </w:rPr>
        <w:t xml:space="preserve">（一） </w:t>
      </w:r>
      <w:r>
        <w:rPr>
          <w:bCs w:val="0"/>
        </w:rPr>
        <w:t>信众价值认同度评估。</w:t>
      </w:r>
      <w:r>
        <w:tab/>
      </w:r>
      <w:r>
        <w:fldChar w:fldCharType="begin"/>
      </w:r>
      <w:r>
        <w:instrText xml:space="preserve"> PAGEREF _Toc1648468648 \h </w:instrText>
      </w:r>
      <w:r>
        <w:fldChar w:fldCharType="separate"/>
      </w:r>
      <w:r>
        <w:t>48</w:t>
      </w:r>
      <w:r>
        <w:fldChar w:fldCharType="end"/>
      </w:r>
      <w:r>
        <w:rPr>
          <w:rFonts w:hint="eastAsia" w:ascii="黑体" w:hAnsi="黑体" w:eastAsia="黑体" w:cs="黑体"/>
          <w:bCs/>
          <w:color w:val="auto"/>
          <w:szCs w:val="32"/>
          <w:lang w:val="en-US" w:eastAsia="zh-CN"/>
        </w:rPr>
        <w:fldChar w:fldCharType="end"/>
      </w:r>
    </w:p>
    <w:p w14:paraId="20D22187">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_Toc1126036989 </w:instrText>
      </w:r>
      <w:r>
        <w:rPr>
          <w:rFonts w:hint="eastAsia" w:ascii="黑体" w:hAnsi="黑体" w:eastAsia="黑体" w:cs="黑体"/>
          <w:bCs/>
          <w:szCs w:val="32"/>
          <w:lang w:val="en-US" w:eastAsia="zh-CN"/>
        </w:rPr>
        <w:fldChar w:fldCharType="separate"/>
      </w:r>
      <w:r>
        <w:rPr>
          <w:rFonts w:hint="eastAsia"/>
          <w:bCs w:val="0"/>
        </w:rPr>
        <w:t xml:space="preserve">（二） </w:t>
      </w:r>
      <w:r>
        <w:rPr>
          <w:bCs w:val="0"/>
        </w:rPr>
        <w:t>公益活动社会影响评估。</w:t>
      </w:r>
      <w:r>
        <w:tab/>
      </w:r>
      <w:r>
        <w:fldChar w:fldCharType="begin"/>
      </w:r>
      <w:r>
        <w:instrText xml:space="preserve"> PAGEREF _Toc1126036989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1F55E8D6">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_Toc1677776759 </w:instrText>
      </w:r>
      <w:r>
        <w:rPr>
          <w:rFonts w:hint="eastAsia" w:ascii="黑体" w:hAnsi="黑体" w:eastAsia="黑体" w:cs="黑体"/>
          <w:bCs/>
          <w:szCs w:val="32"/>
          <w:lang w:val="en-US" w:eastAsia="zh-CN"/>
        </w:rPr>
        <w:fldChar w:fldCharType="separate"/>
      </w:r>
      <w:r>
        <w:rPr>
          <w:rFonts w:hint="eastAsia"/>
          <w:bCs w:val="0"/>
        </w:rPr>
        <w:t xml:space="preserve">（三） </w:t>
      </w:r>
      <w:r>
        <w:rPr>
          <w:bCs w:val="0"/>
        </w:rPr>
        <w:t>教义阐释质量评估。</w:t>
      </w:r>
      <w:r>
        <w:tab/>
      </w:r>
      <w:r>
        <w:fldChar w:fldCharType="begin"/>
      </w:r>
      <w:r>
        <w:instrText xml:space="preserve"> PAGEREF _Toc1677776759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27CD409F">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_Toc1933703403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基层宗教工作队伍的分层培训体系</w:t>
      </w:r>
      <w:r>
        <w:tab/>
      </w:r>
      <w:r>
        <w:fldChar w:fldCharType="begin"/>
      </w:r>
      <w:r>
        <w:instrText xml:space="preserve"> PAGEREF _Toc1933703403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6A40A7D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_Toc1883064170 </w:instrText>
      </w:r>
      <w:r>
        <w:rPr>
          <w:rFonts w:hint="eastAsia" w:ascii="黑体" w:hAnsi="黑体" w:eastAsia="黑体" w:cs="黑体"/>
          <w:bCs/>
          <w:szCs w:val="32"/>
          <w:lang w:val="en-US" w:eastAsia="zh-CN"/>
        </w:rPr>
        <w:fldChar w:fldCharType="separate"/>
      </w:r>
      <w:r>
        <w:t>四、</w:t>
      </w:r>
      <w:r>
        <w:rPr>
          <w:rFonts w:hint="eastAsia"/>
          <w:lang w:eastAsia="zh-CN"/>
        </w:rPr>
        <w:t>“</w:t>
      </w:r>
      <w:r>
        <w:t>公正</w:t>
      </w:r>
      <w:r>
        <w:rPr>
          <w:rFonts w:hint="eastAsia"/>
          <w:lang w:eastAsia="zh-CN"/>
        </w:rPr>
        <w:t>”“</w:t>
      </w:r>
      <w:r>
        <w:t>平等</w:t>
      </w:r>
      <w:r>
        <w:rPr>
          <w:rFonts w:hint="eastAsia"/>
          <w:lang w:eastAsia="zh-CN"/>
        </w:rPr>
        <w:t>”</w:t>
      </w:r>
      <w:r>
        <w:t>价值的制度性融入路径</w:t>
      </w:r>
      <w:r>
        <w:tab/>
      </w:r>
      <w:r>
        <w:fldChar w:fldCharType="begin"/>
      </w:r>
      <w:r>
        <w:instrText xml:space="preserve"> PAGEREF _Toc1883064170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3BDDFFCF">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_Toc1192999351 </w:instrText>
      </w:r>
      <w:r>
        <w:rPr>
          <w:rFonts w:hint="eastAsia" w:ascii="黑体" w:hAnsi="黑体" w:eastAsia="黑体" w:cs="黑体"/>
          <w:bCs/>
          <w:szCs w:val="32"/>
          <w:lang w:val="en-US" w:eastAsia="zh-CN"/>
        </w:rPr>
        <w:fldChar w:fldCharType="separate"/>
      </w:r>
      <w:r>
        <w:rPr>
          <w:rFonts w:hint="eastAsia"/>
        </w:rPr>
        <w:t xml:space="preserve">（一） </w:t>
      </w:r>
      <w:r>
        <w:t>推动基督教团体参与社会公平正义建设。</w:t>
      </w:r>
      <w:r>
        <w:tab/>
      </w:r>
      <w:r>
        <w:fldChar w:fldCharType="begin"/>
      </w:r>
      <w:r>
        <w:instrText xml:space="preserve"> PAGEREF _Toc1192999351 \h </w:instrText>
      </w:r>
      <w:r>
        <w:fldChar w:fldCharType="separate"/>
      </w:r>
      <w:r>
        <w:t>50</w:t>
      </w:r>
      <w:r>
        <w:fldChar w:fldCharType="end"/>
      </w:r>
      <w:r>
        <w:rPr>
          <w:rFonts w:hint="eastAsia" w:ascii="黑体" w:hAnsi="黑体" w:eastAsia="黑体" w:cs="黑体"/>
          <w:bCs/>
          <w:color w:val="auto"/>
          <w:szCs w:val="32"/>
          <w:lang w:val="en-US" w:eastAsia="zh-CN"/>
        </w:rPr>
        <w:fldChar w:fldCharType="end"/>
      </w:r>
    </w:p>
    <w:p w14:paraId="496EADF4">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_Toc1832763865 </w:instrText>
      </w:r>
      <w:r>
        <w:rPr>
          <w:rFonts w:hint="eastAsia" w:ascii="黑体" w:hAnsi="黑体" w:eastAsia="黑体" w:cs="黑体"/>
          <w:bCs/>
          <w:szCs w:val="32"/>
          <w:lang w:val="en-US" w:eastAsia="zh-CN"/>
        </w:rPr>
        <w:fldChar w:fldCharType="separate"/>
      </w:r>
      <w:r>
        <w:rPr>
          <w:rFonts w:hint="eastAsia"/>
        </w:rPr>
        <w:t xml:space="preserve">（二） </w:t>
      </w:r>
      <w:r>
        <w:t>建立公益项目的机会平等评估机制。</w:t>
      </w:r>
      <w:r>
        <w:tab/>
      </w:r>
      <w:r>
        <w:fldChar w:fldCharType="begin"/>
      </w:r>
      <w:r>
        <w:instrText xml:space="preserve"> PAGEREF _Toc1832763865 \h </w:instrText>
      </w:r>
      <w:r>
        <w:fldChar w:fldCharType="separate"/>
      </w:r>
      <w:r>
        <w:t>50</w:t>
      </w:r>
      <w:r>
        <w:fldChar w:fldCharType="end"/>
      </w:r>
      <w:r>
        <w:rPr>
          <w:rFonts w:hint="eastAsia" w:ascii="黑体" w:hAnsi="黑体" w:eastAsia="黑体" w:cs="黑体"/>
          <w:bCs/>
          <w:color w:val="auto"/>
          <w:szCs w:val="32"/>
          <w:lang w:val="en-US" w:eastAsia="zh-CN"/>
        </w:rPr>
        <w:fldChar w:fldCharType="end"/>
      </w:r>
    </w:p>
    <w:p w14:paraId="1188FA7D">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_Toc1904330134 </w:instrText>
      </w:r>
      <w:r>
        <w:rPr>
          <w:rFonts w:hint="eastAsia" w:ascii="黑体" w:hAnsi="黑体" w:eastAsia="黑体" w:cs="黑体"/>
          <w:bCs/>
          <w:szCs w:val="32"/>
          <w:lang w:val="en-US" w:eastAsia="zh-CN"/>
        </w:rPr>
        <w:fldChar w:fldCharType="separate"/>
      </w:r>
      <w:r>
        <w:rPr>
          <w:rFonts w:hint="eastAsia"/>
        </w:rPr>
        <w:t xml:space="preserve">（三） </w:t>
      </w:r>
      <w:r>
        <w:t>强化基层宗教工作队伍的</w:t>
      </w:r>
      <w:r>
        <w:rPr>
          <w:rFonts w:hint="eastAsia"/>
          <w:lang w:eastAsia="zh-CN"/>
        </w:rPr>
        <w:t>“</w:t>
      </w:r>
      <w:r>
        <w:t>公正</w:t>
      </w:r>
      <w:r>
        <w:rPr>
          <w:rFonts w:hint="eastAsia"/>
          <w:lang w:eastAsia="zh-CN"/>
        </w:rPr>
        <w:t>”</w:t>
      </w:r>
      <w:r>
        <w:t>意识培训。</w:t>
      </w:r>
      <w:r>
        <w:tab/>
      </w:r>
      <w:r>
        <w:fldChar w:fldCharType="begin"/>
      </w:r>
      <w:r>
        <w:instrText xml:space="preserve"> PAGEREF _Toc1904330134 \h </w:instrText>
      </w:r>
      <w:r>
        <w:fldChar w:fldCharType="separate"/>
      </w:r>
      <w:r>
        <w:t>50</w:t>
      </w:r>
      <w:r>
        <w:fldChar w:fldCharType="end"/>
      </w:r>
      <w:r>
        <w:rPr>
          <w:rFonts w:hint="eastAsia" w:ascii="黑体" w:hAnsi="黑体" w:eastAsia="黑体" w:cs="黑体"/>
          <w:bCs/>
          <w:color w:val="auto"/>
          <w:szCs w:val="32"/>
          <w:lang w:val="en-US" w:eastAsia="zh-CN"/>
        </w:rPr>
        <w:fldChar w:fldCharType="end"/>
      </w:r>
    </w:p>
    <w:p w14:paraId="44E32EED">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_Toc2127770897 </w:instrText>
      </w:r>
      <w:r>
        <w:rPr>
          <w:rFonts w:hint="eastAsia" w:ascii="黑体" w:hAnsi="黑体" w:eastAsia="黑体" w:cs="黑体"/>
          <w:bCs/>
          <w:szCs w:val="32"/>
          <w:lang w:val="en-US" w:eastAsia="zh-CN"/>
        </w:rPr>
        <w:fldChar w:fldCharType="separate"/>
      </w:r>
      <w:r>
        <w:rPr>
          <w:rFonts w:hint="eastAsia"/>
          <w:lang w:val="en-US" w:eastAsia="zh-CN"/>
        </w:rPr>
        <w:t>六、</w:t>
      </w:r>
      <w:r>
        <w:rPr>
          <w:rFonts w:hint="eastAsia"/>
        </w:rPr>
        <w:t>结论与展望</w:t>
      </w:r>
      <w:r>
        <w:tab/>
      </w:r>
      <w:r>
        <w:fldChar w:fldCharType="begin"/>
      </w:r>
      <w:r>
        <w:instrText xml:space="preserve"> PAGEREF _Toc2127770897 \h </w:instrText>
      </w:r>
      <w:r>
        <w:fldChar w:fldCharType="separate"/>
      </w:r>
      <w:r>
        <w:t>51</w:t>
      </w:r>
      <w:r>
        <w:fldChar w:fldCharType="end"/>
      </w:r>
      <w:r>
        <w:rPr>
          <w:rFonts w:hint="eastAsia" w:ascii="黑体" w:hAnsi="黑体" w:eastAsia="黑体" w:cs="黑体"/>
          <w:bCs/>
          <w:color w:val="auto"/>
          <w:szCs w:val="32"/>
          <w:lang w:val="en-US" w:eastAsia="zh-CN"/>
        </w:rPr>
        <w:fldChar w:fldCharType="end"/>
      </w:r>
    </w:p>
    <w:p w14:paraId="4698B0D6">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_Toc1547776035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研究结论</w:t>
      </w:r>
      <w:r>
        <w:tab/>
      </w:r>
      <w:r>
        <w:fldChar w:fldCharType="begin"/>
      </w:r>
      <w:r>
        <w:instrText xml:space="preserve"> PAGEREF _Toc1547776035 \h </w:instrText>
      </w:r>
      <w:r>
        <w:fldChar w:fldCharType="separate"/>
      </w:r>
      <w:r>
        <w:t>51</w:t>
      </w:r>
      <w:r>
        <w:fldChar w:fldCharType="end"/>
      </w:r>
      <w:r>
        <w:rPr>
          <w:rFonts w:hint="eastAsia" w:ascii="黑体" w:hAnsi="黑体" w:eastAsia="黑体" w:cs="黑体"/>
          <w:bCs/>
          <w:color w:val="auto"/>
          <w:szCs w:val="32"/>
          <w:lang w:val="en-US" w:eastAsia="zh-CN"/>
        </w:rPr>
        <w:fldChar w:fldCharType="end"/>
      </w:r>
    </w:p>
    <w:p w14:paraId="5173B9B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_Toc1002404134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融合的核心论断梳理</w:t>
      </w:r>
      <w:r>
        <w:tab/>
      </w:r>
      <w:r>
        <w:fldChar w:fldCharType="begin"/>
      </w:r>
      <w:r>
        <w:instrText xml:space="preserve"> PAGEREF _Toc1002404134 \h </w:instrText>
      </w:r>
      <w:r>
        <w:fldChar w:fldCharType="separate"/>
      </w:r>
      <w:r>
        <w:t>51</w:t>
      </w:r>
      <w:r>
        <w:fldChar w:fldCharType="end"/>
      </w:r>
      <w:r>
        <w:rPr>
          <w:rFonts w:hint="eastAsia" w:ascii="黑体" w:hAnsi="黑体" w:eastAsia="黑体" w:cs="黑体"/>
          <w:bCs/>
          <w:color w:val="auto"/>
          <w:szCs w:val="32"/>
          <w:lang w:val="en-US" w:eastAsia="zh-CN"/>
        </w:rPr>
        <w:fldChar w:fldCharType="end"/>
      </w:r>
    </w:p>
    <w:p w14:paraId="3295703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_Toc397069423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融合路径的核心创新点</w:t>
      </w:r>
      <w:r>
        <w:tab/>
      </w:r>
      <w:r>
        <w:fldChar w:fldCharType="begin"/>
      </w:r>
      <w:r>
        <w:instrText xml:space="preserve"> PAGEREF _Toc397069423 \h </w:instrText>
      </w:r>
      <w:r>
        <w:fldChar w:fldCharType="separate"/>
      </w:r>
      <w:r>
        <w:t>51</w:t>
      </w:r>
      <w:r>
        <w:fldChar w:fldCharType="end"/>
      </w:r>
      <w:r>
        <w:rPr>
          <w:rFonts w:hint="eastAsia" w:ascii="黑体" w:hAnsi="黑体" w:eastAsia="黑体" w:cs="黑体"/>
          <w:bCs/>
          <w:color w:val="auto"/>
          <w:szCs w:val="32"/>
          <w:lang w:val="en-US" w:eastAsia="zh-CN"/>
        </w:rPr>
        <w:fldChar w:fldCharType="end"/>
      </w:r>
    </w:p>
    <w:p w14:paraId="38CA3718">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_Toc1314101132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研究不足与展望</w:t>
      </w:r>
      <w:r>
        <w:tab/>
      </w:r>
      <w:r>
        <w:fldChar w:fldCharType="begin"/>
      </w:r>
      <w:r>
        <w:instrText xml:space="preserve"> PAGEREF _Toc1314101132 \h </w:instrText>
      </w:r>
      <w:r>
        <w:fldChar w:fldCharType="separate"/>
      </w:r>
      <w:r>
        <w:t>53</w:t>
      </w:r>
      <w:r>
        <w:fldChar w:fldCharType="end"/>
      </w:r>
      <w:r>
        <w:rPr>
          <w:rFonts w:hint="eastAsia" w:ascii="黑体" w:hAnsi="黑体" w:eastAsia="黑体" w:cs="黑体"/>
          <w:bCs/>
          <w:color w:val="auto"/>
          <w:szCs w:val="32"/>
          <w:lang w:val="en-US" w:eastAsia="zh-CN"/>
        </w:rPr>
        <w:fldChar w:fldCharType="end"/>
      </w:r>
    </w:p>
    <w:p w14:paraId="1B117DA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_Toc1375899776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当前研究的局限性分析</w:t>
      </w:r>
      <w:r>
        <w:tab/>
      </w:r>
      <w:r>
        <w:fldChar w:fldCharType="begin"/>
      </w:r>
      <w:r>
        <w:instrText xml:space="preserve"> PAGEREF _Toc1375899776 \h </w:instrText>
      </w:r>
      <w:r>
        <w:fldChar w:fldCharType="separate"/>
      </w:r>
      <w:r>
        <w:t>53</w:t>
      </w:r>
      <w:r>
        <w:fldChar w:fldCharType="end"/>
      </w:r>
      <w:r>
        <w:rPr>
          <w:rFonts w:hint="eastAsia" w:ascii="黑体" w:hAnsi="黑体" w:eastAsia="黑体" w:cs="黑体"/>
          <w:bCs/>
          <w:color w:val="auto"/>
          <w:szCs w:val="32"/>
          <w:lang w:val="en-US" w:eastAsia="zh-CN"/>
        </w:rPr>
        <w:fldChar w:fldCharType="end"/>
      </w:r>
    </w:p>
    <w:p w14:paraId="2AAFB6E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_Toc643624336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未来研究与实践的发展方向</w:t>
      </w:r>
      <w:r>
        <w:tab/>
      </w:r>
      <w:r>
        <w:fldChar w:fldCharType="begin"/>
      </w:r>
      <w:r>
        <w:instrText xml:space="preserve"> PAGEREF _Toc643624336 \h </w:instrText>
      </w:r>
      <w:r>
        <w:fldChar w:fldCharType="separate"/>
      </w:r>
      <w:r>
        <w:t>54</w:t>
      </w:r>
      <w:r>
        <w:fldChar w:fldCharType="end"/>
      </w:r>
      <w:r>
        <w:rPr>
          <w:rFonts w:hint="eastAsia" w:ascii="黑体" w:hAnsi="黑体" w:eastAsia="黑体" w:cs="黑体"/>
          <w:bCs/>
          <w:color w:val="auto"/>
          <w:szCs w:val="32"/>
          <w:lang w:val="en-US" w:eastAsia="zh-CN"/>
        </w:rPr>
        <w:fldChar w:fldCharType="end"/>
      </w:r>
    </w:p>
    <w:p w14:paraId="42D82AC0">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_Toc519085213 </w:instrText>
      </w:r>
      <w:r>
        <w:rPr>
          <w:rFonts w:hint="eastAsia" w:ascii="黑体" w:hAnsi="黑体" w:eastAsia="黑体" w:cs="黑体"/>
          <w:bCs/>
          <w:szCs w:val="32"/>
          <w:lang w:val="en-US" w:eastAsia="zh-CN"/>
        </w:rPr>
        <w:fldChar w:fldCharType="separate"/>
      </w:r>
      <w:r>
        <w:rPr>
          <w:rFonts w:hint="eastAsia"/>
          <w:lang w:val="en-US" w:eastAsia="zh-CN"/>
        </w:rPr>
        <w:t>参考文献</w:t>
      </w:r>
      <w:r>
        <w:tab/>
      </w:r>
      <w:r>
        <w:fldChar w:fldCharType="begin"/>
      </w:r>
      <w:r>
        <w:instrText xml:space="preserve"> PAGEREF _Toc519085213 \h </w:instrText>
      </w:r>
      <w:r>
        <w:fldChar w:fldCharType="separate"/>
      </w:r>
      <w:r>
        <w:t>55</w:t>
      </w:r>
      <w:r>
        <w:fldChar w:fldCharType="end"/>
      </w:r>
      <w:r>
        <w:rPr>
          <w:rFonts w:hint="eastAsia" w:ascii="黑体" w:hAnsi="黑体" w:eastAsia="黑体" w:cs="黑体"/>
          <w:bCs/>
          <w:color w:val="auto"/>
          <w:szCs w:val="32"/>
          <w:lang w:val="en-US" w:eastAsia="zh-CN"/>
        </w:rPr>
        <w:fldChar w:fldCharType="end"/>
      </w:r>
    </w:p>
    <w:p w14:paraId="294A9C5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_Toc1186600777 </w:instrText>
      </w:r>
      <w:r>
        <w:rPr>
          <w:rFonts w:hint="eastAsia" w:ascii="黑体" w:hAnsi="黑体" w:eastAsia="黑体" w:cs="黑体"/>
          <w:bCs/>
          <w:szCs w:val="32"/>
          <w:lang w:val="en-US" w:eastAsia="zh-CN"/>
        </w:rPr>
        <w:fldChar w:fldCharType="separate"/>
      </w:r>
      <w:r>
        <w:rPr>
          <w:rFonts w:hint="eastAsia"/>
          <w:lang w:val="en-US" w:eastAsia="zh-CN"/>
        </w:rPr>
        <w:t>一、经典著作与外文文献</w:t>
      </w:r>
      <w:r>
        <w:tab/>
      </w:r>
      <w:r>
        <w:fldChar w:fldCharType="begin"/>
      </w:r>
      <w:r>
        <w:instrText xml:space="preserve"> PAGEREF _Toc1186600777 \h </w:instrText>
      </w:r>
      <w:r>
        <w:fldChar w:fldCharType="separate"/>
      </w:r>
      <w:r>
        <w:t>55</w:t>
      </w:r>
      <w:r>
        <w:fldChar w:fldCharType="end"/>
      </w:r>
      <w:r>
        <w:rPr>
          <w:rFonts w:hint="eastAsia" w:ascii="黑体" w:hAnsi="黑体" w:eastAsia="黑体" w:cs="黑体"/>
          <w:bCs/>
          <w:color w:val="auto"/>
          <w:szCs w:val="32"/>
          <w:lang w:val="en-US" w:eastAsia="zh-CN"/>
        </w:rPr>
        <w:fldChar w:fldCharType="end"/>
      </w:r>
    </w:p>
    <w:p w14:paraId="7977BF0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_Toc1666112997 </w:instrText>
      </w:r>
      <w:r>
        <w:rPr>
          <w:rFonts w:hint="eastAsia" w:ascii="黑体" w:hAnsi="黑体" w:eastAsia="黑体" w:cs="黑体"/>
          <w:bCs/>
          <w:szCs w:val="32"/>
          <w:lang w:val="en-US" w:eastAsia="zh-CN"/>
        </w:rPr>
        <w:fldChar w:fldCharType="separate"/>
      </w:r>
      <w:r>
        <w:rPr>
          <w:rFonts w:hint="eastAsia"/>
          <w:lang w:val="en-US" w:eastAsia="zh-CN"/>
        </w:rPr>
        <w:t>二、中文专著</w:t>
      </w:r>
      <w:r>
        <w:tab/>
      </w:r>
      <w:r>
        <w:fldChar w:fldCharType="begin"/>
      </w:r>
      <w:r>
        <w:instrText xml:space="preserve"> PAGEREF _Toc1666112997 \h </w:instrText>
      </w:r>
      <w:r>
        <w:fldChar w:fldCharType="separate"/>
      </w:r>
      <w:r>
        <w:t>56</w:t>
      </w:r>
      <w:r>
        <w:fldChar w:fldCharType="end"/>
      </w:r>
      <w:r>
        <w:rPr>
          <w:rFonts w:hint="eastAsia" w:ascii="黑体" w:hAnsi="黑体" w:eastAsia="黑体" w:cs="黑体"/>
          <w:bCs/>
          <w:color w:val="auto"/>
          <w:szCs w:val="32"/>
          <w:lang w:val="en-US" w:eastAsia="zh-CN"/>
        </w:rPr>
        <w:fldChar w:fldCharType="end"/>
      </w:r>
    </w:p>
    <w:p w14:paraId="364E8AD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_Toc1321867346 </w:instrText>
      </w:r>
      <w:r>
        <w:rPr>
          <w:rFonts w:hint="eastAsia" w:ascii="黑体" w:hAnsi="黑体" w:eastAsia="黑体" w:cs="黑体"/>
          <w:bCs/>
          <w:szCs w:val="32"/>
          <w:lang w:val="en-US" w:eastAsia="zh-CN"/>
        </w:rPr>
        <w:fldChar w:fldCharType="separate"/>
      </w:r>
      <w:r>
        <w:rPr>
          <w:rFonts w:hint="eastAsia"/>
          <w:lang w:val="en-US" w:eastAsia="zh-CN"/>
        </w:rPr>
        <w:t>三、中文期刊论文与学位论文</w:t>
      </w:r>
      <w:r>
        <w:tab/>
      </w:r>
      <w:r>
        <w:fldChar w:fldCharType="begin"/>
      </w:r>
      <w:r>
        <w:instrText xml:space="preserve"> PAGEREF _Toc1321867346 \h </w:instrText>
      </w:r>
      <w:r>
        <w:fldChar w:fldCharType="separate"/>
      </w:r>
      <w:r>
        <w:t>57</w:t>
      </w:r>
      <w:r>
        <w:fldChar w:fldCharType="end"/>
      </w:r>
      <w:r>
        <w:rPr>
          <w:rFonts w:hint="eastAsia" w:ascii="黑体" w:hAnsi="黑体" w:eastAsia="黑体" w:cs="黑体"/>
          <w:bCs/>
          <w:color w:val="auto"/>
          <w:szCs w:val="32"/>
          <w:lang w:val="en-US" w:eastAsia="zh-CN"/>
        </w:rPr>
        <w:fldChar w:fldCharType="end"/>
      </w:r>
    </w:p>
    <w:p w14:paraId="1C13FE6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_Toc906156007 </w:instrText>
      </w:r>
      <w:r>
        <w:rPr>
          <w:rFonts w:hint="eastAsia" w:ascii="黑体" w:hAnsi="黑体" w:eastAsia="黑体" w:cs="黑体"/>
          <w:bCs/>
          <w:szCs w:val="32"/>
          <w:lang w:val="en-US" w:eastAsia="zh-CN"/>
        </w:rPr>
        <w:fldChar w:fldCharType="separate"/>
      </w:r>
      <w:r>
        <w:rPr>
          <w:rFonts w:hint="eastAsia"/>
          <w:lang w:val="en-US" w:eastAsia="zh-CN"/>
        </w:rPr>
        <w:t>四、政策文件与法规</w:t>
      </w:r>
      <w:r>
        <w:tab/>
      </w:r>
      <w:r>
        <w:fldChar w:fldCharType="begin"/>
      </w:r>
      <w:r>
        <w:instrText xml:space="preserve"> PAGEREF _Toc906156007 \h </w:instrText>
      </w:r>
      <w:r>
        <w:fldChar w:fldCharType="separate"/>
      </w:r>
      <w:r>
        <w:t>58</w:t>
      </w:r>
      <w:r>
        <w:fldChar w:fldCharType="end"/>
      </w:r>
      <w:r>
        <w:rPr>
          <w:rFonts w:hint="eastAsia" w:ascii="黑体" w:hAnsi="黑体" w:eastAsia="黑体" w:cs="黑体"/>
          <w:bCs/>
          <w:color w:val="auto"/>
          <w:szCs w:val="32"/>
          <w:lang w:val="en-US" w:eastAsia="zh-CN"/>
        </w:rPr>
        <w:fldChar w:fldCharType="end"/>
      </w:r>
    </w:p>
    <w:p w14:paraId="314B9BA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_Toc1957468772 </w:instrText>
      </w:r>
      <w:r>
        <w:rPr>
          <w:rFonts w:hint="eastAsia" w:ascii="黑体" w:hAnsi="黑体" w:eastAsia="黑体" w:cs="黑体"/>
          <w:bCs/>
          <w:szCs w:val="32"/>
          <w:lang w:val="en-US" w:eastAsia="zh-CN"/>
        </w:rPr>
        <w:fldChar w:fldCharType="separate"/>
      </w:r>
      <w:r>
        <w:rPr>
          <w:rFonts w:hint="eastAsia"/>
          <w:lang w:val="en-US" w:eastAsia="zh-CN"/>
        </w:rPr>
        <w:t>五、网络资源与新闻报道</w:t>
      </w:r>
      <w:r>
        <w:tab/>
      </w:r>
      <w:r>
        <w:fldChar w:fldCharType="begin"/>
      </w:r>
      <w:r>
        <w:instrText xml:space="preserve"> PAGEREF _Toc1957468772 \h </w:instrText>
      </w:r>
      <w:r>
        <w:fldChar w:fldCharType="separate"/>
      </w:r>
      <w:r>
        <w:t>58</w:t>
      </w:r>
      <w:r>
        <w:fldChar w:fldCharType="end"/>
      </w:r>
      <w:r>
        <w:rPr>
          <w:rFonts w:hint="eastAsia" w:ascii="黑体" w:hAnsi="黑体" w:eastAsia="黑体" w:cs="黑体"/>
          <w:bCs/>
          <w:color w:val="auto"/>
          <w:szCs w:val="32"/>
          <w:lang w:val="en-US" w:eastAsia="zh-CN"/>
        </w:rPr>
        <w:fldChar w:fldCharType="end"/>
      </w:r>
    </w:p>
    <w:p w14:paraId="3F6BF62C">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_Toc1875662611 </w:instrText>
      </w:r>
      <w:r>
        <w:rPr>
          <w:rFonts w:hint="eastAsia" w:ascii="黑体" w:hAnsi="黑体" w:eastAsia="黑体" w:cs="黑体"/>
          <w:bCs/>
          <w:szCs w:val="32"/>
          <w:lang w:val="en-US" w:eastAsia="zh-CN"/>
        </w:rPr>
        <w:fldChar w:fldCharType="separate"/>
      </w:r>
      <w:r>
        <w:rPr>
          <w:rFonts w:hint="eastAsia"/>
        </w:rPr>
        <w:t>附 录</w:t>
      </w:r>
      <w:r>
        <w:tab/>
      </w:r>
      <w:r>
        <w:fldChar w:fldCharType="begin"/>
      </w:r>
      <w:r>
        <w:instrText xml:space="preserve"> PAGEREF _Toc1875662611 \h </w:instrText>
      </w:r>
      <w:r>
        <w:fldChar w:fldCharType="separate"/>
      </w:r>
      <w:r>
        <w:t>59</w:t>
      </w:r>
      <w:r>
        <w:fldChar w:fldCharType="end"/>
      </w:r>
      <w:r>
        <w:rPr>
          <w:rFonts w:hint="eastAsia" w:ascii="黑体" w:hAnsi="黑体" w:eastAsia="黑体" w:cs="黑体"/>
          <w:bCs/>
          <w:color w:val="auto"/>
          <w:szCs w:val="32"/>
          <w:lang w:val="en-US" w:eastAsia="zh-CN"/>
        </w:rPr>
        <w:fldChar w:fldCharType="end"/>
      </w:r>
    </w:p>
    <w:p w14:paraId="2B2C84A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_Toc1349048764 </w:instrText>
      </w:r>
      <w:r>
        <w:rPr>
          <w:rFonts w:hint="eastAsia" w:ascii="黑体" w:hAnsi="黑体" w:eastAsia="黑体" w:cs="黑体"/>
          <w:bCs/>
          <w:szCs w:val="32"/>
          <w:lang w:val="en-US" w:eastAsia="zh-CN"/>
        </w:rPr>
        <w:fldChar w:fldCharType="separate"/>
      </w:r>
      <w:r>
        <w:rPr>
          <w:rFonts w:hint="eastAsia"/>
          <w:lang w:val="en-US" w:eastAsia="zh-CN"/>
        </w:rPr>
        <w:t>一、致 谢</w:t>
      </w:r>
      <w:r>
        <w:tab/>
      </w:r>
      <w:r>
        <w:fldChar w:fldCharType="begin"/>
      </w:r>
      <w:r>
        <w:instrText xml:space="preserve"> PAGEREF _Toc1349048764 \h </w:instrText>
      </w:r>
      <w:r>
        <w:fldChar w:fldCharType="separate"/>
      </w:r>
      <w:r>
        <w:t>59</w:t>
      </w:r>
      <w:r>
        <w:fldChar w:fldCharType="end"/>
      </w:r>
      <w:r>
        <w:rPr>
          <w:rFonts w:hint="eastAsia" w:ascii="黑体" w:hAnsi="黑体" w:eastAsia="黑体" w:cs="黑体"/>
          <w:bCs/>
          <w:color w:val="auto"/>
          <w:szCs w:val="32"/>
          <w:lang w:val="en-US" w:eastAsia="zh-CN"/>
        </w:rPr>
        <w:fldChar w:fldCharType="end"/>
      </w:r>
    </w:p>
    <w:p w14:paraId="24CA3A4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_Toc330231522 </w:instrText>
      </w:r>
      <w:r>
        <w:rPr>
          <w:rFonts w:hint="eastAsia" w:ascii="黑体" w:hAnsi="黑体" w:eastAsia="黑体" w:cs="黑体"/>
          <w:bCs/>
          <w:szCs w:val="32"/>
          <w:lang w:val="en-US" w:eastAsia="zh-CN"/>
        </w:rPr>
        <w:fldChar w:fldCharType="separate"/>
      </w:r>
      <w:r>
        <w:rPr>
          <w:rFonts w:hint="eastAsia"/>
          <w:lang w:val="en-US" w:eastAsia="zh-CN"/>
        </w:rPr>
        <w:t>二、论文原创性声明内容</w:t>
      </w:r>
      <w:r>
        <w:tab/>
      </w:r>
      <w:r>
        <w:fldChar w:fldCharType="begin"/>
      </w:r>
      <w:r>
        <w:instrText xml:space="preserve"> PAGEREF _Toc330231522 \h </w:instrText>
      </w:r>
      <w:r>
        <w:fldChar w:fldCharType="separate"/>
      </w:r>
      <w:r>
        <w:t>60</w:t>
      </w:r>
      <w:r>
        <w:fldChar w:fldCharType="end"/>
      </w:r>
      <w:r>
        <w:rPr>
          <w:rFonts w:hint="eastAsia" w:ascii="黑体" w:hAnsi="黑体" w:eastAsia="黑体" w:cs="黑体"/>
          <w:bCs/>
          <w:color w:val="auto"/>
          <w:szCs w:val="32"/>
          <w:lang w:val="en-US" w:eastAsia="zh-CN"/>
        </w:rPr>
        <w:fldChar w:fldCharType="end"/>
      </w:r>
    </w:p>
    <w:p w14:paraId="7313796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_Toc1103446406 </w:instrText>
      </w:r>
      <w:r>
        <w:rPr>
          <w:rFonts w:hint="eastAsia" w:ascii="黑体" w:hAnsi="黑体" w:eastAsia="黑体" w:cs="黑体"/>
          <w:bCs/>
          <w:szCs w:val="32"/>
          <w:lang w:val="en-US" w:eastAsia="zh-CN"/>
        </w:rPr>
        <w:fldChar w:fldCharType="separate"/>
      </w:r>
      <w:r>
        <w:rPr>
          <w:rFonts w:hint="eastAsia"/>
          <w:lang w:val="en-US" w:eastAsia="zh-CN"/>
        </w:rPr>
        <w:t>三、附 件</w:t>
      </w:r>
      <w:r>
        <w:tab/>
      </w:r>
      <w:r>
        <w:fldChar w:fldCharType="begin"/>
      </w:r>
      <w:r>
        <w:instrText xml:space="preserve"> PAGEREF _Toc1103446406 \h </w:instrText>
      </w:r>
      <w:r>
        <w:fldChar w:fldCharType="separate"/>
      </w:r>
      <w:r>
        <w:t>61</w:t>
      </w:r>
      <w:r>
        <w:fldChar w:fldCharType="end"/>
      </w:r>
      <w:r>
        <w:rPr>
          <w:rFonts w:hint="eastAsia" w:ascii="黑体" w:hAnsi="黑体" w:eastAsia="黑体" w:cs="黑体"/>
          <w:bCs/>
          <w:color w:val="auto"/>
          <w:szCs w:val="32"/>
          <w:lang w:val="en-US" w:eastAsia="zh-CN"/>
        </w:rPr>
        <w:fldChar w:fldCharType="end"/>
      </w:r>
    </w:p>
    <w:p w14:paraId="3E326390">
      <w:pPr>
        <w:tabs>
          <w:tab w:val="right" w:leader="dot" w:pos="9071"/>
        </w:tabs>
        <w:spacing w:before="0" w:after="0" w:line="360" w:lineRule="auto"/>
        <w:ind w:left="891"/>
        <w:rPr>
          <w:rFonts w:hint="eastAsia" w:ascii="黑体" w:hAnsi="黑体" w:eastAsia="黑体" w:cs="黑体"/>
          <w:b/>
          <w:bCs/>
          <w:color w:val="auto"/>
          <w:sz w:val="32"/>
          <w:szCs w:val="32"/>
          <w:lang w:val="en-US" w:eastAsia="zh-CN"/>
        </w:rPr>
      </w:pPr>
      <w:r>
        <w:rPr>
          <w:rFonts w:hint="eastAsia" w:ascii="黑体" w:hAnsi="黑体" w:eastAsia="黑体" w:cs="黑体"/>
          <w:bCs/>
          <w:color w:val="auto"/>
          <w:szCs w:val="32"/>
          <w:lang w:val="en-US" w:eastAsia="zh-CN"/>
        </w:rPr>
        <w:fldChar w:fldCharType="end"/>
      </w:r>
    </w:p>
    <w:bookmarkEnd w:id="51"/>
    <w:p w14:paraId="651D0FF2">
      <w:pPr>
        <w:pageBreakBefore w:val="0"/>
        <w:kinsoku/>
        <w:wordWrap/>
        <w:overflowPunct/>
        <w:topLinePunct w:val="0"/>
        <w:bidi w:val="0"/>
        <w:adjustRightInd w:val="0"/>
        <w:snapToGrid w:val="0"/>
        <w:ind w:left="0" w:leftChars="0" w:firstLine="480" w:firstLineChars="200"/>
        <w:textAlignment w:val="auto"/>
        <w:rPr>
          <w:rFonts w:hint="eastAsia"/>
          <w:color w:val="auto"/>
          <w:lang w:eastAsia="zh-CN"/>
        </w:rPr>
        <w:sectPr>
          <w:headerReference r:id="rId9" w:type="default"/>
          <w:footerReference r:id="rId10"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bookmarkStart w:id="1177" w:name="_GoBack"/>
      <w:bookmarkEnd w:id="1177"/>
    </w:p>
    <w:p w14:paraId="743D1CCB">
      <w:pPr>
        <w:pStyle w:val="2"/>
        <w:bidi w:val="0"/>
        <w:rPr>
          <w:rFonts w:hint="eastAsia"/>
          <w:color w:val="auto"/>
          <w:lang w:val="en-US" w:eastAsia="zh-CN"/>
        </w:rPr>
      </w:pPr>
      <w:bookmarkStart w:id="52" w:name="_Toc500452949"/>
      <w:bookmarkStart w:id="53" w:name="_Toc1138181288"/>
      <w:bookmarkStart w:id="54" w:name="_Toc9661"/>
      <w:bookmarkStart w:id="55" w:name="_Toc1757750088"/>
      <w:bookmarkStart w:id="56" w:name="_Toc1992287126"/>
      <w:bookmarkStart w:id="57" w:name="_Toc311664942"/>
      <w:bookmarkStart w:id="58" w:name="_Toc1566118065"/>
      <w:bookmarkStart w:id="59" w:name="_Toc698215329"/>
      <w:bookmarkStart w:id="60" w:name="_Toc2147402238"/>
      <w:bookmarkStart w:id="61" w:name="_Toc897384602"/>
      <w:bookmarkStart w:id="62" w:name="_Toc2065133620"/>
      <w:bookmarkStart w:id="63" w:name="_Toc578278431"/>
      <w:bookmarkStart w:id="64" w:name="_Toc454243157"/>
      <w:r>
        <w:rPr>
          <w:rFonts w:hint="eastAsia"/>
          <w:color w:val="auto"/>
          <w:lang w:val="en-US" w:eastAsia="zh-CN"/>
        </w:rPr>
        <w:t>一、引言</w:t>
      </w:r>
      <w:bookmarkEnd w:id="52"/>
      <w:bookmarkEnd w:id="53"/>
      <w:bookmarkEnd w:id="54"/>
      <w:bookmarkEnd w:id="55"/>
      <w:bookmarkEnd w:id="56"/>
      <w:bookmarkEnd w:id="57"/>
      <w:bookmarkEnd w:id="58"/>
      <w:bookmarkEnd w:id="59"/>
      <w:bookmarkEnd w:id="60"/>
      <w:bookmarkEnd w:id="61"/>
      <w:bookmarkEnd w:id="62"/>
      <w:bookmarkEnd w:id="63"/>
      <w:bookmarkEnd w:id="64"/>
    </w:p>
    <w:p w14:paraId="21EE77DF">
      <w:pPr>
        <w:pStyle w:val="3"/>
        <w:bidi w:val="0"/>
        <w:rPr>
          <w:rFonts w:hint="eastAsia"/>
          <w:color w:val="auto"/>
          <w:lang w:val="en-US" w:eastAsia="zh-CN"/>
        </w:rPr>
      </w:pPr>
      <w:bookmarkStart w:id="65" w:name="_Toc490"/>
      <w:bookmarkStart w:id="66" w:name="_Toc39257176"/>
      <w:bookmarkStart w:id="67" w:name="_Toc1720680884"/>
      <w:bookmarkStart w:id="68" w:name="_Toc779242584"/>
      <w:bookmarkStart w:id="69" w:name="_Toc1070048526"/>
      <w:bookmarkStart w:id="70" w:name="_Toc1776063587"/>
      <w:bookmarkStart w:id="71" w:name="_Toc565352933"/>
      <w:bookmarkStart w:id="72" w:name="_Toc1054387295"/>
      <w:bookmarkStart w:id="73" w:name="_Toc1566752191"/>
      <w:bookmarkStart w:id="74" w:name="_Toc804702658"/>
      <w:bookmarkStart w:id="75" w:name="_Toc440065161"/>
      <w:bookmarkStart w:id="76" w:name="_Toc1762087142"/>
      <w:bookmarkStart w:id="77" w:name="_Toc160374614"/>
      <w:r>
        <w:rPr>
          <w:rFonts w:hint="eastAsia"/>
          <w:color w:val="auto"/>
          <w:lang w:val="en-US" w:eastAsia="zh-CN"/>
        </w:rPr>
        <w:t xml:space="preserve">第一节 </w:t>
      </w:r>
      <w:bookmarkEnd w:id="65"/>
      <w:r>
        <w:rPr>
          <w:rFonts w:hint="eastAsia"/>
          <w:color w:val="auto"/>
          <w:lang w:val="en-US" w:eastAsia="zh-CN"/>
        </w:rPr>
        <w:t>研究背景与问题提出</w:t>
      </w:r>
      <w:bookmarkEnd w:id="66"/>
      <w:bookmarkEnd w:id="67"/>
      <w:bookmarkEnd w:id="68"/>
      <w:bookmarkEnd w:id="69"/>
      <w:bookmarkEnd w:id="70"/>
      <w:bookmarkEnd w:id="71"/>
      <w:bookmarkEnd w:id="72"/>
      <w:bookmarkEnd w:id="73"/>
      <w:bookmarkEnd w:id="74"/>
      <w:bookmarkEnd w:id="75"/>
      <w:bookmarkEnd w:id="76"/>
      <w:bookmarkEnd w:id="77"/>
    </w:p>
    <w:p w14:paraId="2CFDF7BD">
      <w:pPr>
        <w:pStyle w:val="4"/>
        <w:bidi w:val="0"/>
        <w:rPr>
          <w:rFonts w:hint="eastAsia"/>
          <w:color w:val="auto"/>
          <w:lang w:val="en-US" w:eastAsia="zh-CN"/>
        </w:rPr>
      </w:pPr>
      <w:bookmarkStart w:id="78" w:name="_Toc32018"/>
      <w:bookmarkStart w:id="79" w:name="_Toc2158"/>
      <w:bookmarkStart w:id="80" w:name="_Toc27344"/>
      <w:bookmarkStart w:id="81" w:name="_Toc1588"/>
      <w:bookmarkStart w:id="82" w:name="_Toc17822"/>
      <w:bookmarkStart w:id="83" w:name="_Toc517877403"/>
      <w:bookmarkStart w:id="84" w:name="_Toc1599103464"/>
      <w:bookmarkStart w:id="85" w:name="_Toc52212021"/>
      <w:bookmarkStart w:id="86" w:name="_Toc1374829882"/>
      <w:bookmarkStart w:id="87" w:name="_Toc1277516504"/>
      <w:bookmarkStart w:id="88" w:name="_Toc1933047847"/>
      <w:bookmarkStart w:id="89" w:name="_Toc1468826886"/>
      <w:bookmarkStart w:id="90" w:name="_Toc241480659"/>
      <w:bookmarkStart w:id="91" w:name="_Toc1419090603"/>
      <w:bookmarkStart w:id="92" w:name="_Toc278013409"/>
      <w:bookmarkStart w:id="93" w:name="_Toc2107078270"/>
      <w:bookmarkStart w:id="94" w:name="_Toc324160513"/>
      <w:r>
        <w:rPr>
          <w:rFonts w:hint="eastAsia"/>
          <w:color w:val="auto"/>
          <w:lang w:val="en-US" w:eastAsia="zh-CN"/>
        </w:rPr>
        <w:t>一、</w:t>
      </w:r>
      <w:bookmarkEnd w:id="78"/>
      <w:bookmarkEnd w:id="79"/>
      <w:bookmarkEnd w:id="80"/>
      <w:bookmarkEnd w:id="81"/>
      <w:bookmarkEnd w:id="82"/>
      <w:r>
        <w:rPr>
          <w:rFonts w:hint="eastAsia"/>
          <w:color w:val="auto"/>
          <w:lang w:val="en-US" w:eastAsia="zh-CN"/>
        </w:rPr>
        <w:t>宗教中国化的政策演进与“五个认同”的时代要求</w:t>
      </w:r>
      <w:bookmarkEnd w:id="83"/>
      <w:bookmarkEnd w:id="84"/>
      <w:bookmarkEnd w:id="85"/>
      <w:bookmarkEnd w:id="86"/>
      <w:bookmarkEnd w:id="87"/>
      <w:bookmarkEnd w:id="88"/>
      <w:bookmarkEnd w:id="89"/>
      <w:bookmarkEnd w:id="90"/>
      <w:bookmarkEnd w:id="91"/>
      <w:bookmarkEnd w:id="92"/>
      <w:bookmarkEnd w:id="93"/>
      <w:bookmarkEnd w:id="94"/>
    </w:p>
    <w:p w14:paraId="25E5827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color w:val="auto"/>
          <w:lang w:eastAsia="zh-CN"/>
        </w:rPr>
        <w:t>“</w:t>
      </w:r>
      <w:r>
        <w:rPr>
          <w:color w:val="auto"/>
        </w:rPr>
        <w:t>宗教中国化</w:t>
      </w:r>
      <w:r>
        <w:rPr>
          <w:rFonts w:hint="eastAsia"/>
          <w:color w:val="auto"/>
          <w:lang w:eastAsia="zh-CN"/>
        </w:rPr>
        <w:t>”</w:t>
      </w:r>
      <w:r>
        <w:rPr>
          <w:color w:val="auto"/>
        </w:rPr>
        <w:t>这一概念在学术界的兴起，可以追溯到2016年召开的全国宗教工作会议。该次会议首次系统性地提出，宗教团体应当对自身的教义教规进行符合时代发展需要的重新解读，同时融入中华优秀传统文化的精髓。这一指示为基督教等外来宗教的本土化探索提供了明确的方向指引，也为本文的研究主旨奠定了政策基础。</w:t>
      </w:r>
    </w:p>
    <w:p w14:paraId="16ECEC4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2021年全国宗教工作会议进一步深化了宗教中国化的理论内涵，明确提出以社会主义核心价值观引领宗教发展，增进宗教界对祖国、民族、文化、政党、制度的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。这一论述被学界视为新时代宗教中国化的政治基石，也为本文的价值融合路径提供了根本的政策依据。</w:t>
      </w:r>
    </w:p>
    <w:p w14:paraId="69246E5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color w:val="auto"/>
        </w:rPr>
        <w:t>作为新时代宗教工作的政治基石，</w:t>
      </w:r>
      <w:r>
        <w:rPr>
          <w:rFonts w:hint="eastAsia"/>
          <w:color w:val="auto"/>
          <w:lang w:eastAsia="zh-CN"/>
        </w:rPr>
        <w:t>“</w:t>
      </w:r>
      <w:r>
        <w:rPr>
          <w:color w:val="auto"/>
        </w:rPr>
        <w:t>五个认同</w:t>
      </w:r>
      <w:r>
        <w:rPr>
          <w:rFonts w:hint="eastAsia"/>
          <w:color w:val="auto"/>
          <w:lang w:eastAsia="zh-CN"/>
        </w:rPr>
        <w:t>”</w:t>
      </w:r>
      <w:r>
        <w:rPr>
          <w:color w:val="auto"/>
        </w:rPr>
        <w:t>构成了一个逻辑自洽的价值框架。这一框架以国家认同为起点，以民族认同为载体，以文化认同为根基，以政党认同为保障，以制度认同为落脚点。具体而言，信众需要首先确立公民身份认知，将国家利益置于首位；其次强化中华民族共同体意识，促进跨民族交流互动；再次从中华优秀传统文化中汲取养分，实现宗教文化与本土文化的有机融合；最后深化对党的领导地位和社会主义道路的理解与认同。这五个层面相互交织，共同服务于宗教中国化的实践目标。</w:t>
      </w:r>
      <w:r>
        <w:rPr>
          <w:rStyle w:val="29"/>
          <w:color w:val="auto"/>
        </w:rPr>
        <w:footnoteReference w:id="0"/>
      </w:r>
    </w:p>
    <w:p w14:paraId="74E68A8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王伟光的研究指出，宗教中国化要求宗教界正确认识国法与教规的关系，树立国大于教、教民首先是公民的认知，不断增强国家意识、公民意识和法治意识。 游斌的研究进一步指出，深入推进宗教中国化，就是要引导信教群众认识到中国共产党和中国特色社会主义在民族团结与发展中的核心地位。</w:t>
      </w:r>
      <w:r>
        <w:rPr>
          <w:rStyle w:val="29"/>
          <w:rFonts w:hint="eastAsia" w:ascii="宋体" w:hAnsi="宋体" w:eastAsia="宋体" w:cs="宋体"/>
          <w:color w:val="auto"/>
          <w:sz w:val="24"/>
          <w:szCs w:val="24"/>
        </w:rPr>
        <w:footnoteReference w:id="1"/>
      </w:r>
      <w:r>
        <w:rPr>
          <w:rStyle w:val="29"/>
          <w:rFonts w:hint="eastAsia" w:ascii="宋体" w:hAnsi="宋体" w:eastAsia="宋体" w:cs="宋体"/>
          <w:color w:val="auto"/>
          <w:sz w:val="24"/>
          <w:szCs w:val="24"/>
        </w:rPr>
        <w:footnoteReference w:id="2"/>
      </w:r>
    </w:p>
    <w:p w14:paraId="2446199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宋体" w:hAnsi="宋体" w:eastAsia="宋体" w:cs="宋体"/>
          <w:color w:val="auto"/>
          <w:sz w:val="24"/>
          <w:szCs w:val="24"/>
          <w:lang w:val="en-US" w:eastAsia="zh-CN"/>
        </w:rPr>
        <w:footnoteReference w:id="3"/>
      </w:r>
      <w:r>
        <w:rPr>
          <w:rFonts w:hint="eastAsia" w:ascii="宋体" w:hAnsi="宋体" w:eastAsia="宋体" w:cs="宋体"/>
          <w:color w:val="auto"/>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宋体" w:hAnsi="宋体" w:eastAsia="宋体" w:cs="宋体"/>
          <w:color w:val="auto"/>
          <w:sz w:val="24"/>
          <w:szCs w:val="24"/>
          <w:lang w:val="en-US" w:eastAsia="zh-CN"/>
        </w:rPr>
        <w:footnoteReference w:id="4"/>
      </w:r>
      <w:r>
        <w:rPr>
          <w:rFonts w:hint="eastAsia" w:ascii="宋体" w:hAnsi="宋体" w:eastAsia="宋体" w:cs="宋体"/>
          <w:color w:val="auto"/>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宋体" w:hAnsi="宋体" w:eastAsia="宋体" w:cs="宋体"/>
          <w:color w:val="auto"/>
          <w:sz w:val="24"/>
          <w:szCs w:val="24"/>
          <w:lang w:val="en-US" w:eastAsia="zh-CN"/>
        </w:rPr>
        <w:footnoteReference w:id="5"/>
      </w:r>
    </w:p>
    <w:p w14:paraId="5F4732F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color w:val="auto"/>
        </w:rPr>
        <w:t>作为浙江省宗教界</w:t>
      </w:r>
      <w:r>
        <w:rPr>
          <w:rFonts w:hint="eastAsia"/>
          <w:color w:val="auto"/>
          <w:lang w:eastAsia="zh-CN"/>
        </w:rPr>
        <w:t>“</w:t>
      </w:r>
      <w:r>
        <w:rPr>
          <w:color w:val="auto"/>
        </w:rPr>
        <w:t>双通</w:t>
      </w:r>
      <w:r>
        <w:rPr>
          <w:rFonts w:hint="eastAsia"/>
          <w:color w:val="auto"/>
          <w:lang w:eastAsia="zh-CN"/>
        </w:rPr>
        <w:t>”</w:t>
      </w:r>
      <w:r>
        <w:rPr>
          <w:color w:val="auto"/>
        </w:rPr>
        <w:t>人才研修班的学员，本文研究始终坚持以</w:t>
      </w:r>
      <w:r>
        <w:rPr>
          <w:rFonts w:hint="eastAsia"/>
          <w:color w:val="auto"/>
          <w:lang w:eastAsia="zh-CN"/>
        </w:rPr>
        <w:t>“</w:t>
      </w:r>
      <w:r>
        <w:rPr>
          <w:color w:val="auto"/>
        </w:rPr>
        <w:t>五个认同</w:t>
      </w:r>
      <w:r>
        <w:rPr>
          <w:rFonts w:hint="eastAsia"/>
          <w:color w:val="auto"/>
          <w:lang w:eastAsia="zh-CN"/>
        </w:rPr>
        <w:t>”</w:t>
      </w:r>
      <w:r>
        <w:rPr>
          <w:color w:val="auto"/>
        </w:rPr>
        <w:t>为根本政治遵循，将</w:t>
      </w:r>
      <w:r>
        <w:rPr>
          <w:rFonts w:hint="eastAsia"/>
          <w:color w:val="auto"/>
          <w:lang w:eastAsia="zh-CN"/>
        </w:rPr>
        <w:t>“</w:t>
      </w:r>
      <w:r>
        <w:rPr>
          <w:color w:val="auto"/>
        </w:rPr>
        <w:t>政治上靠得住、宗教上有造诣、品德上能服众、关键时起作用</w:t>
      </w:r>
      <w:r>
        <w:rPr>
          <w:rFonts w:hint="eastAsia"/>
          <w:color w:val="auto"/>
          <w:lang w:eastAsia="zh-CN"/>
        </w:rPr>
        <w:t>”</w:t>
      </w:r>
      <w:r>
        <w:rPr>
          <w:color w:val="auto"/>
        </w:rPr>
        <w:t>的培养要求作为学术写作的价值坐标。在论文撰写过程中，注重将宗教中国化的政策导向转化为具体的学术论证，将理论分析与实践路径设计相结合，体现出对伟大祖国、中华民族、中华文化、中国共产党和中国特色社会主义的坚定认同。</w:t>
      </w:r>
    </w:p>
    <w:p w14:paraId="5CE61F6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color w:val="auto"/>
        </w:rPr>
        <w:t>在此基础上，将</w:t>
      </w:r>
      <w:r>
        <w:rPr>
          <w:rFonts w:hint="eastAsia"/>
          <w:color w:val="auto"/>
          <w:lang w:eastAsia="zh-CN"/>
        </w:rPr>
        <w:t>“</w:t>
      </w:r>
      <w:r>
        <w:rPr>
          <w:color w:val="auto"/>
        </w:rPr>
        <w:t>五个认同</w:t>
      </w:r>
      <w:r>
        <w:rPr>
          <w:rFonts w:hint="eastAsia"/>
          <w:color w:val="auto"/>
          <w:lang w:eastAsia="zh-CN"/>
        </w:rPr>
        <w:t>”</w:t>
      </w:r>
      <w:r>
        <w:rPr>
          <w:color w:val="auto"/>
        </w:rPr>
        <w:t>从宏观政治要求转化为贯穿全文的具体分析工具，具体操作化为五个检验维度：其一，以</w:t>
      </w:r>
      <w:r>
        <w:rPr>
          <w:rFonts w:hint="eastAsia"/>
          <w:color w:val="auto"/>
          <w:lang w:eastAsia="zh-CN"/>
        </w:rPr>
        <w:t>“</w:t>
      </w:r>
      <w:r>
        <w:rPr>
          <w:color w:val="auto"/>
        </w:rPr>
        <w:t>认同伟大祖国</w:t>
      </w:r>
      <w:r>
        <w:rPr>
          <w:rFonts w:hint="eastAsia"/>
          <w:color w:val="auto"/>
          <w:lang w:eastAsia="zh-CN"/>
        </w:rPr>
        <w:t>”</w:t>
      </w:r>
      <w:r>
        <w:rPr>
          <w:color w:val="auto"/>
        </w:rPr>
        <w:t>为标准，检验融合实践是否有助于增进国家意识、公民意识和法治意识；其二，以</w:t>
      </w:r>
      <w:r>
        <w:rPr>
          <w:rFonts w:hint="eastAsia"/>
          <w:color w:val="auto"/>
          <w:lang w:eastAsia="zh-CN"/>
        </w:rPr>
        <w:t>“</w:t>
      </w:r>
      <w:r>
        <w:rPr>
          <w:color w:val="auto"/>
        </w:rPr>
        <w:t>认同中华民族</w:t>
      </w:r>
      <w:r>
        <w:rPr>
          <w:rFonts w:hint="eastAsia"/>
          <w:color w:val="auto"/>
          <w:lang w:eastAsia="zh-CN"/>
        </w:rPr>
        <w:t>”</w:t>
      </w:r>
      <w:r>
        <w:rPr>
          <w:color w:val="auto"/>
        </w:rPr>
        <w:t>为标准，检验融合实践是否有助于铸牢中华民族共同体意识；其三，以</w:t>
      </w:r>
      <w:r>
        <w:rPr>
          <w:rFonts w:hint="eastAsia"/>
          <w:color w:val="auto"/>
          <w:lang w:eastAsia="zh-CN"/>
        </w:rPr>
        <w:t>“</w:t>
      </w:r>
      <w:r>
        <w:rPr>
          <w:color w:val="auto"/>
        </w:rPr>
        <w:t>认同中华文化</w:t>
      </w:r>
      <w:r>
        <w:rPr>
          <w:rFonts w:hint="eastAsia"/>
          <w:color w:val="auto"/>
          <w:lang w:eastAsia="zh-CN"/>
        </w:rPr>
        <w:t>”</w:t>
      </w:r>
      <w:r>
        <w:rPr>
          <w:color w:val="auto"/>
        </w:rPr>
        <w:t>为标准，检验教义阐释是否有效吸收了中华优秀传统文化资源；其四，以</w:t>
      </w:r>
      <w:r>
        <w:rPr>
          <w:rFonts w:hint="eastAsia"/>
          <w:color w:val="auto"/>
          <w:lang w:eastAsia="zh-CN"/>
        </w:rPr>
        <w:t>“</w:t>
      </w:r>
      <w:r>
        <w:rPr>
          <w:color w:val="auto"/>
        </w:rPr>
        <w:t>认同中国共产党</w:t>
      </w:r>
      <w:r>
        <w:rPr>
          <w:rFonts w:hint="eastAsia"/>
          <w:color w:val="auto"/>
          <w:lang w:eastAsia="zh-CN"/>
        </w:rPr>
        <w:t>”</w:t>
      </w:r>
      <w:r>
        <w:rPr>
          <w:color w:val="auto"/>
        </w:rPr>
        <w:t>为标准，检验融合路径是否有助于引导信众拥护党的领导；其五，以</w:t>
      </w:r>
      <w:r>
        <w:rPr>
          <w:rFonts w:hint="eastAsia"/>
          <w:color w:val="auto"/>
          <w:lang w:eastAsia="zh-CN"/>
        </w:rPr>
        <w:t>“</w:t>
      </w:r>
      <w:r>
        <w:rPr>
          <w:color w:val="auto"/>
        </w:rPr>
        <w:t>认同中国特色社会主义</w:t>
      </w:r>
      <w:r>
        <w:rPr>
          <w:rFonts w:hint="eastAsia"/>
          <w:color w:val="auto"/>
          <w:lang w:eastAsia="zh-CN"/>
        </w:rPr>
        <w:t>”</w:t>
      </w:r>
      <w:r>
        <w:rPr>
          <w:color w:val="auto"/>
        </w:rPr>
        <w:t>为标准，检验融合实践是否有助于宗教与社会主义社会相适应。这五个维度贯穿于本文的契合性分析、障碍梳理与路径构建全过程，形成从政治引领到理论分析再到实践检验的完整逻辑链条。</w:t>
      </w:r>
    </w:p>
    <w:p w14:paraId="3A954973">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p>
    <w:p w14:paraId="7D4925B8">
      <w:pPr>
        <w:pStyle w:val="4"/>
        <w:bidi w:val="0"/>
        <w:rPr>
          <w:rFonts w:hint="eastAsia"/>
          <w:color w:val="auto"/>
          <w:lang w:val="en-US" w:eastAsia="zh-CN"/>
        </w:rPr>
      </w:pPr>
      <w:bookmarkStart w:id="95" w:name="_Toc1354108971"/>
      <w:bookmarkStart w:id="96" w:name="_Toc678380022"/>
      <w:bookmarkStart w:id="97" w:name="_Toc702381039"/>
      <w:bookmarkStart w:id="98" w:name="_Toc1602552713"/>
      <w:bookmarkStart w:id="99" w:name="_Toc1794432838"/>
      <w:bookmarkStart w:id="100" w:name="_Toc1248950737"/>
      <w:bookmarkStart w:id="101" w:name="_Toc374077243"/>
      <w:bookmarkStart w:id="102" w:name="_Toc1659144860"/>
      <w:bookmarkStart w:id="103" w:name="_Toc1968826630"/>
      <w:bookmarkStart w:id="104" w:name="_Toc214290930"/>
      <w:bookmarkStart w:id="105" w:name="_Toc1989268701"/>
      <w:bookmarkStart w:id="106" w:name="_Toc2147213199"/>
      <w:r>
        <w:rPr>
          <w:rFonts w:hint="eastAsia"/>
          <w:color w:val="auto"/>
          <w:lang w:val="en-US" w:eastAsia="zh-CN"/>
        </w:rPr>
        <w:t>二、要求基督教本土化发展的现实困境</w:t>
      </w:r>
      <w:bookmarkEnd w:id="95"/>
      <w:bookmarkEnd w:id="96"/>
      <w:bookmarkEnd w:id="97"/>
      <w:bookmarkEnd w:id="98"/>
      <w:bookmarkEnd w:id="99"/>
      <w:bookmarkEnd w:id="100"/>
      <w:bookmarkEnd w:id="101"/>
      <w:bookmarkEnd w:id="102"/>
      <w:bookmarkEnd w:id="103"/>
      <w:bookmarkEnd w:id="104"/>
      <w:bookmarkEnd w:id="105"/>
      <w:bookmarkEnd w:id="106"/>
    </w:p>
    <w:p w14:paraId="6ABE0FD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据国内宗教研究领域的公开统计数据，目前我国基督教信众总规模约3800万人，地域分布呈现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县域及以下乡村占比高、中西部地区占比高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的特征。</w:t>
      </w:r>
      <w:r>
        <w:rPr>
          <w:rStyle w:val="29"/>
          <w:rFonts w:hint="eastAsia" w:ascii="宋体" w:hAnsi="宋体" w:eastAsia="宋体" w:cs="宋体"/>
          <w:color w:val="auto"/>
          <w:sz w:val="24"/>
          <w:szCs w:val="24"/>
        </w:rPr>
        <w:footnoteReference w:id="6"/>
      </w:r>
      <w:r>
        <w:rPr>
          <w:rFonts w:hint="eastAsia" w:ascii="宋体" w:hAnsi="宋体" w:eastAsia="宋体" w:cs="宋体"/>
          <w:color w:val="auto"/>
          <w:sz w:val="24"/>
          <w:szCs w:val="24"/>
        </w:rPr>
        <w:t xml:space="preserve"> 在本土化发展的过程中，基督教团体面临三重现实困境：</w:t>
      </w:r>
    </w:p>
    <w:p w14:paraId="7213B8E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第一，教义阐释的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西方中心主义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残余。部分偏远乡村教会的讲经内容直接照搬国外神学体系，缺乏对儒家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等本土文化语境的创造性转化，导致信众在文化认同上出现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叠合身份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困境——既难以完全融入本土社会文化，又无法维持纯粹的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西方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信仰形态。</w:t>
      </w:r>
      <w:r>
        <w:rPr>
          <w:rStyle w:val="29"/>
          <w:rFonts w:hint="eastAsia" w:ascii="宋体" w:hAnsi="宋体" w:eastAsia="宋体" w:cs="宋体"/>
          <w:color w:val="auto"/>
          <w:sz w:val="24"/>
          <w:szCs w:val="24"/>
        </w:rPr>
        <w:footnoteReference w:id="7"/>
      </w:r>
    </w:p>
    <w:p w14:paraId="4F6D42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慈善实践的“宗教标识化”风险。部分教会在开展公益活动时刻意突出宗教标识，甚至将慈善服务作为传教的隐性渠道，既存在合规问题，也加剧了普通民众对基督教的刻板印象，损害了宗教与社会的和谐关系。</w:t>
      </w:r>
    </w:p>
    <w:p w14:paraId="187470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第三，价值对话的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话语体系断裂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。基督教神学话语与社会主义核心价值观话语之间存在显著的语义鸿沟，前者以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神启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救赎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为核心范畴，后者以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发展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为核心范畴，二者在公共领域的对话缺乏有效的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机制，导致融合实践往往流于形式或产生误解。</w:t>
      </w:r>
    </w:p>
    <w:p w14:paraId="76F7AB9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信仰市场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中提升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产品适配性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的战略选择——将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这一宗教伦理进行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本土化包装</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，以契合主流文化的价值偏好，从而扩大其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社会认可度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
      </w:r>
    </w:p>
    <w:p w14:paraId="6711BADD">
      <w:pPr>
        <w:rPr>
          <w:rFonts w:hint="eastAsia"/>
          <w:color w:val="auto"/>
          <w:lang w:val="en-US" w:eastAsia="zh-CN"/>
        </w:rPr>
      </w:pPr>
      <w:bookmarkStart w:id="107" w:name="_Toc200514914"/>
      <w:bookmarkStart w:id="108" w:name="_Toc363546717"/>
      <w:bookmarkStart w:id="109" w:name="_Toc542347831"/>
      <w:bookmarkStart w:id="110" w:name="_Toc1919853445"/>
      <w:bookmarkStart w:id="111" w:name="_Toc257584491"/>
      <w:bookmarkStart w:id="112" w:name="_Toc1609870981"/>
      <w:bookmarkStart w:id="113" w:name="_Toc1625268338"/>
      <w:bookmarkStart w:id="114" w:name="_Toc1641137434"/>
      <w:bookmarkStart w:id="115" w:name="_Toc1431588332"/>
      <w:bookmarkStart w:id="116" w:name="_Toc1613641211"/>
      <w:bookmarkStart w:id="117" w:name="_Toc172505725"/>
      <w:r>
        <w:rPr>
          <w:rFonts w:hint="eastAsia"/>
          <w:color w:val="auto"/>
          <w:lang w:val="en-US" w:eastAsia="zh-CN"/>
        </w:rPr>
        <w:br w:type="page"/>
      </w:r>
    </w:p>
    <w:p w14:paraId="45A16FE0">
      <w:pPr>
        <w:pStyle w:val="3"/>
        <w:bidi w:val="0"/>
        <w:rPr>
          <w:rFonts w:hint="eastAsia"/>
          <w:color w:val="auto"/>
          <w:lang w:val="en-US" w:eastAsia="zh-CN"/>
        </w:rPr>
      </w:pPr>
      <w:bookmarkStart w:id="118" w:name="_Toc1897031405"/>
      <w:r>
        <w:rPr>
          <w:rFonts w:hint="eastAsia"/>
          <w:color w:val="auto"/>
          <w:lang w:val="en-US" w:eastAsia="zh-CN"/>
        </w:rPr>
        <w:t>第二节 文献综述</w:t>
      </w:r>
      <w:bookmarkEnd w:id="107"/>
      <w:bookmarkEnd w:id="108"/>
      <w:bookmarkEnd w:id="109"/>
      <w:bookmarkEnd w:id="110"/>
      <w:bookmarkEnd w:id="111"/>
      <w:bookmarkEnd w:id="112"/>
      <w:bookmarkEnd w:id="113"/>
      <w:bookmarkEnd w:id="114"/>
      <w:bookmarkEnd w:id="115"/>
      <w:bookmarkEnd w:id="116"/>
      <w:bookmarkEnd w:id="117"/>
      <w:bookmarkEnd w:id="118"/>
    </w:p>
    <w:p w14:paraId="33329422">
      <w:pPr>
        <w:pStyle w:val="4"/>
        <w:bidi w:val="0"/>
        <w:rPr>
          <w:rFonts w:hint="eastAsia"/>
          <w:color w:val="auto"/>
          <w:lang w:val="en-US" w:eastAsia="zh-CN"/>
        </w:rPr>
      </w:pPr>
      <w:bookmarkStart w:id="119" w:name="_Toc2040450573"/>
      <w:bookmarkStart w:id="120" w:name="_Toc200796625"/>
      <w:bookmarkStart w:id="121" w:name="_Toc298314936"/>
      <w:bookmarkStart w:id="122" w:name="_Toc2042991532"/>
      <w:bookmarkStart w:id="123" w:name="_Toc652317455"/>
      <w:bookmarkStart w:id="124" w:name="_Toc316891170"/>
      <w:bookmarkStart w:id="125" w:name="_Toc2044338961"/>
      <w:bookmarkStart w:id="126" w:name="_Toc1319397749"/>
      <w:bookmarkStart w:id="127" w:name="_Toc538696904"/>
      <w:bookmarkStart w:id="128" w:name="_Toc1035053940"/>
      <w:bookmarkStart w:id="129" w:name="_Toc955109114"/>
      <w:bookmarkStart w:id="130" w:name="_Toc1864600473"/>
      <w:r>
        <w:rPr>
          <w:rFonts w:hint="eastAsia"/>
          <w:color w:val="auto"/>
          <w:lang w:val="en-US" w:eastAsia="zh-CN"/>
        </w:rPr>
        <w:t>一、基督教仁爱观念的本源阐释与跨文化研究</w:t>
      </w:r>
      <w:bookmarkEnd w:id="119"/>
      <w:bookmarkEnd w:id="120"/>
      <w:bookmarkEnd w:id="121"/>
      <w:bookmarkEnd w:id="122"/>
      <w:bookmarkEnd w:id="123"/>
      <w:bookmarkEnd w:id="124"/>
      <w:bookmarkEnd w:id="125"/>
      <w:bookmarkEnd w:id="126"/>
      <w:bookmarkEnd w:id="127"/>
      <w:bookmarkEnd w:id="128"/>
      <w:bookmarkEnd w:id="129"/>
      <w:bookmarkEnd w:id="130"/>
    </w:p>
    <w:p w14:paraId="0E2A493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基督教仁爱观念的本源研究集中在对希腊语汇</w:t>
      </w:r>
      <w:r>
        <w:rPr>
          <w:rFonts w:hint="default" w:ascii="Times New Roman Regular" w:hAnsi="Times New Roman Regular" w:eastAsia="宋体" w:cs="Times New Roman Regular"/>
          <w:color w:val="auto"/>
          <w:sz w:val="24"/>
          <w:szCs w:val="24"/>
          <w:lang w:val="en-US" w:eastAsia="zh-CN"/>
        </w:rPr>
        <w:t>Agape（ἀγάπη）</w:t>
      </w:r>
      <w:r>
        <w:rPr>
          <w:rFonts w:hint="eastAsia" w:ascii="宋体" w:hAnsi="宋体" w:eastAsia="宋体" w:cs="宋体"/>
          <w:color w:val="auto"/>
          <w:sz w:val="24"/>
          <w:szCs w:val="24"/>
          <w:lang w:val="en-US" w:eastAsia="zh-CN"/>
        </w:rPr>
        <w:t>的神学阐释。</w:t>
      </w:r>
      <w:r>
        <w:rPr>
          <w:rFonts w:hint="default" w:ascii="Times New Roman" w:hAnsi="Times New Roman" w:eastAsia="宋体" w:cs="Times New Roman"/>
          <w:color w:val="auto"/>
          <w:sz w:val="24"/>
          <w:szCs w:val="24"/>
          <w:lang w:val="en-US" w:eastAsia="zh-CN"/>
        </w:rPr>
        <w:t>Anders Nygren</w:t>
      </w:r>
      <w:r>
        <w:rPr>
          <w:rFonts w:hint="eastAsia" w:ascii="宋体" w:hAnsi="宋体" w:eastAsia="宋体" w:cs="宋体"/>
          <w:color w:val="auto"/>
          <w:sz w:val="24"/>
          <w:szCs w:val="24"/>
          <w:lang w:val="en-US" w:eastAsia="zh-CN"/>
        </w:rPr>
        <w:t>在经典著作《圣爱与欲爱》中严格区分了</w:t>
      </w:r>
      <w:r>
        <w:rPr>
          <w:rFonts w:hint="default" w:ascii="Times New Roman" w:hAnsi="Times New Roman" w:eastAsia="宋体" w:cs="Times New Roman"/>
          <w:color w:val="auto"/>
          <w:sz w:val="24"/>
          <w:szCs w:val="24"/>
          <w:lang w:val="en-US" w:eastAsia="zh-CN"/>
        </w:rPr>
        <w:t>Agape</w:t>
      </w:r>
      <w:r>
        <w:rPr>
          <w:rFonts w:hint="eastAsia" w:ascii="宋体" w:hAnsi="宋体" w:eastAsia="宋体" w:cs="宋体"/>
          <w:color w:val="auto"/>
          <w:sz w:val="24"/>
          <w:szCs w:val="24"/>
          <w:lang w:val="en-US" w:eastAsia="zh-CN"/>
        </w:rPr>
        <w:t>与</w:t>
      </w:r>
      <w:r>
        <w:rPr>
          <w:rFonts w:hint="default" w:ascii="Times New Roman" w:hAnsi="Times New Roman" w:eastAsia="宋体" w:cs="Times New Roman"/>
          <w:color w:val="auto"/>
          <w:sz w:val="24"/>
          <w:szCs w:val="24"/>
          <w:lang w:val="en-US" w:eastAsia="zh-CN"/>
        </w:rPr>
        <w:t>Eros：Agape</w:t>
      </w:r>
      <w:r>
        <w:rPr>
          <w:rFonts w:hint="eastAsia" w:ascii="宋体" w:hAnsi="宋体" w:eastAsia="宋体" w:cs="宋体"/>
          <w:color w:val="auto"/>
          <w:sz w:val="24"/>
          <w:szCs w:val="24"/>
          <w:lang w:val="en-US" w:eastAsia="zh-CN"/>
        </w:rPr>
        <w:t>是“自上而下的赐予”，以上帝为唯一主体，具有无条件性和神圣性；</w:t>
      </w:r>
      <w:r>
        <w:rPr>
          <w:rFonts w:hint="default" w:ascii="Times New Roman" w:hAnsi="Times New Roman" w:eastAsia="宋体" w:cs="Times New Roman"/>
          <w:color w:val="auto"/>
          <w:sz w:val="24"/>
          <w:szCs w:val="24"/>
          <w:lang w:val="en-US" w:eastAsia="zh-CN"/>
        </w:rPr>
        <w:t>Eros</w:t>
      </w:r>
      <w:r>
        <w:rPr>
          <w:rFonts w:hint="eastAsia" w:ascii="宋体" w:hAnsi="宋体" w:eastAsia="宋体" w:cs="宋体"/>
          <w:color w:val="auto"/>
          <w:sz w:val="24"/>
          <w:szCs w:val="24"/>
          <w:lang w:val="en-US" w:eastAsia="zh-CN"/>
        </w:rPr>
        <w:t>则是“自下而上的追求”，以人的需要为驱动力，具有条件性和世俗性。</w:t>
      </w:r>
      <w:r>
        <w:rPr>
          <w:rStyle w:val="29"/>
          <w:rFonts w:hint="eastAsia" w:ascii="宋体" w:hAnsi="宋体" w:eastAsia="宋体" w:cs="宋体"/>
          <w:color w:val="auto"/>
          <w:sz w:val="24"/>
          <w:szCs w:val="24"/>
          <w:lang w:val="en-US" w:eastAsia="zh-CN"/>
        </w:rPr>
        <w:footnoteReference w:id="9"/>
      </w:r>
      <w:r>
        <w:rPr>
          <w:rFonts w:hint="eastAsia" w:ascii="宋体" w:hAnsi="宋体" w:eastAsia="宋体" w:cs="宋体"/>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Thomas Aquinas</w:t>
      </w:r>
      <w:r>
        <w:rPr>
          <w:rFonts w:hint="eastAsia" w:ascii="宋体" w:hAnsi="宋体" w:eastAsia="宋体" w:cs="宋体"/>
          <w:color w:val="auto"/>
          <w:sz w:val="24"/>
          <w:szCs w:val="24"/>
          <w:lang w:val="en-US" w:eastAsia="zh-CN"/>
        </w:rPr>
        <w:t>在《神学大全》第二集第二部分将“爱德”</w:t>
      </w:r>
      <w:r>
        <w:rPr>
          <w:rFonts w:hint="default" w:ascii="Times New Roman" w:hAnsi="Times New Roman" w:eastAsia="宋体" w:cs="Times New Roman"/>
          <w:color w:val="auto"/>
          <w:sz w:val="24"/>
          <w:szCs w:val="24"/>
          <w:lang w:val="en-US" w:eastAsia="zh-CN"/>
        </w:rPr>
        <w:t>（Charity）</w:t>
      </w:r>
      <w:r>
        <w:rPr>
          <w:rFonts w:hint="eastAsia" w:ascii="宋体" w:hAnsi="宋体" w:eastAsia="宋体" w:cs="宋体"/>
          <w:color w:val="auto"/>
          <w:sz w:val="24"/>
          <w:szCs w:val="24"/>
          <w:lang w:val="en-US" w:eastAsia="zh-CN"/>
        </w:rPr>
        <w:t>视为神学德性之首，论证其对象首先是上帝，其次是邻人，构建了“爱神—爱人”的双重维度。</w:t>
      </w:r>
      <w:r>
        <w:rPr>
          <w:rStyle w:val="29"/>
          <w:rFonts w:hint="eastAsia" w:ascii="宋体" w:hAnsi="宋体" w:eastAsia="宋体" w:cs="宋体"/>
          <w:color w:val="auto"/>
          <w:sz w:val="24"/>
          <w:szCs w:val="24"/>
          <w:lang w:val="en-US" w:eastAsia="zh-CN"/>
        </w:rPr>
        <w:footnoteReference w:id="10"/>
      </w:r>
      <w:r>
        <w:rPr>
          <w:rFonts w:hint="eastAsia" w:ascii="宋体" w:hAnsi="宋体" w:eastAsia="宋体" w:cs="宋体"/>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Pope Benedict XVI</w:t>
      </w:r>
      <w:r>
        <w:rPr>
          <w:rFonts w:hint="eastAsia" w:ascii="宋体" w:hAnsi="宋体" w:eastAsia="宋体" w:cs="宋体"/>
          <w:color w:val="auto"/>
          <w:sz w:val="24"/>
          <w:szCs w:val="24"/>
          <w:lang w:val="en-US" w:eastAsia="zh-CN"/>
        </w:rPr>
        <w:t>在2005年通谕《天主是爱》</w:t>
      </w:r>
      <w:r>
        <w:rPr>
          <w:rFonts w:hint="default" w:ascii="Times New Roman" w:hAnsi="Times New Roman" w:eastAsia="宋体" w:cs="Times New Roman"/>
          <w:color w:val="auto"/>
          <w:sz w:val="24"/>
          <w:szCs w:val="24"/>
          <w:lang w:val="en-US" w:eastAsia="zh-CN"/>
        </w:rPr>
        <w:t>（Deus Caritas Est）</w:t>
      </w:r>
      <w:r>
        <w:rPr>
          <w:rFonts w:hint="eastAsia" w:ascii="宋体" w:hAnsi="宋体" w:eastAsia="宋体" w:cs="宋体"/>
          <w:color w:val="auto"/>
          <w:sz w:val="24"/>
          <w:szCs w:val="24"/>
          <w:lang w:val="en-US" w:eastAsia="zh-CN"/>
        </w:rPr>
        <w:t>中重新阐释了基督教之爱的公共维度，强调爱不仅是个人情感，更是教会作为社会组织的社会责任。</w:t>
      </w:r>
      <w:r>
        <w:rPr>
          <w:rStyle w:val="29"/>
          <w:rFonts w:hint="eastAsia" w:ascii="宋体" w:hAnsi="宋体" w:eastAsia="宋体" w:cs="宋体"/>
          <w:color w:val="auto"/>
          <w:sz w:val="24"/>
          <w:szCs w:val="24"/>
          <w:lang w:val="en-US" w:eastAsia="zh-CN"/>
        </w:rPr>
        <w:footnoteReference w:id="11"/>
      </w:r>
    </w:p>
    <w:p w14:paraId="408588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在跨文化研究方面，杜维明指出儒家之“仁”是“内在超越”的道德本体，与基督教“外在超越”的</w:t>
      </w:r>
      <w:r>
        <w:rPr>
          <w:rFonts w:hint="default" w:ascii="Times New Roman" w:hAnsi="Times New Roman" w:eastAsia="宋体" w:cs="Times New Roman"/>
          <w:color w:val="auto"/>
          <w:sz w:val="24"/>
          <w:szCs w:val="24"/>
          <w:lang w:val="en-US" w:eastAsia="zh-CN"/>
        </w:rPr>
        <w:t>Agape</w:t>
      </w:r>
      <w:r>
        <w:rPr>
          <w:rFonts w:hint="eastAsia" w:ascii="宋体" w:hAnsi="宋体" w:eastAsia="宋体" w:cs="宋体"/>
          <w:color w:val="auto"/>
          <w:sz w:val="24"/>
          <w:szCs w:val="24"/>
          <w:lang w:val="en-US" w:eastAsia="zh-CN"/>
        </w:rPr>
        <w:t>在存在论层面不可通约，但在“推己及人”的实践智慧上可以对话。</w:t>
      </w:r>
      <w:r>
        <w:rPr>
          <w:rStyle w:val="29"/>
          <w:rFonts w:hint="eastAsia" w:ascii="宋体" w:hAnsi="宋体" w:eastAsia="宋体" w:cs="宋体"/>
          <w:color w:val="auto"/>
          <w:sz w:val="24"/>
          <w:szCs w:val="24"/>
          <w:lang w:val="en-US" w:eastAsia="zh-CN"/>
        </w:rPr>
        <w:footnoteReference w:id="12"/>
      </w:r>
      <w:r>
        <w:rPr>
          <w:rFonts w:hint="eastAsia" w:ascii="宋体" w:hAnsi="宋体" w:eastAsia="宋体" w:cs="宋体"/>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Roger Ames</w:t>
      </w:r>
      <w:r>
        <w:rPr>
          <w:rFonts w:hint="eastAsia" w:ascii="宋体" w:hAnsi="宋体" w:eastAsia="宋体" w:cs="宋体"/>
          <w:color w:val="auto"/>
          <w:sz w:val="24"/>
          <w:szCs w:val="24"/>
          <w:lang w:val="en-US" w:eastAsia="zh-CN"/>
        </w:rPr>
        <w:t>与</w:t>
      </w:r>
      <w:r>
        <w:rPr>
          <w:rFonts w:hint="default" w:ascii="Times New Roman" w:hAnsi="Times New Roman" w:eastAsia="宋体" w:cs="Times New Roman"/>
          <w:color w:val="auto"/>
          <w:sz w:val="24"/>
          <w:szCs w:val="24"/>
          <w:lang w:val="en-US" w:eastAsia="zh-CN"/>
        </w:rPr>
        <w:t>Henry Rosemont Jr.</w:t>
      </w:r>
      <w:r>
        <w:rPr>
          <w:rFonts w:hint="eastAsia" w:ascii="宋体" w:hAnsi="宋体" w:eastAsia="宋体" w:cs="宋体"/>
          <w:color w:val="auto"/>
          <w:sz w:val="24"/>
          <w:szCs w:val="24"/>
          <w:lang w:val="en-US" w:eastAsia="zh-CN"/>
        </w:rPr>
        <w:t>在《论语》哲学译本中强调，儒家“仁”并非静态德性，而是“关系性构成”</w:t>
      </w:r>
      <w:r>
        <w:rPr>
          <w:rFonts w:hint="default" w:ascii="Times New Roman" w:hAnsi="Times New Roman" w:eastAsia="宋体" w:cs="Times New Roman"/>
          <w:color w:val="auto"/>
          <w:sz w:val="24"/>
          <w:szCs w:val="24"/>
          <w:lang w:val="en-US" w:eastAsia="zh-CN"/>
        </w:rPr>
        <w:t>（relational constitution）</w:t>
      </w:r>
      <w:r>
        <w:rPr>
          <w:rFonts w:hint="eastAsia" w:ascii="宋体" w:hAnsi="宋体" w:eastAsia="宋体" w:cs="宋体"/>
          <w:color w:val="auto"/>
          <w:sz w:val="24"/>
          <w:szCs w:val="24"/>
          <w:lang w:val="en-US" w:eastAsia="zh-CN"/>
        </w:rPr>
        <w:t>的动态过程，这与基督教</w:t>
      </w:r>
      <w:r>
        <w:rPr>
          <w:rFonts w:hint="default" w:ascii="Times New Roman" w:hAnsi="Times New Roman" w:eastAsia="宋体" w:cs="Times New Roman"/>
          <w:color w:val="auto"/>
          <w:sz w:val="24"/>
          <w:szCs w:val="24"/>
          <w:lang w:val="en-US" w:eastAsia="zh-CN"/>
        </w:rPr>
        <w:t>Agape</w:t>
      </w:r>
      <w:r>
        <w:rPr>
          <w:rFonts w:hint="eastAsia" w:ascii="宋体" w:hAnsi="宋体" w:eastAsia="宋体" w:cs="宋体"/>
          <w:color w:val="auto"/>
          <w:sz w:val="24"/>
          <w:szCs w:val="24"/>
          <w:lang w:val="en-US" w:eastAsia="zh-CN"/>
        </w:rPr>
        <w:t>作为“关系性事件”</w:t>
      </w:r>
      <w:r>
        <w:rPr>
          <w:rFonts w:hint="default" w:ascii="Times New Roman" w:hAnsi="Times New Roman" w:eastAsia="宋体" w:cs="Times New Roman"/>
          <w:color w:val="auto"/>
          <w:sz w:val="24"/>
          <w:szCs w:val="24"/>
          <w:lang w:val="en-US" w:eastAsia="zh-CN"/>
        </w:rPr>
        <w:t>（relational event）</w:t>
      </w:r>
      <w:r>
        <w:rPr>
          <w:rFonts w:hint="eastAsia" w:ascii="宋体" w:hAnsi="宋体" w:eastAsia="宋体" w:cs="宋体"/>
          <w:color w:val="auto"/>
          <w:sz w:val="24"/>
          <w:szCs w:val="24"/>
          <w:lang w:val="en-US" w:eastAsia="zh-CN"/>
        </w:rPr>
        <w:t>具有结构相似性。</w:t>
      </w:r>
      <w:r>
        <w:rPr>
          <w:rStyle w:val="29"/>
          <w:rFonts w:hint="eastAsia" w:ascii="宋体" w:hAnsi="宋体" w:eastAsia="宋体" w:cs="宋体"/>
          <w:color w:val="auto"/>
          <w:sz w:val="24"/>
          <w:szCs w:val="24"/>
          <w:lang w:val="en-US" w:eastAsia="zh-CN"/>
        </w:rPr>
        <w:footnoteReference w:id="13"/>
      </w:r>
      <w:r>
        <w:rPr>
          <w:rFonts w:hint="default" w:ascii="Times New Roman" w:hAnsi="Times New Roman" w:eastAsia="宋体" w:cs="Times New Roman"/>
          <w:color w:val="auto"/>
          <w:sz w:val="24"/>
          <w:szCs w:val="24"/>
          <w:lang w:val="en-US" w:eastAsia="zh-CN"/>
        </w:rPr>
        <w:t xml:space="preserve"> Hans Küng</w:t>
      </w:r>
      <w:r>
        <w:rPr>
          <w:rFonts w:hint="eastAsia" w:ascii="宋体" w:hAnsi="宋体" w:eastAsia="宋体" w:cs="宋体"/>
          <w:color w:val="auto"/>
          <w:sz w:val="24"/>
          <w:szCs w:val="24"/>
          <w:lang w:val="en-US" w:eastAsia="zh-CN"/>
        </w:rPr>
        <w:t>与</w:t>
      </w:r>
      <w:r>
        <w:rPr>
          <w:rFonts w:hint="default" w:ascii="Times New Roman" w:hAnsi="Times New Roman" w:eastAsia="宋体" w:cs="Times New Roman"/>
          <w:color w:val="auto"/>
          <w:sz w:val="24"/>
          <w:szCs w:val="24"/>
          <w:lang w:val="en-US" w:eastAsia="zh-CN"/>
        </w:rPr>
        <w:t>Julia Ching</w:t>
      </w:r>
      <w:r>
        <w:rPr>
          <w:rFonts w:hint="eastAsia" w:ascii="宋体" w:hAnsi="宋体" w:eastAsia="宋体" w:cs="宋体"/>
          <w:color w:val="auto"/>
          <w:sz w:val="24"/>
          <w:szCs w:val="24"/>
          <w:lang w:val="en-US" w:eastAsia="zh-CN"/>
        </w:rPr>
        <w:t>在《基督教与中国宗教》中系统比较了耶儒对话的可能性与限度，指出二者在“金规则”</w:t>
      </w:r>
      <w:r>
        <w:rPr>
          <w:rFonts w:hint="default" w:ascii="Times New Roman" w:hAnsi="Times New Roman" w:eastAsia="宋体" w:cs="Times New Roman"/>
          <w:color w:val="auto"/>
          <w:sz w:val="24"/>
          <w:szCs w:val="24"/>
          <w:lang w:val="en-US" w:eastAsia="zh-CN"/>
        </w:rPr>
        <w:t>（Golden Rule）</w:t>
      </w:r>
      <w:r>
        <w:rPr>
          <w:rFonts w:hint="eastAsia" w:ascii="宋体" w:hAnsi="宋体" w:eastAsia="宋体" w:cs="宋体"/>
          <w:color w:val="auto"/>
          <w:sz w:val="24"/>
          <w:szCs w:val="24"/>
          <w:lang w:val="en-US" w:eastAsia="zh-CN"/>
        </w:rPr>
        <w:t>上存在实践伦理的交叠。</w:t>
      </w:r>
      <w:r>
        <w:rPr>
          <w:rStyle w:val="29"/>
          <w:rFonts w:hint="eastAsia" w:ascii="宋体" w:hAnsi="宋体" w:eastAsia="宋体" w:cs="宋体"/>
          <w:color w:val="auto"/>
          <w:sz w:val="24"/>
          <w:szCs w:val="24"/>
          <w:lang w:val="en-US" w:eastAsia="zh-CN"/>
        </w:rPr>
        <w:footnoteReference w:id="14"/>
      </w:r>
    </w:p>
    <w:p w14:paraId="09BA46D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宋体" w:hAnsi="宋体" w:eastAsia="宋体" w:cs="宋体"/>
          <w:color w:val="auto"/>
          <w:sz w:val="24"/>
          <w:szCs w:val="24"/>
          <w:lang w:val="en-US" w:eastAsia="zh-CN"/>
        </w:rPr>
        <w:footnoteReference w:id="15"/>
      </w:r>
      <w:r>
        <w:rPr>
          <w:rFonts w:hint="eastAsia" w:ascii="宋体" w:hAnsi="宋体" w:eastAsia="宋体" w:cs="宋体"/>
          <w:color w:val="auto"/>
          <w:sz w:val="24"/>
          <w:szCs w:val="24"/>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宋体" w:hAnsi="宋体" w:eastAsia="宋体" w:cs="宋体"/>
          <w:color w:val="auto"/>
          <w:sz w:val="24"/>
          <w:szCs w:val="24"/>
          <w:lang w:val="en-US" w:eastAsia="zh-CN"/>
        </w:rPr>
        <w:footnoteReference w:id="16"/>
      </w:r>
      <w:r>
        <w:rPr>
          <w:rFonts w:hint="eastAsia" w:ascii="宋体" w:hAnsi="宋体" w:eastAsia="宋体" w:cs="宋体"/>
          <w:color w:val="auto"/>
          <w:sz w:val="24"/>
          <w:szCs w:val="24"/>
          <w:lang w:val="en-US" w:eastAsia="zh-CN"/>
        </w:rPr>
        <w:t xml:space="preserve"> 黄勇从全球伦理视角出发，论证儒家仁爱观对爱的多样性和适当性的强调，能够为基督教普遍主义提供有益的补充。</w:t>
      </w:r>
      <w:r>
        <w:rPr>
          <w:rStyle w:val="29"/>
          <w:rFonts w:hint="eastAsia" w:ascii="宋体" w:hAnsi="宋体" w:eastAsia="宋体" w:cs="宋体"/>
          <w:color w:val="auto"/>
          <w:sz w:val="24"/>
          <w:szCs w:val="24"/>
          <w:lang w:val="en-US" w:eastAsia="zh-CN"/>
        </w:rPr>
        <w:footnoteReference w:id="17"/>
      </w:r>
    </w:p>
    <w:p w14:paraId="2BD903D7">
      <w:pPr>
        <w:pStyle w:val="4"/>
        <w:bidi w:val="0"/>
        <w:rPr>
          <w:rFonts w:hint="eastAsia"/>
          <w:color w:val="auto"/>
          <w:lang w:val="en-US" w:eastAsia="zh-CN"/>
        </w:rPr>
      </w:pPr>
      <w:bookmarkStart w:id="131" w:name="_Toc201828521"/>
      <w:bookmarkStart w:id="132" w:name="_Toc1614049174"/>
      <w:bookmarkStart w:id="133" w:name="_Toc87809776"/>
      <w:bookmarkStart w:id="134" w:name="_Toc1092066938"/>
      <w:bookmarkStart w:id="135" w:name="_Toc595448250"/>
      <w:bookmarkStart w:id="136" w:name="_Toc1534028880"/>
      <w:bookmarkStart w:id="137" w:name="_Toc230449630"/>
      <w:bookmarkStart w:id="138" w:name="_Toc442646441"/>
      <w:bookmarkStart w:id="139" w:name="_Toc686421468"/>
      <w:bookmarkStart w:id="140" w:name="_Toc1552297254"/>
      <w:bookmarkStart w:id="141" w:name="_Toc78617673"/>
      <w:bookmarkStart w:id="142" w:name="_Toc111289040"/>
      <w:r>
        <w:rPr>
          <w:rFonts w:hint="eastAsia"/>
          <w:color w:val="auto"/>
          <w:lang w:val="en-US" w:eastAsia="zh-CN"/>
        </w:rPr>
        <w:t>二、研究宗教价值与主流社会价值融合的国际比较</w:t>
      </w:r>
      <w:bookmarkEnd w:id="131"/>
      <w:bookmarkEnd w:id="132"/>
      <w:bookmarkEnd w:id="133"/>
      <w:bookmarkEnd w:id="134"/>
      <w:bookmarkEnd w:id="135"/>
      <w:bookmarkEnd w:id="136"/>
      <w:bookmarkEnd w:id="137"/>
      <w:bookmarkEnd w:id="138"/>
      <w:bookmarkEnd w:id="139"/>
      <w:bookmarkEnd w:id="140"/>
      <w:bookmarkEnd w:id="141"/>
      <w:bookmarkEnd w:id="142"/>
    </w:p>
    <w:p w14:paraId="0A17223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在比较研究方面，</w:t>
      </w:r>
      <w:r>
        <w:rPr>
          <w:rFonts w:hint="default" w:ascii="Times New Roman" w:hAnsi="Times New Roman" w:eastAsia="宋体" w:cs="Times New Roman"/>
          <w:color w:val="auto"/>
          <w:sz w:val="24"/>
          <w:szCs w:val="24"/>
        </w:rPr>
        <w:t>Casanova</w:t>
      </w:r>
      <w:r>
        <w:rPr>
          <w:rFonts w:hint="eastAsia" w:ascii="宋体" w:hAnsi="宋体" w:eastAsia="宋体" w:cs="宋体"/>
          <w:color w:val="auto"/>
          <w:sz w:val="24"/>
          <w:szCs w:val="24"/>
        </w:rPr>
        <w:t>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理论提供了宏观视角。他认为，宗教在现代社会中可以通过参与公共领域讨论、提供社会服务，成为公民社会的重要组成部分，而非必然退入私人领域。</w:t>
      </w:r>
      <w:r>
        <w:rPr>
          <w:rFonts w:hint="default" w:ascii="Times New Roman" w:hAnsi="Times New Roman" w:eastAsia="宋体" w:cs="Times New Roman"/>
          <w:color w:val="auto"/>
          <w:sz w:val="24"/>
          <w:szCs w:val="24"/>
        </w:rPr>
        <w:t>Bellah</w:t>
      </w:r>
      <w:r>
        <w:rPr>
          <w:rFonts w:hint="eastAsia" w:ascii="宋体" w:hAnsi="宋体" w:eastAsia="宋体" w:cs="宋体"/>
          <w:color w:val="auto"/>
          <w:sz w:val="24"/>
          <w:szCs w:val="24"/>
        </w:rPr>
        <w:t>对美国基督教伦理与公民文化融合机制的分析，以及</w:t>
      </w:r>
      <w:r>
        <w:rPr>
          <w:rFonts w:hint="default" w:ascii="Times New Roman" w:hAnsi="Times New Roman" w:eastAsia="宋体" w:cs="Times New Roman"/>
          <w:color w:val="auto"/>
          <w:sz w:val="24"/>
          <w:szCs w:val="24"/>
        </w:rPr>
        <w:t>Troeltsch</w:t>
      </w:r>
      <w:r>
        <w:rPr>
          <w:rFonts w:hint="eastAsia" w:ascii="宋体" w:hAnsi="宋体" w:eastAsia="宋体" w:cs="宋体"/>
          <w:color w:val="auto"/>
          <w:sz w:val="24"/>
          <w:szCs w:val="24"/>
        </w:rPr>
        <w:t>对基督教社会存在形态的类型学划分，都揭示了宗教伦理与社会主流价值之间的功能性融合可能。</w:t>
      </w:r>
      <w:r>
        <w:rPr>
          <w:rFonts w:hint="default" w:ascii="Times New Roman" w:hAnsi="Times New Roman" w:eastAsia="宋体" w:cs="Times New Roman"/>
          <w:color w:val="auto"/>
          <w:sz w:val="24"/>
          <w:szCs w:val="24"/>
        </w:rPr>
        <w:t>Weber</w:t>
      </w:r>
      <w:r>
        <w:rPr>
          <w:rFonts w:hint="eastAsia" w:ascii="宋体" w:hAnsi="宋体" w:eastAsia="宋体" w:cs="宋体"/>
          <w:color w:val="auto"/>
          <w:sz w:val="24"/>
          <w:szCs w:val="24"/>
        </w:rPr>
        <w:t>关于宗教伦理可以通过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非意图后果</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与社会主流价值实现功能整合的方法论，对理解基督教仁爱实践与核心价值观的关系具有启发意义。</w:t>
      </w:r>
      <w:r>
        <w:rPr>
          <w:rStyle w:val="29"/>
          <w:rFonts w:hint="eastAsia" w:ascii="宋体" w:hAnsi="宋体" w:eastAsia="宋体" w:cs="宋体"/>
          <w:color w:val="auto"/>
          <w:sz w:val="24"/>
          <w:szCs w:val="24"/>
        </w:rPr>
        <w:footnoteReference w:id="18"/>
      </w:r>
      <w:r>
        <w:rPr>
          <w:rStyle w:val="29"/>
          <w:rFonts w:hint="eastAsia" w:ascii="宋体" w:hAnsi="宋体" w:eastAsia="宋体" w:cs="宋体"/>
          <w:color w:val="auto"/>
          <w:sz w:val="24"/>
          <w:szCs w:val="24"/>
        </w:rPr>
        <w:footnoteReference w:id="19"/>
      </w:r>
      <w:r>
        <w:rPr>
          <w:rStyle w:val="29"/>
          <w:rFonts w:hint="eastAsia" w:ascii="宋体" w:hAnsi="宋体" w:eastAsia="宋体" w:cs="宋体"/>
          <w:color w:val="auto"/>
          <w:sz w:val="24"/>
          <w:szCs w:val="24"/>
        </w:rPr>
        <w:footnoteReference w:id="20"/>
      </w:r>
      <w:r>
        <w:rPr>
          <w:rStyle w:val="29"/>
          <w:rFonts w:hint="eastAsia" w:ascii="宋体" w:hAnsi="宋体" w:eastAsia="宋体" w:cs="宋体"/>
          <w:color w:val="auto"/>
          <w:sz w:val="24"/>
          <w:szCs w:val="24"/>
        </w:rPr>
        <w:footnoteReference w:id="21"/>
      </w:r>
    </w:p>
    <w:p w14:paraId="2EB5DE91">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default" w:ascii="Times New Roman" w:hAnsi="Times New Roman" w:eastAsia="宋体" w:cs="Times New Roman"/>
          <w:color w:val="auto"/>
          <w:sz w:val="24"/>
          <w:szCs w:val="24"/>
          <w:lang w:val="en-US" w:eastAsia="zh-CN"/>
        </w:rPr>
        <w:t>Ernst Troeltsch</w:t>
      </w:r>
      <w:r>
        <w:rPr>
          <w:rFonts w:hint="eastAsia" w:ascii="宋体" w:hAnsi="宋体" w:eastAsia="宋体" w:cs="宋体"/>
          <w:color w:val="auto"/>
          <w:sz w:val="24"/>
          <w:szCs w:val="24"/>
          <w:lang w:val="en-US" w:eastAsia="zh-CN"/>
        </w:rPr>
        <w:t>在《基督教社会教导》中区分了“教会”</w:t>
      </w:r>
      <w:r>
        <w:rPr>
          <w:rFonts w:hint="default" w:ascii="Times New Roman" w:hAnsi="Times New Roman" w:eastAsia="宋体" w:cs="Times New Roman"/>
          <w:color w:val="auto"/>
          <w:sz w:val="24"/>
          <w:szCs w:val="24"/>
          <w:lang w:val="en-US" w:eastAsia="zh-CN"/>
        </w:rPr>
        <w:t>（Church）</w:t>
      </w:r>
      <w:r>
        <w:rPr>
          <w:rFonts w:hint="eastAsia" w:ascii="宋体" w:hAnsi="宋体" w:eastAsia="宋体" w:cs="宋体"/>
          <w:color w:val="auto"/>
          <w:sz w:val="24"/>
          <w:szCs w:val="24"/>
          <w:lang w:val="en-US" w:eastAsia="zh-CN"/>
        </w:rPr>
        <w:t>、“宗派”</w:t>
      </w:r>
      <w:r>
        <w:rPr>
          <w:rFonts w:hint="default" w:ascii="Times New Roman" w:hAnsi="Times New Roman" w:eastAsia="宋体" w:cs="Times New Roman"/>
          <w:color w:val="auto"/>
          <w:sz w:val="24"/>
          <w:szCs w:val="24"/>
          <w:lang w:val="en-US" w:eastAsia="zh-CN"/>
        </w:rPr>
        <w:t>（Sect）</w:t>
      </w:r>
      <w:r>
        <w:rPr>
          <w:rFonts w:hint="eastAsia" w:ascii="宋体" w:hAnsi="宋体" w:eastAsia="宋体" w:cs="宋体"/>
          <w:color w:val="auto"/>
          <w:sz w:val="24"/>
          <w:szCs w:val="24"/>
          <w:lang w:val="en-US" w:eastAsia="zh-CN"/>
        </w:rPr>
        <w:t>与“神秘主义”</w:t>
      </w:r>
      <w:r>
        <w:rPr>
          <w:rFonts w:hint="default" w:ascii="Times New Roman" w:hAnsi="Times New Roman" w:eastAsia="宋体" w:cs="Times New Roman"/>
          <w:color w:val="auto"/>
          <w:sz w:val="24"/>
          <w:szCs w:val="24"/>
          <w:lang w:val="en-US" w:eastAsia="zh-CN"/>
        </w:rPr>
        <w:t>（Mysticism）</w:t>
      </w:r>
      <w:r>
        <w:rPr>
          <w:rFonts w:hint="eastAsia" w:ascii="宋体" w:hAnsi="宋体" w:eastAsia="宋体" w:cs="宋体"/>
          <w:color w:val="auto"/>
          <w:sz w:val="24"/>
          <w:szCs w:val="24"/>
          <w:lang w:val="en-US" w:eastAsia="zh-CN"/>
        </w:rPr>
        <w:t>三种基督教社会存在形态，指出不同形态与社会主流价值的融合方式存在显著差异。</w:t>
      </w:r>
      <w:r>
        <w:rPr>
          <w:rStyle w:val="29"/>
          <w:rFonts w:hint="eastAsia" w:ascii="宋体" w:hAnsi="宋体" w:eastAsia="宋体" w:cs="宋体"/>
          <w:color w:val="auto"/>
          <w:sz w:val="24"/>
          <w:szCs w:val="24"/>
          <w:lang w:val="en-US" w:eastAsia="zh-CN"/>
        </w:rPr>
        <w:footnoteReference w:id="22"/>
      </w:r>
      <w:r>
        <w:rPr>
          <w:rFonts w:hint="eastAsia" w:ascii="宋体" w:hAnsi="宋体" w:eastAsia="宋体" w:cs="宋体"/>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Max Weber</w:t>
      </w:r>
      <w:r>
        <w:rPr>
          <w:rFonts w:hint="eastAsia" w:ascii="宋体" w:hAnsi="宋体" w:eastAsia="宋体" w:cs="宋体"/>
          <w:color w:val="auto"/>
          <w:sz w:val="24"/>
          <w:szCs w:val="24"/>
          <w:lang w:val="en-US" w:eastAsia="zh-CN"/>
        </w:rPr>
        <w:t>在《新教伦理与资本主义精神》中虽然主要讨论经济伦理，但其方法论启示在于：宗教伦理可以通过</w:t>
      </w:r>
      <w:r>
        <w:rPr>
          <w:rFonts w:hint="default" w:ascii="Times New Roman" w:hAnsi="Times New Roman" w:eastAsia="宋体" w:cs="Times New Roman"/>
          <w:color w:val="auto"/>
          <w:sz w:val="24"/>
          <w:szCs w:val="24"/>
          <w:lang w:val="en-US" w:eastAsia="zh-CN"/>
        </w:rPr>
        <w:t>“unintentional consequences”</w:t>
      </w:r>
      <w:r>
        <w:rPr>
          <w:rFonts w:hint="eastAsia" w:ascii="宋体" w:hAnsi="宋体" w:eastAsia="宋体" w:cs="宋体"/>
          <w:color w:val="auto"/>
          <w:sz w:val="24"/>
          <w:szCs w:val="24"/>
          <w:lang w:val="en-US" w:eastAsia="zh-CN"/>
        </w:rPr>
        <w:t>（非意图后果）与社会主流价值实现功能性融合。</w:t>
      </w:r>
      <w:r>
        <w:rPr>
          <w:rStyle w:val="29"/>
          <w:rFonts w:hint="eastAsia" w:ascii="宋体" w:hAnsi="宋体" w:eastAsia="宋体" w:cs="宋体"/>
          <w:color w:val="auto"/>
          <w:sz w:val="24"/>
          <w:szCs w:val="24"/>
          <w:lang w:val="en-US" w:eastAsia="zh-CN"/>
        </w:rPr>
        <w:footnoteReference w:id="23"/>
      </w:r>
      <w:r>
        <w:rPr>
          <w:rFonts w:hint="eastAsia" w:ascii="宋体" w:hAnsi="宋体" w:eastAsia="宋体" w:cs="宋体"/>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H. Richard Niebuhr</w:t>
      </w:r>
      <w:r>
        <w:rPr>
          <w:rFonts w:hint="eastAsia" w:ascii="宋体" w:hAnsi="宋体" w:eastAsia="宋体" w:cs="宋体"/>
          <w:color w:val="auto"/>
          <w:sz w:val="24"/>
          <w:szCs w:val="24"/>
          <w:lang w:val="en-US" w:eastAsia="zh-CN"/>
        </w:rPr>
        <w:t>在《基督与文化》中提出五种“基督与文化”关系模式（对抗、认同、超越、二元论、转化），为理解基督教与社会主义社会的关系提供了类型学工具。</w:t>
      </w:r>
      <w:r>
        <w:rPr>
          <w:rStyle w:val="29"/>
          <w:rFonts w:hint="eastAsia" w:ascii="宋体" w:hAnsi="宋体" w:eastAsia="宋体" w:cs="宋体"/>
          <w:color w:val="auto"/>
          <w:sz w:val="24"/>
          <w:szCs w:val="24"/>
          <w:lang w:val="en-US" w:eastAsia="zh-CN"/>
        </w:rPr>
        <w:footnoteReference w:id="24"/>
      </w:r>
    </w:p>
    <w:p w14:paraId="12DCCDE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在处境化诠释方面，</w:t>
      </w:r>
      <w:r>
        <w:rPr>
          <w:rFonts w:hint="default" w:ascii="Times New Roman" w:hAnsi="Times New Roman" w:eastAsia="宋体" w:cs="Times New Roman"/>
          <w:color w:val="auto"/>
          <w:sz w:val="24"/>
          <w:szCs w:val="24"/>
        </w:rPr>
        <w:t>Bevans</w:t>
      </w:r>
      <w:r>
        <w:rPr>
          <w:rFonts w:hint="eastAsia" w:ascii="宋体" w:hAnsi="宋体" w:eastAsia="宋体" w:cs="宋体"/>
          <w:color w:val="auto"/>
          <w:sz w:val="24"/>
          <w:szCs w:val="24"/>
        </w:rPr>
        <w:t>提出的多种理论模型为基督教教义的本土化提供了方法论参照，而</w:t>
      </w:r>
      <w:r>
        <w:rPr>
          <w:rFonts w:hint="default" w:ascii="Times New Roman" w:hAnsi="Times New Roman" w:eastAsia="宋体" w:cs="Times New Roman"/>
          <w:color w:val="auto"/>
          <w:sz w:val="24"/>
          <w:szCs w:val="24"/>
        </w:rPr>
        <w:t>Schreiter</w:t>
      </w:r>
      <w:r>
        <w:rPr>
          <w:rFonts w:hint="eastAsia" w:ascii="宋体" w:hAnsi="宋体" w:eastAsia="宋体" w:cs="宋体"/>
          <w:color w:val="auto"/>
          <w:sz w:val="24"/>
          <w:szCs w:val="24"/>
        </w:rPr>
        <w:t>关于本土神学需在本地文化经验中重新发现福音意义的观点，则为当代基督教中国化研究提供了重要的理论启示。</w:t>
      </w:r>
      <w:r>
        <w:rPr>
          <w:rStyle w:val="29"/>
          <w:rFonts w:hint="eastAsia" w:ascii="宋体" w:hAnsi="宋体" w:eastAsia="宋体" w:cs="宋体"/>
          <w:color w:val="auto"/>
          <w:sz w:val="24"/>
          <w:szCs w:val="24"/>
        </w:rPr>
        <w:footnoteReference w:id="25"/>
      </w:r>
      <w:r>
        <w:rPr>
          <w:rStyle w:val="29"/>
          <w:rFonts w:hint="eastAsia" w:ascii="宋体" w:hAnsi="宋体" w:eastAsia="宋体" w:cs="宋体"/>
          <w:color w:val="auto"/>
          <w:sz w:val="24"/>
          <w:szCs w:val="24"/>
        </w:rPr>
        <w:footnoteReference w:id="26"/>
      </w:r>
    </w:p>
    <w:p w14:paraId="6BEA0713">
      <w:pPr>
        <w:pStyle w:val="4"/>
        <w:bidi w:val="0"/>
        <w:rPr>
          <w:rFonts w:hint="eastAsia"/>
          <w:color w:val="auto"/>
          <w:lang w:val="en-US" w:eastAsia="zh-CN"/>
        </w:rPr>
      </w:pPr>
      <w:bookmarkStart w:id="143" w:name="_Toc403460992"/>
      <w:bookmarkStart w:id="144" w:name="_Toc1973779704"/>
      <w:bookmarkStart w:id="145" w:name="_Toc1882203925"/>
      <w:bookmarkStart w:id="146" w:name="_Toc311038514"/>
      <w:bookmarkStart w:id="147" w:name="_Toc497639743"/>
      <w:bookmarkStart w:id="148" w:name="_Toc1255273834"/>
      <w:bookmarkStart w:id="149" w:name="_Toc675380679"/>
      <w:bookmarkStart w:id="150" w:name="_Toc624787206"/>
      <w:bookmarkStart w:id="151" w:name="_Toc1253915869"/>
      <w:bookmarkStart w:id="152" w:name="_Toc424942730"/>
      <w:bookmarkStart w:id="153" w:name="_Toc1828604222"/>
      <w:bookmarkStart w:id="154" w:name="_Toc2124122390"/>
      <w:r>
        <w:rPr>
          <w:rFonts w:hint="eastAsia"/>
          <w:color w:val="auto"/>
          <w:lang w:val="en-US" w:eastAsia="zh-CN"/>
        </w:rPr>
        <w:t>三、比较宗教中国化与社会主义核心价值观引领的国内研究</w:t>
      </w:r>
      <w:bookmarkEnd w:id="143"/>
      <w:bookmarkEnd w:id="144"/>
      <w:bookmarkEnd w:id="145"/>
      <w:bookmarkEnd w:id="146"/>
      <w:bookmarkEnd w:id="147"/>
      <w:bookmarkEnd w:id="148"/>
      <w:bookmarkEnd w:id="149"/>
      <w:bookmarkEnd w:id="150"/>
      <w:bookmarkEnd w:id="151"/>
      <w:bookmarkEnd w:id="152"/>
      <w:bookmarkEnd w:id="153"/>
      <w:bookmarkEnd w:id="154"/>
    </w:p>
    <w:p w14:paraId="71AE5DC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国内关于宗教中国化的研究近年来呈现井喷态势。张志刚系统阐释了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宗教中国化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的学理内涵，指出其包含政治认同、社会适应、文化融合、文明互鉴四个维度。</w:t>
      </w:r>
      <w:r>
        <w:rPr>
          <w:rStyle w:val="29"/>
          <w:rFonts w:hint="eastAsia" w:ascii="宋体" w:hAnsi="宋体" w:eastAsia="宋体" w:cs="宋体"/>
          <w:color w:val="auto"/>
          <w:sz w:val="24"/>
          <w:szCs w:val="24"/>
        </w:rPr>
        <w:footnoteReference w:id="27"/>
      </w:r>
      <w:r>
        <w:rPr>
          <w:rFonts w:hint="eastAsia" w:ascii="宋体" w:hAnsi="宋体" w:eastAsia="宋体" w:cs="宋体"/>
          <w:color w:val="auto"/>
          <w:sz w:val="24"/>
          <w:szCs w:val="24"/>
        </w:rPr>
        <w:t xml:space="preserve"> 牟钟鉴从中华文化主体性出发，论证宗教中国化是宗教在中华大地上生存发展的必由之路。</w:t>
      </w:r>
      <w:r>
        <w:rPr>
          <w:rStyle w:val="29"/>
          <w:rFonts w:hint="eastAsia" w:ascii="宋体" w:hAnsi="宋体" w:eastAsia="宋体" w:cs="宋体"/>
          <w:color w:val="auto"/>
          <w:sz w:val="24"/>
          <w:szCs w:val="24"/>
        </w:rPr>
        <w:footnoteReference w:id="28"/>
      </w:r>
      <w:r>
        <w:rPr>
          <w:rFonts w:hint="eastAsia" w:ascii="宋体" w:hAnsi="宋体" w:eastAsia="宋体" w:cs="宋体"/>
          <w:color w:val="auto"/>
          <w:sz w:val="24"/>
          <w:szCs w:val="24"/>
        </w:rPr>
        <w:t xml:space="preserve"> 王作安从宗教工作实务角度，论述了宗教与社会主义社会相适应的理论基础与实践路径。</w:t>
      </w:r>
      <w:r>
        <w:rPr>
          <w:rStyle w:val="29"/>
          <w:rFonts w:hint="eastAsia" w:ascii="宋体" w:hAnsi="宋体" w:eastAsia="宋体" w:cs="宋体"/>
          <w:color w:val="auto"/>
          <w:sz w:val="24"/>
          <w:szCs w:val="24"/>
        </w:rPr>
        <w:footnoteReference w:id="29"/>
      </w:r>
    </w:p>
    <w:p w14:paraId="00C7421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在基督教中国化专题研究方面，段琦梳理了中国基督教三自爱国运动的历史进程，指出三自运动是基督教中国化的政治前提。</w:t>
      </w:r>
      <w:r>
        <w:rPr>
          <w:rStyle w:val="29"/>
          <w:rFonts w:hint="eastAsia" w:ascii="宋体" w:hAnsi="宋体" w:eastAsia="宋体" w:cs="宋体"/>
          <w:color w:val="auto"/>
          <w:sz w:val="24"/>
          <w:szCs w:val="24"/>
        </w:rPr>
        <w:footnoteReference w:id="30"/>
      </w:r>
      <w:r>
        <w:rPr>
          <w:rFonts w:hint="eastAsia" w:ascii="宋体" w:hAnsi="宋体" w:eastAsia="宋体" w:cs="宋体"/>
          <w:color w:val="auto"/>
          <w:sz w:val="24"/>
          <w:szCs w:val="24"/>
        </w:rPr>
        <w:t xml:space="preserve"> 唐晓峰分析了改革开放以来基督教神学思想建设的成就与挑战。</w:t>
      </w:r>
      <w:r>
        <w:rPr>
          <w:rStyle w:val="29"/>
          <w:rFonts w:hint="eastAsia" w:ascii="宋体" w:hAnsi="宋体" w:eastAsia="宋体" w:cs="宋体"/>
          <w:color w:val="auto"/>
          <w:sz w:val="24"/>
          <w:szCs w:val="24"/>
        </w:rPr>
        <w:footnoteReference w:id="31"/>
      </w:r>
      <w:r>
        <w:rPr>
          <w:rFonts w:hint="eastAsia" w:ascii="宋体" w:hAnsi="宋体" w:eastAsia="宋体" w:cs="宋体"/>
          <w:color w:val="auto"/>
          <w:sz w:val="24"/>
          <w:szCs w:val="24"/>
        </w:rPr>
        <w:t xml:space="preserve"> 徐以骅从宗教与国际关系视角，讨论了基督教中国化在国际传播中的战略意义。</w:t>
      </w:r>
      <w:r>
        <w:rPr>
          <w:rStyle w:val="29"/>
          <w:rFonts w:hint="eastAsia" w:ascii="宋体" w:hAnsi="宋体" w:eastAsia="宋体" w:cs="宋体"/>
          <w:color w:val="auto"/>
          <w:sz w:val="24"/>
          <w:szCs w:val="24"/>
        </w:rPr>
        <w:footnoteReference w:id="32"/>
      </w:r>
      <w:r>
        <w:rPr>
          <w:rFonts w:hint="eastAsia" w:ascii="宋体" w:hAnsi="宋体" w:eastAsia="宋体" w:cs="宋体"/>
          <w:color w:val="auto"/>
          <w:sz w:val="24"/>
          <w:szCs w:val="24"/>
        </w:rPr>
        <w:t xml:space="preserve"> 游斌从圣经诠释学角度，探讨了基督教经典在汉语语境中的翻译与诠释问题。</w:t>
      </w:r>
      <w:r>
        <w:rPr>
          <w:rStyle w:val="29"/>
          <w:rFonts w:hint="eastAsia" w:ascii="宋体" w:hAnsi="宋体" w:eastAsia="宋体" w:cs="宋体"/>
          <w:color w:val="auto"/>
          <w:sz w:val="24"/>
          <w:szCs w:val="24"/>
        </w:rPr>
        <w:footnoteReference w:id="33"/>
      </w:r>
    </w:p>
    <w:p w14:paraId="73A976B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在社会主义核心价值观与宗教融合方面，陈宗皋、马桦等从宗教工作政策角度，论述了以社会主义核心价值观引领宗教的具体机制。</w:t>
      </w:r>
      <w:r>
        <w:rPr>
          <w:rStyle w:val="29"/>
          <w:rFonts w:hint="eastAsia" w:ascii="宋体" w:hAnsi="宋体" w:eastAsia="宋体" w:cs="宋体"/>
          <w:color w:val="auto"/>
          <w:sz w:val="24"/>
          <w:szCs w:val="24"/>
        </w:rPr>
        <w:footnoteReference w:id="34"/>
      </w:r>
      <w:r>
        <w:rPr>
          <w:rFonts w:hint="eastAsia" w:ascii="宋体" w:hAnsi="宋体" w:eastAsia="宋体" w:cs="宋体"/>
          <w:color w:val="auto"/>
          <w:sz w:val="24"/>
          <w:szCs w:val="24"/>
        </w:rPr>
        <w:t xml:space="preserve"> 李平晔从神学角度，探讨了基督教伦理与社会主义道德建设的对话空间。</w:t>
      </w:r>
      <w:r>
        <w:rPr>
          <w:rStyle w:val="29"/>
          <w:rFonts w:hint="eastAsia" w:ascii="宋体" w:hAnsi="宋体" w:eastAsia="宋体" w:cs="宋体"/>
          <w:color w:val="auto"/>
          <w:sz w:val="24"/>
          <w:szCs w:val="24"/>
        </w:rPr>
        <w:footnoteReference w:id="35"/>
      </w:r>
      <w:r>
        <w:rPr>
          <w:rFonts w:hint="eastAsia" w:ascii="宋体" w:hAnsi="宋体" w:eastAsia="宋体" w:cs="宋体"/>
          <w:color w:val="auto"/>
          <w:sz w:val="24"/>
          <w:szCs w:val="24"/>
        </w:rPr>
        <w:t xml:space="preserve"> 赵敦华从基督教哲学角度，分析了基督教伦理与中华传统美德的相通性。</w:t>
      </w:r>
      <w:r>
        <w:rPr>
          <w:rStyle w:val="29"/>
          <w:rFonts w:hint="eastAsia" w:ascii="宋体" w:hAnsi="宋体" w:eastAsia="宋体" w:cs="宋体"/>
          <w:color w:val="auto"/>
          <w:sz w:val="24"/>
          <w:szCs w:val="24"/>
        </w:rPr>
        <w:footnoteReference w:id="36"/>
      </w:r>
    </w:p>
    <w:p w14:paraId="7B05C9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color w:val="auto"/>
        </w:rPr>
        <w:t>2023年发布的基督教中国化五年规划指出，基督教界需要以社会主义核心价值观作为指导方向，吸收中华优秀传统文化的精华，最终形成具有中国本土特色的神学理论体系。</w:t>
      </w:r>
      <w:r>
        <w:rPr>
          <w:rStyle w:val="29"/>
          <w:color w:val="auto"/>
        </w:rPr>
        <w:footnoteReference w:id="37"/>
      </w:r>
      <w:r>
        <w:rPr>
          <w:rFonts w:hint="eastAsia"/>
          <w:color w:val="auto"/>
          <w:lang w:val="en-US" w:eastAsia="zh-CN"/>
        </w:rPr>
        <w:t xml:space="preserve"> </w:t>
      </w:r>
      <w:r>
        <w:rPr>
          <w:color w:val="auto"/>
        </w:rPr>
        <w:t>2024年的年度工作要点进一步强调，核心价值观应当贯穿于神学思考、教会管理和信徒日常生活中。</w:t>
      </w:r>
      <w:r>
        <w:rPr>
          <w:rStyle w:val="29"/>
          <w:color w:val="auto"/>
        </w:rPr>
        <w:footnoteReference w:id="38"/>
      </w:r>
    </w:p>
    <w:p w14:paraId="34AD757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在《世界宗教研究》《中国宗教》等权威期刊方面，近年来涌现了一批重要成果。曹正勇从谢颂羔汉译《天路历程》分析基督教经典的中国化实践，揭示了翻译作为文化翻译的深层机制。</w:t>
      </w:r>
      <w:r>
        <w:rPr>
          <w:rStyle w:val="29"/>
          <w:rFonts w:hint="eastAsia" w:ascii="宋体" w:hAnsi="宋体" w:eastAsia="宋体" w:cs="宋体"/>
          <w:color w:val="auto"/>
          <w:sz w:val="24"/>
          <w:szCs w:val="24"/>
        </w:rPr>
        <w:footnoteReference w:id="39"/>
      </w:r>
      <w:r>
        <w:rPr>
          <w:rFonts w:hint="eastAsia" w:ascii="宋体" w:hAnsi="宋体" w:eastAsia="宋体" w:cs="宋体"/>
          <w:color w:val="auto"/>
          <w:sz w:val="24"/>
          <w:szCs w:val="24"/>
        </w:rPr>
        <w:t xml:space="preserve"> 赵卫红探讨了将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教育融入基督教神学教育、推动基督教中国化走深走实的路径。</w:t>
      </w:r>
      <w:r>
        <w:rPr>
          <w:rStyle w:val="29"/>
          <w:rFonts w:hint="eastAsia" w:ascii="宋体" w:hAnsi="宋体" w:eastAsia="宋体" w:cs="宋体"/>
          <w:color w:val="auto"/>
          <w:sz w:val="24"/>
          <w:szCs w:val="24"/>
        </w:rPr>
        <w:footnoteReference w:id="40"/>
      </w:r>
      <w:r>
        <w:rPr>
          <w:rFonts w:hint="eastAsia" w:ascii="宋体" w:hAnsi="宋体" w:eastAsia="宋体" w:cs="宋体"/>
          <w:color w:val="auto"/>
          <w:sz w:val="24"/>
          <w:szCs w:val="24"/>
        </w:rPr>
        <w:t xml:space="preserve"> 韩雪莉分析了社会主义核心价值观引领我国伊斯兰教中国化的当代实践与启示，其方法论对基督教研究具有借鉴意义。</w:t>
      </w:r>
      <w:r>
        <w:rPr>
          <w:rStyle w:val="29"/>
          <w:rFonts w:hint="eastAsia" w:ascii="宋体" w:hAnsi="宋体" w:eastAsia="宋体" w:cs="宋体"/>
          <w:color w:val="auto"/>
          <w:sz w:val="24"/>
          <w:szCs w:val="24"/>
        </w:rPr>
        <w:footnoteReference w:id="41"/>
      </w:r>
      <w:r>
        <w:rPr>
          <w:rFonts w:hint="eastAsia" w:ascii="宋体" w:hAnsi="宋体" w:eastAsia="宋体" w:cs="宋体"/>
          <w:color w:val="auto"/>
          <w:sz w:val="24"/>
          <w:szCs w:val="24"/>
        </w:rPr>
        <w:t xml:space="preserve"> 在《中国基督教研究》上，学者们就圣经新译与去殖民化主义、基督教中国化的已然与未然等议题展开了深入讨论。</w:t>
      </w:r>
      <w:r>
        <w:rPr>
          <w:rStyle w:val="29"/>
          <w:rFonts w:hint="eastAsia" w:ascii="宋体" w:hAnsi="宋体" w:eastAsia="宋体" w:cs="宋体"/>
          <w:color w:val="auto"/>
          <w:sz w:val="24"/>
          <w:szCs w:val="24"/>
        </w:rPr>
        <w:footnoteReference w:id="42"/>
      </w:r>
    </w:p>
    <w:p w14:paraId="1BD33C3E">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在实证研究方面，王思琪对山东圣公会乡村本色化运动（1912-1937）的历史考察，揭示了民国时期基督教仁爱实践与本土社会的互动机制。</w:t>
      </w:r>
      <w:r>
        <w:rPr>
          <w:rStyle w:val="29"/>
          <w:rFonts w:hint="eastAsia" w:ascii="宋体" w:hAnsi="宋体" w:eastAsia="宋体" w:cs="宋体"/>
          <w:color w:val="auto"/>
          <w:sz w:val="24"/>
          <w:szCs w:val="24"/>
        </w:rPr>
        <w:footnoteReference w:id="43"/>
      </w:r>
      <w:r>
        <w:rPr>
          <w:rFonts w:hint="eastAsia" w:ascii="宋体" w:hAnsi="宋体" w:eastAsia="宋体" w:cs="宋体"/>
          <w:color w:val="auto"/>
          <w:sz w:val="24"/>
          <w:szCs w:val="24"/>
        </w:rPr>
        <w:t xml:space="preserve"> 吕臻雨对泸州教会社会服务实践的田野研究，表明当代教会以普通社会组织身份参与社区服务时，更容易获得社会认可。</w:t>
      </w:r>
      <w:r>
        <w:rPr>
          <w:rStyle w:val="29"/>
          <w:rFonts w:hint="eastAsia" w:ascii="宋体" w:hAnsi="宋体" w:eastAsia="宋体" w:cs="宋体"/>
          <w:color w:val="auto"/>
          <w:sz w:val="24"/>
          <w:szCs w:val="24"/>
        </w:rPr>
        <w:footnoteReference w:id="44"/>
      </w:r>
      <w:r>
        <w:rPr>
          <w:rFonts w:hint="eastAsia" w:ascii="宋体" w:hAnsi="宋体" w:eastAsia="宋体" w:cs="宋体"/>
          <w:color w:val="auto"/>
          <w:sz w:val="24"/>
          <w:szCs w:val="24"/>
        </w:rPr>
        <w:t xml:space="preserve"> 陈金羽对</w:t>
      </w:r>
      <w:r>
        <w:rPr>
          <w:rFonts w:hint="default" w:ascii="Times New Roman" w:hAnsi="Times New Roman" w:eastAsia="宋体" w:cs="Times New Roman"/>
          <w:color w:val="auto"/>
          <w:sz w:val="24"/>
          <w:szCs w:val="24"/>
        </w:rPr>
        <w:t>Q</w:t>
      </w:r>
      <w:r>
        <w:rPr>
          <w:rFonts w:hint="eastAsia" w:ascii="宋体" w:hAnsi="宋体" w:eastAsia="宋体" w:cs="宋体"/>
          <w:color w:val="auto"/>
          <w:sz w:val="24"/>
          <w:szCs w:val="24"/>
        </w:rPr>
        <w:t>教会服务队与社会工作融合的研究，发现宗教标识的刻意展示会显著降低非信众的接受度。</w:t>
      </w:r>
      <w:r>
        <w:rPr>
          <w:rStyle w:val="29"/>
          <w:rFonts w:hint="eastAsia" w:ascii="宋体" w:hAnsi="宋体" w:eastAsia="宋体" w:cs="宋体"/>
          <w:color w:val="auto"/>
          <w:sz w:val="24"/>
          <w:szCs w:val="24"/>
        </w:rPr>
        <w:footnoteReference w:id="45"/>
      </w:r>
    </w:p>
    <w:p w14:paraId="436D186F">
      <w:pPr>
        <w:pStyle w:val="4"/>
        <w:bidi w:val="0"/>
        <w:rPr>
          <w:rFonts w:hint="eastAsia"/>
          <w:color w:val="auto"/>
          <w:lang w:val="en-US" w:eastAsia="zh-CN"/>
        </w:rPr>
      </w:pPr>
      <w:bookmarkStart w:id="155" w:name="_Toc1363018965"/>
      <w:bookmarkStart w:id="156" w:name="_Toc712686937"/>
      <w:bookmarkStart w:id="157" w:name="_Toc1529839183"/>
      <w:bookmarkStart w:id="158" w:name="_Toc1135589919"/>
      <w:bookmarkStart w:id="159" w:name="_Toc649108000"/>
      <w:bookmarkStart w:id="160" w:name="_Toc1767247165"/>
      <w:bookmarkStart w:id="161" w:name="_Toc1671997558"/>
      <w:bookmarkStart w:id="162" w:name="_Toc1751021059"/>
      <w:bookmarkStart w:id="163" w:name="_Toc1629336835"/>
      <w:bookmarkStart w:id="164" w:name="_Toc1306982272"/>
      <w:bookmarkStart w:id="165" w:name="_Toc507979910"/>
      <w:bookmarkStart w:id="166" w:name="_Toc356861002"/>
      <w:r>
        <w:rPr>
          <w:rFonts w:hint="eastAsia"/>
          <w:color w:val="auto"/>
          <w:lang w:val="en-US" w:eastAsia="zh-CN"/>
        </w:rPr>
        <w:t>四、现有研究的贡献与不足</w:t>
      </w:r>
      <w:bookmarkEnd w:id="155"/>
      <w:bookmarkEnd w:id="156"/>
      <w:bookmarkEnd w:id="157"/>
      <w:bookmarkEnd w:id="158"/>
      <w:bookmarkEnd w:id="159"/>
      <w:bookmarkEnd w:id="160"/>
      <w:bookmarkEnd w:id="161"/>
      <w:bookmarkEnd w:id="162"/>
      <w:bookmarkEnd w:id="163"/>
      <w:bookmarkEnd w:id="164"/>
      <w:bookmarkEnd w:id="165"/>
      <w:bookmarkEnd w:id="166"/>
    </w:p>
    <w:p w14:paraId="3E40A64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本文正是针对上述研究缺口，在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38BD92EF">
      <w:pPr>
        <w:rPr>
          <w:rFonts w:hint="eastAsia"/>
          <w:color w:val="auto"/>
          <w:lang w:val="en-US" w:eastAsia="zh-CN"/>
        </w:rPr>
      </w:pPr>
      <w:bookmarkStart w:id="167" w:name="_Toc1370850545"/>
      <w:bookmarkStart w:id="168" w:name="_Toc1051682206"/>
      <w:bookmarkStart w:id="169" w:name="_Toc1613050840"/>
      <w:bookmarkStart w:id="170" w:name="_Toc295040125"/>
      <w:bookmarkStart w:id="171" w:name="_Toc1700202948"/>
      <w:bookmarkStart w:id="172" w:name="_Toc1172597744"/>
      <w:bookmarkStart w:id="173" w:name="_Toc341229240"/>
      <w:bookmarkStart w:id="174" w:name="_Toc185443150"/>
      <w:bookmarkStart w:id="175" w:name="_Toc1988303988"/>
      <w:bookmarkStart w:id="176" w:name="_Toc1439436311"/>
      <w:bookmarkStart w:id="177" w:name="_Toc276780498"/>
      <w:r>
        <w:rPr>
          <w:rFonts w:hint="eastAsia"/>
          <w:color w:val="auto"/>
          <w:lang w:val="en-US" w:eastAsia="zh-CN"/>
        </w:rPr>
        <w:br w:type="page"/>
      </w:r>
    </w:p>
    <w:p w14:paraId="1F44E913">
      <w:pPr>
        <w:pStyle w:val="3"/>
        <w:bidi w:val="0"/>
        <w:rPr>
          <w:rFonts w:hint="eastAsia"/>
          <w:color w:val="auto"/>
          <w:lang w:val="en-US" w:eastAsia="zh-CN"/>
        </w:rPr>
      </w:pPr>
      <w:bookmarkStart w:id="178" w:name="_Toc1988518190"/>
      <w:r>
        <w:rPr>
          <w:rFonts w:hint="eastAsia"/>
          <w:color w:val="auto"/>
          <w:lang w:val="en-US" w:eastAsia="zh-CN"/>
        </w:rPr>
        <w:t>第三节 研究意义</w:t>
      </w:r>
      <w:bookmarkEnd w:id="167"/>
      <w:bookmarkEnd w:id="168"/>
      <w:bookmarkEnd w:id="169"/>
      <w:bookmarkEnd w:id="170"/>
      <w:bookmarkEnd w:id="171"/>
      <w:bookmarkEnd w:id="172"/>
      <w:bookmarkEnd w:id="173"/>
      <w:bookmarkEnd w:id="174"/>
      <w:bookmarkEnd w:id="175"/>
      <w:bookmarkEnd w:id="176"/>
      <w:bookmarkEnd w:id="177"/>
      <w:bookmarkEnd w:id="178"/>
    </w:p>
    <w:p w14:paraId="7E7E3129">
      <w:pPr>
        <w:pStyle w:val="4"/>
        <w:bidi w:val="0"/>
        <w:rPr>
          <w:rFonts w:hint="eastAsia"/>
          <w:color w:val="auto"/>
          <w:lang w:val="en-US" w:eastAsia="zh-CN"/>
        </w:rPr>
      </w:pPr>
      <w:bookmarkStart w:id="179" w:name="_Toc893540054"/>
      <w:bookmarkStart w:id="180" w:name="_Toc432095349"/>
      <w:bookmarkStart w:id="181" w:name="_Toc1258499190"/>
      <w:bookmarkStart w:id="182" w:name="_Toc1680544799"/>
      <w:bookmarkStart w:id="183" w:name="_Toc1832421432"/>
      <w:bookmarkStart w:id="184" w:name="_Toc711908152"/>
      <w:bookmarkStart w:id="185" w:name="_Toc744250253"/>
      <w:bookmarkStart w:id="186" w:name="_Toc400250484"/>
      <w:bookmarkStart w:id="187" w:name="_Toc1202795522"/>
      <w:bookmarkStart w:id="188" w:name="_Toc392854889"/>
      <w:bookmarkStart w:id="189" w:name="_Toc199639952"/>
      <w:bookmarkStart w:id="190" w:name="_Toc1884704716"/>
      <w:r>
        <w:rPr>
          <w:rFonts w:hint="eastAsia"/>
          <w:color w:val="auto"/>
          <w:lang w:val="en-US" w:eastAsia="zh-CN"/>
        </w:rPr>
        <w:t>一、理论意义</w:t>
      </w:r>
      <w:bookmarkEnd w:id="179"/>
      <w:bookmarkEnd w:id="180"/>
      <w:bookmarkEnd w:id="181"/>
      <w:bookmarkEnd w:id="182"/>
      <w:bookmarkEnd w:id="183"/>
      <w:bookmarkEnd w:id="184"/>
      <w:bookmarkEnd w:id="185"/>
      <w:bookmarkEnd w:id="186"/>
      <w:bookmarkEnd w:id="187"/>
      <w:bookmarkEnd w:id="188"/>
      <w:bookmarkEnd w:id="189"/>
      <w:bookmarkEnd w:id="190"/>
    </w:p>
    <w:p w14:paraId="32192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第二，将文化翻译理论应用于宗教本土化场景。本文将</w:t>
      </w:r>
      <w:r>
        <w:rPr>
          <w:rFonts w:hint="default" w:ascii="Times New Roman" w:hAnsi="Times New Roman" w:eastAsia="宋体" w:cs="Times New Roman"/>
          <w:color w:val="auto"/>
          <w:sz w:val="24"/>
          <w:szCs w:val="24"/>
        </w:rPr>
        <w:t>Bhabha</w:t>
      </w:r>
      <w:r>
        <w:rPr>
          <w:rFonts w:hint="eastAsia" w:ascii="宋体" w:hAnsi="宋体" w:eastAsia="宋体" w:cs="宋体"/>
          <w:color w:val="auto"/>
          <w:sz w:val="24"/>
          <w:szCs w:val="24"/>
        </w:rPr>
        <w:t>关于文化互动中生成新意义的分析框架，以及刘耘华关于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跨文化诠释的研究，延伸至当代宗教中国化语境，形成具有历史连续性的文化翻译谱系。</w:t>
      </w:r>
      <w:r>
        <w:rPr>
          <w:rStyle w:val="29"/>
          <w:rFonts w:hint="eastAsia" w:ascii="宋体" w:hAnsi="宋体" w:eastAsia="宋体" w:cs="宋体"/>
          <w:color w:val="auto"/>
          <w:sz w:val="24"/>
          <w:szCs w:val="24"/>
        </w:rPr>
        <w:footnoteReference w:id="46"/>
      </w:r>
      <w:r>
        <w:rPr>
          <w:rStyle w:val="29"/>
          <w:rFonts w:hint="eastAsia" w:ascii="宋体" w:hAnsi="宋体" w:eastAsia="宋体" w:cs="宋体"/>
          <w:color w:val="auto"/>
          <w:sz w:val="24"/>
          <w:szCs w:val="24"/>
        </w:rPr>
        <w:footnoteReference w:id="47"/>
      </w:r>
    </w:p>
    <w:p w14:paraId="7EDE414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第三，对处境化神学理论的社会主义语境创新。本文借鉴</w:t>
      </w:r>
      <w:r>
        <w:rPr>
          <w:rFonts w:hint="default" w:ascii="Times New Roman" w:hAnsi="Times New Roman" w:eastAsia="宋体" w:cs="Times New Roman"/>
          <w:color w:val="auto"/>
          <w:sz w:val="24"/>
          <w:szCs w:val="24"/>
        </w:rPr>
        <w:t>Bevans</w:t>
      </w:r>
      <w:r>
        <w:rPr>
          <w:rFonts w:hint="eastAsia" w:ascii="宋体" w:hAnsi="宋体" w:eastAsia="宋体" w:cs="宋体"/>
          <w:color w:val="auto"/>
          <w:sz w:val="24"/>
          <w:szCs w:val="24"/>
        </w:rPr>
        <w:t>的处境化神学模型与</w:t>
      </w:r>
      <w:r>
        <w:rPr>
          <w:rFonts w:hint="default" w:ascii="Times New Roman" w:hAnsi="Times New Roman" w:eastAsia="宋体" w:cs="Times New Roman"/>
          <w:color w:val="auto"/>
          <w:sz w:val="24"/>
          <w:szCs w:val="24"/>
        </w:rPr>
        <w:t>Schreiter</w:t>
      </w:r>
      <w:r>
        <w:rPr>
          <w:rFonts w:hint="eastAsia" w:ascii="宋体" w:hAnsi="宋体" w:eastAsia="宋体" w:cs="宋体"/>
          <w:color w:val="auto"/>
          <w:sz w:val="24"/>
          <w:szCs w:val="24"/>
        </w:rPr>
        <w:t>的本土神学建构理论，提出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社会主义核心价值观引领下的处境化诠释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概念，为基督教教义的中国化阐释提供新的方法论工具。</w:t>
      </w:r>
      <w:r>
        <w:rPr>
          <w:rStyle w:val="29"/>
          <w:rFonts w:hint="eastAsia" w:ascii="宋体" w:hAnsi="宋体" w:eastAsia="宋体" w:cs="宋体"/>
          <w:color w:val="auto"/>
          <w:sz w:val="24"/>
          <w:szCs w:val="24"/>
        </w:rPr>
        <w:footnoteReference w:id="48"/>
      </w:r>
      <w:r>
        <w:rPr>
          <w:rStyle w:val="29"/>
          <w:rFonts w:hint="eastAsia" w:ascii="宋体" w:hAnsi="宋体" w:eastAsia="宋体" w:cs="宋体"/>
          <w:color w:val="auto"/>
          <w:sz w:val="24"/>
          <w:szCs w:val="24"/>
        </w:rPr>
        <w:footnoteReference w:id="49"/>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这一创新回应了2023年《纲要》关于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的政策要求，填补了理论到实践的转化空白。</w:t>
      </w:r>
    </w:p>
    <w:p w14:paraId="05748294">
      <w:pPr>
        <w:pStyle w:val="4"/>
        <w:bidi w:val="0"/>
        <w:rPr>
          <w:rFonts w:hint="eastAsia"/>
          <w:color w:val="auto"/>
          <w:lang w:val="en-US" w:eastAsia="zh-CN"/>
        </w:rPr>
      </w:pPr>
      <w:bookmarkStart w:id="191" w:name="_Toc1408913227"/>
      <w:bookmarkStart w:id="192" w:name="_Toc979216650"/>
      <w:bookmarkStart w:id="193" w:name="_Toc1584320136"/>
      <w:bookmarkStart w:id="194" w:name="_Toc444025997"/>
      <w:bookmarkStart w:id="195" w:name="_Toc1120769043"/>
      <w:bookmarkStart w:id="196" w:name="_Toc1091102184"/>
      <w:bookmarkStart w:id="197" w:name="_Toc1347388545"/>
      <w:bookmarkStart w:id="198" w:name="_Toc1211511449"/>
      <w:bookmarkStart w:id="199" w:name="_Toc1669242043"/>
      <w:bookmarkStart w:id="200" w:name="_Toc374544107"/>
      <w:bookmarkStart w:id="201" w:name="_Toc1029447027"/>
      <w:bookmarkStart w:id="202" w:name="_Toc848368562"/>
      <w:r>
        <w:rPr>
          <w:rFonts w:hint="eastAsia"/>
          <w:color w:val="auto"/>
          <w:lang w:val="en-US" w:eastAsia="zh-CN"/>
        </w:rPr>
        <w:t>二、实践意义</w:t>
      </w:r>
      <w:bookmarkEnd w:id="191"/>
      <w:bookmarkEnd w:id="192"/>
      <w:bookmarkEnd w:id="193"/>
      <w:bookmarkEnd w:id="194"/>
      <w:bookmarkEnd w:id="195"/>
      <w:bookmarkEnd w:id="196"/>
      <w:bookmarkEnd w:id="197"/>
      <w:bookmarkEnd w:id="198"/>
      <w:bookmarkEnd w:id="199"/>
      <w:bookmarkEnd w:id="200"/>
      <w:bookmarkEnd w:id="201"/>
      <w:bookmarkEnd w:id="202"/>
    </w:p>
    <w:p w14:paraId="20438D7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第二，为基督教界提供教义诠释创新的方法论指导。本文回应了基督教在中国社会寻求健康发展的内在需求，引导基督教界对其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等核心教义进行符合时代精神与中国语境的再阐释，使其公益慈善、社区服务等实践活动能更自然地被社会大众所理解和接纳。</w:t>
      </w:r>
    </w:p>
    <w:p w14:paraId="268893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人才培养提供学术范式参考。本文在研究中充分体现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政治上靠得住、文化上有自觉、教义诠释有创新、价值引领有实效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的培养目标，为未来宗教界骨干人才的学术研究提供可资借鉴的范式。特别是基于浙江本地案例的分析，为浙江乃至全国基督教中国化实践提供了区域经验。</w:t>
      </w:r>
    </w:p>
    <w:p w14:paraId="54EC0EE8">
      <w:pPr>
        <w:rPr>
          <w:rFonts w:hint="eastAsia"/>
          <w:color w:val="auto"/>
          <w:lang w:val="en-US" w:eastAsia="zh-CN"/>
        </w:rPr>
      </w:pPr>
      <w:bookmarkStart w:id="203" w:name="_Toc1527049589"/>
      <w:bookmarkStart w:id="204" w:name="_Toc688236992"/>
      <w:bookmarkStart w:id="205" w:name="_Toc239258254"/>
      <w:bookmarkStart w:id="206" w:name="_Toc1580466136"/>
      <w:bookmarkStart w:id="207" w:name="_Toc791544755"/>
      <w:bookmarkStart w:id="208" w:name="_Toc344218200"/>
      <w:bookmarkStart w:id="209" w:name="_Toc1018786599"/>
      <w:bookmarkStart w:id="210" w:name="_Toc1186237864"/>
      <w:bookmarkStart w:id="211" w:name="_Toc1787922557"/>
      <w:bookmarkStart w:id="212" w:name="_Toc1449914367"/>
      <w:bookmarkStart w:id="213" w:name="_Toc224652293"/>
      <w:r>
        <w:rPr>
          <w:rFonts w:hint="eastAsia"/>
          <w:color w:val="auto"/>
          <w:lang w:val="en-US" w:eastAsia="zh-CN"/>
        </w:rPr>
        <w:br w:type="page"/>
      </w:r>
    </w:p>
    <w:p w14:paraId="27B0BF12">
      <w:pPr>
        <w:pStyle w:val="3"/>
        <w:bidi w:val="0"/>
        <w:rPr>
          <w:rFonts w:hint="eastAsia"/>
          <w:color w:val="auto"/>
          <w:lang w:val="en-US" w:eastAsia="zh-CN"/>
        </w:rPr>
      </w:pPr>
      <w:bookmarkStart w:id="214" w:name="_Toc1386489101"/>
      <w:r>
        <w:rPr>
          <w:rFonts w:hint="eastAsia"/>
          <w:color w:val="auto"/>
          <w:lang w:val="en-US" w:eastAsia="zh-CN"/>
        </w:rPr>
        <w:t>第四节 研究思路、方法与创新点</w:t>
      </w:r>
      <w:bookmarkEnd w:id="203"/>
      <w:bookmarkEnd w:id="204"/>
      <w:bookmarkEnd w:id="205"/>
      <w:bookmarkEnd w:id="206"/>
      <w:bookmarkEnd w:id="207"/>
      <w:bookmarkEnd w:id="208"/>
      <w:bookmarkEnd w:id="209"/>
      <w:bookmarkEnd w:id="210"/>
      <w:bookmarkEnd w:id="211"/>
      <w:bookmarkEnd w:id="212"/>
      <w:bookmarkEnd w:id="213"/>
      <w:bookmarkEnd w:id="214"/>
    </w:p>
    <w:p w14:paraId="0028FD14">
      <w:pPr>
        <w:pStyle w:val="4"/>
        <w:bidi w:val="0"/>
        <w:rPr>
          <w:rFonts w:hint="eastAsia"/>
          <w:color w:val="auto"/>
          <w:lang w:val="en-US" w:eastAsia="zh-CN"/>
        </w:rPr>
      </w:pPr>
      <w:bookmarkStart w:id="215" w:name="_Toc669118009"/>
      <w:bookmarkStart w:id="216" w:name="_Toc2101826029"/>
      <w:bookmarkStart w:id="217" w:name="_Toc454837025"/>
      <w:bookmarkStart w:id="218" w:name="_Toc545377026"/>
      <w:bookmarkStart w:id="219" w:name="_Toc1978987767"/>
      <w:bookmarkStart w:id="220" w:name="_Toc1213823660"/>
      <w:bookmarkStart w:id="221" w:name="_Toc2009085147"/>
      <w:bookmarkStart w:id="222" w:name="_Toc2023226675"/>
      <w:bookmarkStart w:id="223" w:name="_Toc1124087794"/>
      <w:bookmarkStart w:id="224" w:name="_Toc852201802"/>
      <w:bookmarkStart w:id="225" w:name="_Toc859251862"/>
      <w:bookmarkStart w:id="226" w:name="_Toc377266910"/>
      <w:r>
        <w:rPr>
          <w:rFonts w:hint="eastAsia"/>
          <w:color w:val="auto"/>
          <w:lang w:val="en-US" w:eastAsia="zh-CN"/>
        </w:rPr>
        <w:t>一、整体研究框架</w:t>
      </w:r>
      <w:bookmarkEnd w:id="215"/>
      <w:bookmarkEnd w:id="216"/>
      <w:bookmarkEnd w:id="217"/>
      <w:bookmarkEnd w:id="218"/>
      <w:bookmarkEnd w:id="219"/>
      <w:bookmarkEnd w:id="220"/>
      <w:bookmarkEnd w:id="221"/>
      <w:bookmarkEnd w:id="222"/>
      <w:bookmarkEnd w:id="223"/>
      <w:bookmarkEnd w:id="224"/>
      <w:bookmarkEnd w:id="225"/>
      <w:bookmarkEnd w:id="226"/>
    </w:p>
    <w:p w14:paraId="4DC02B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本文的整体研究沿着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文献综述与概念界定—融合可行性论证—现实障碍梳理—实践路径构建—研究总结展望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bidi w:val="0"/>
        <w:rPr>
          <w:rFonts w:hint="eastAsia"/>
          <w:color w:val="auto"/>
          <w:lang w:val="en-US" w:eastAsia="zh-CN"/>
        </w:rPr>
      </w:pPr>
      <w:bookmarkStart w:id="227" w:name="_Toc1551579502"/>
      <w:bookmarkStart w:id="228" w:name="_Toc691470586"/>
      <w:bookmarkStart w:id="229" w:name="_Toc1787090767"/>
      <w:bookmarkStart w:id="230" w:name="_Toc1766002206"/>
      <w:bookmarkStart w:id="231" w:name="_Toc1431559900"/>
      <w:bookmarkStart w:id="232" w:name="_Toc1129911099"/>
      <w:bookmarkStart w:id="233" w:name="_Toc1387244371"/>
      <w:bookmarkStart w:id="234" w:name="_Toc1808683848"/>
      <w:bookmarkStart w:id="235" w:name="_Toc1114660127"/>
      <w:bookmarkStart w:id="236" w:name="_Toc620675233"/>
      <w:bookmarkStart w:id="237" w:name="_Toc1642001571"/>
      <w:bookmarkStart w:id="238" w:name="_Toc1353230426"/>
      <w:r>
        <w:rPr>
          <w:rFonts w:hint="eastAsia"/>
          <w:color w:val="auto"/>
          <w:lang w:val="en-US" w:eastAsia="zh-CN"/>
        </w:rPr>
        <w:t>二、核心研究方法</w:t>
      </w:r>
      <w:bookmarkEnd w:id="227"/>
      <w:bookmarkEnd w:id="228"/>
      <w:bookmarkEnd w:id="229"/>
      <w:bookmarkEnd w:id="230"/>
      <w:bookmarkEnd w:id="231"/>
      <w:bookmarkEnd w:id="232"/>
      <w:bookmarkEnd w:id="233"/>
      <w:bookmarkEnd w:id="234"/>
      <w:bookmarkEnd w:id="235"/>
      <w:bookmarkEnd w:id="236"/>
      <w:bookmarkEnd w:id="237"/>
      <w:bookmarkEnd w:id="238"/>
    </w:p>
    <w:p w14:paraId="1AC4FF3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w:t>
      </w:r>
      <w:r>
        <w:rPr>
          <w:rFonts w:hint="default" w:ascii="Times New Roman" w:hAnsi="Times New Roman" w:eastAsia="宋体" w:cs="Times New Roman"/>
          <w:color w:val="auto"/>
          <w:sz w:val="24"/>
          <w:szCs w:val="24"/>
        </w:rPr>
        <w:t>Political Liberalism、The Location of Culture、Deus Caritas Est</w:t>
      </w:r>
      <w:r>
        <w:rPr>
          <w:rFonts w:hint="eastAsia" w:ascii="宋体" w:hAnsi="宋体" w:eastAsia="宋体" w:cs="宋体"/>
          <w:color w:val="auto"/>
          <w:sz w:val="24"/>
          <w:szCs w:val="24"/>
        </w:rPr>
        <w:t>等外文经典著作，以及国务院、国家宗教事务局发布的政策文件。</w:t>
      </w:r>
    </w:p>
    <w:p w14:paraId="126E3A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第二，历史比较法。考察了基督教仁爱观念从早期教会的</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传统到明清耶稣会士</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第三，案例分析法。主要依托《中国基督教研究》</w:t>
      </w:r>
      <w:r>
        <w:rPr>
          <w:rFonts w:hint="default" w:ascii="Times New Roman Regular" w:hAnsi="Times New Roman Regular" w:eastAsia="宋体" w:cs="Times New Roman Regular"/>
          <w:color w:val="auto"/>
          <w:sz w:val="24"/>
          <w:szCs w:val="24"/>
        </w:rPr>
        <w:t>（JRCC）</w:t>
      </w:r>
      <w:r>
        <w:rPr>
          <w:rFonts w:hint="eastAsia" w:ascii="宋体" w:hAnsi="宋体" w:eastAsia="宋体" w:cs="宋体"/>
          <w:color w:val="auto"/>
          <w:sz w:val="24"/>
          <w:szCs w:val="24"/>
        </w:rPr>
        <w:t>等期刊刊发的实证研究，对泸州教会、山东圣公会、</w:t>
      </w:r>
      <w:r>
        <w:rPr>
          <w:rFonts w:hint="default" w:ascii="Times New Roman" w:hAnsi="Times New Roman" w:eastAsia="宋体" w:cs="Times New Roman"/>
          <w:color w:val="auto"/>
          <w:sz w:val="24"/>
          <w:szCs w:val="24"/>
        </w:rPr>
        <w:t>Q</w:t>
      </w:r>
      <w:r>
        <w:rPr>
          <w:rFonts w:hint="eastAsia" w:ascii="宋体" w:hAnsi="宋体" w:eastAsia="宋体" w:cs="宋体"/>
          <w:color w:val="auto"/>
          <w:sz w:val="24"/>
          <w:szCs w:val="24"/>
        </w:rPr>
        <w:t>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第四，跨文化诠释法。借鉴刘耘华、</w:t>
      </w:r>
      <w:r>
        <w:rPr>
          <w:rFonts w:hint="default" w:ascii="Times New Roman" w:hAnsi="Times New Roman" w:eastAsia="宋体" w:cs="Times New Roman"/>
          <w:color w:val="auto"/>
          <w:sz w:val="24"/>
          <w:szCs w:val="24"/>
        </w:rPr>
        <w:t>Roger Ames、Tu Weiming</w:t>
      </w:r>
      <w:r>
        <w:rPr>
          <w:rFonts w:hint="eastAsia" w:ascii="宋体" w:hAnsi="宋体" w:eastAsia="宋体" w:cs="宋体"/>
          <w:color w:val="auto"/>
          <w:sz w:val="24"/>
          <w:szCs w:val="24"/>
        </w:rPr>
        <w:t>等学者的跨文化比较方法，对基督教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进行语义分析、结构比较与实践对接，探索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中的创造性诠释可能。</w:t>
      </w:r>
    </w:p>
    <w:p w14:paraId="679BE087">
      <w:pPr>
        <w:pStyle w:val="4"/>
        <w:bidi w:val="0"/>
        <w:rPr>
          <w:rFonts w:hint="eastAsia"/>
          <w:color w:val="auto"/>
          <w:lang w:val="en-US" w:eastAsia="zh-CN"/>
        </w:rPr>
      </w:pPr>
      <w:bookmarkStart w:id="239" w:name="_Toc827591055"/>
      <w:bookmarkStart w:id="240" w:name="_Toc1512124985"/>
      <w:bookmarkStart w:id="241" w:name="_Toc1360567552"/>
      <w:bookmarkStart w:id="242" w:name="_Toc186187918"/>
      <w:bookmarkStart w:id="243" w:name="_Toc928234027"/>
      <w:bookmarkStart w:id="244" w:name="_Toc918410051"/>
      <w:bookmarkStart w:id="245" w:name="_Toc1967941959"/>
      <w:bookmarkStart w:id="246" w:name="_Toc502764593"/>
      <w:bookmarkStart w:id="247" w:name="_Toc1592901708"/>
      <w:bookmarkStart w:id="248" w:name="_Toc217950472"/>
      <w:bookmarkStart w:id="249" w:name="_Toc1955539847"/>
      <w:bookmarkStart w:id="250" w:name="_Toc1891948052"/>
      <w:r>
        <w:rPr>
          <w:rFonts w:hint="eastAsia"/>
          <w:color w:val="auto"/>
          <w:lang w:val="en-US" w:eastAsia="zh-CN"/>
        </w:rPr>
        <w:t>三、主要创新点</w:t>
      </w:r>
      <w:bookmarkEnd w:id="239"/>
      <w:bookmarkEnd w:id="240"/>
      <w:bookmarkEnd w:id="241"/>
      <w:bookmarkEnd w:id="242"/>
      <w:bookmarkEnd w:id="243"/>
      <w:bookmarkEnd w:id="244"/>
      <w:bookmarkEnd w:id="245"/>
      <w:bookmarkEnd w:id="246"/>
      <w:bookmarkEnd w:id="247"/>
      <w:bookmarkEnd w:id="248"/>
      <w:bookmarkEnd w:id="249"/>
      <w:bookmarkEnd w:id="250"/>
    </w:p>
    <w:p w14:paraId="704EC7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本文的创新点主要体现在四个方面：第一，理论框架的创新。首次将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政治框架、</w:t>
      </w:r>
      <w:r>
        <w:rPr>
          <w:rFonts w:hint="default" w:ascii="Times New Roman" w:hAnsi="Times New Roman" w:eastAsia="宋体" w:cs="Times New Roman"/>
          <w:color w:val="auto"/>
          <w:sz w:val="24"/>
          <w:szCs w:val="24"/>
        </w:rPr>
        <w:t>Bhabha</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文化翻译理论、</w:t>
      </w:r>
      <w:r>
        <w:rPr>
          <w:rFonts w:hint="default" w:ascii="Times New Roman" w:hAnsi="Times New Roman" w:eastAsia="宋体" w:cs="Times New Roman"/>
          <w:color w:val="auto"/>
          <w:sz w:val="24"/>
          <w:szCs w:val="24"/>
        </w:rPr>
        <w:t>Rawls</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政治哲学与</w:t>
      </w:r>
      <w:r>
        <w:rPr>
          <w:rFonts w:hint="default" w:ascii="Times New Roman" w:hAnsi="Times New Roman" w:eastAsia="宋体" w:cs="Times New Roman"/>
          <w:color w:val="auto"/>
          <w:sz w:val="24"/>
          <w:szCs w:val="24"/>
        </w:rPr>
        <w:t>Bevans</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处境化神学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模型整合为统一的分析框架，突破了既往研究单一视角的局限。</w:t>
      </w:r>
    </w:p>
    <w:p w14:paraId="1C4039A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第二，教义诠释方案的创新。提出</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的普遍主义进行辩证统一，设计出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的三层诠释结构，为当代基督教讲道、神学思想建设提供可直接应用的方法论。这一方案直接回应了2023年《纲要》关于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的政策要求。</w:t>
      </w:r>
    </w:p>
    <w:p w14:paraId="249B9B7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第三，转化机制的创新。提出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的分层浸润机制，针对不同年龄、文化程度、地域特征的信众群体，设计差异化的教育引导策略，避免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一刀切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的形式主义。特别设计了浙江神学院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五能精品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教学的融合型教育模式。</w:t>
      </w:r>
    </w:p>
    <w:p w14:paraId="46EDDAC2">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四，制度设计的创新。提出“评估—反馈—纠正”的闭环管理制度，将融合工作从运动式推进转化为制度化运行。基于浙江光盐爱心基金会、杭州圣爱康复医院等真实案例，设计了公益慈善项目的“去标识化”操作规范与社区融入的具体路径，为基层宗教工作部门提供可操作的考核指标与监管工具。</w:t>
      </w:r>
    </w:p>
    <w:p w14:paraId="5EDE32B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需要特别说明的是，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不仅是本文的政治前提，更是贯穿全文的分析尺度。在第三章的契合性分析中，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认同伟大祖国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认同中华民族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构成价值追求契合的政治基础；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认同中华文化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构成文化内核契合的历史根基；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认同中国共产党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认同中国特色社会主义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则构成实践转化路径的制度保障。本文在教义阐释、教育引导、实践转化与制度保障四维路径的设计中，始终以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作为检验融合成效的核心指标，确保融合路径既具有理论说服力，又具有实践可操作性。</w:t>
      </w:r>
    </w:p>
    <w:p w14:paraId="00FCE8AA">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b w:val="0"/>
          <w:bCs w:val="0"/>
          <w:color w:val="auto"/>
          <w:sz w:val="24"/>
          <w:szCs w:val="24"/>
        </w:rPr>
      </w:pPr>
      <w:r>
        <w:rPr>
          <w:rFonts w:hint="eastAsia" w:ascii="宋体" w:hAnsi="宋体" w:eastAsia="宋体" w:cs="宋体"/>
          <w:color w:val="auto"/>
          <w:sz w:val="24"/>
          <w:szCs w:val="24"/>
        </w:rPr>
        <w:br w:type="page"/>
      </w:r>
    </w:p>
    <w:p w14:paraId="6EEF3911">
      <w:pPr>
        <w:pStyle w:val="2"/>
        <w:bidi w:val="0"/>
        <w:rPr>
          <w:rFonts w:hint="eastAsia"/>
          <w:color w:val="auto"/>
          <w:lang w:val="en-US" w:eastAsia="zh-CN"/>
        </w:rPr>
      </w:pPr>
      <w:bookmarkStart w:id="251" w:name="_Toc1633964769"/>
      <w:bookmarkStart w:id="252" w:name="_Toc1508079981"/>
      <w:bookmarkStart w:id="253" w:name="_Toc652973208"/>
      <w:bookmarkStart w:id="254" w:name="_Toc71279766"/>
      <w:bookmarkStart w:id="255" w:name="_Toc1763847253"/>
      <w:bookmarkStart w:id="256" w:name="_Toc1752756168"/>
      <w:bookmarkStart w:id="257" w:name="_Toc1804857466"/>
      <w:bookmarkStart w:id="258" w:name="_Toc963144297"/>
      <w:bookmarkStart w:id="259" w:name="_Toc1668474841"/>
      <w:bookmarkStart w:id="260" w:name="_Toc376664147"/>
      <w:bookmarkStart w:id="261" w:name="_Toc1367862854"/>
      <w:bookmarkStart w:id="262" w:name="_Toc180548835"/>
      <w:r>
        <w:rPr>
          <w:rFonts w:hint="eastAsia"/>
          <w:color w:val="auto"/>
          <w:lang w:val="en-US" w:eastAsia="zh-CN"/>
        </w:rPr>
        <w:t>二、</w:t>
      </w:r>
      <w:r>
        <w:rPr>
          <w:rFonts w:hint="eastAsia"/>
          <w:color w:val="auto"/>
        </w:rPr>
        <w:t>核心概念界定与理论基础</w:t>
      </w:r>
      <w:bookmarkEnd w:id="251"/>
      <w:bookmarkEnd w:id="252"/>
      <w:bookmarkEnd w:id="253"/>
      <w:bookmarkEnd w:id="254"/>
      <w:bookmarkEnd w:id="255"/>
      <w:bookmarkEnd w:id="256"/>
      <w:bookmarkEnd w:id="257"/>
      <w:bookmarkEnd w:id="258"/>
      <w:bookmarkEnd w:id="259"/>
      <w:bookmarkEnd w:id="260"/>
      <w:bookmarkEnd w:id="261"/>
      <w:bookmarkEnd w:id="262"/>
    </w:p>
    <w:p w14:paraId="1479F8BC">
      <w:pPr>
        <w:pStyle w:val="3"/>
        <w:bidi w:val="0"/>
        <w:rPr>
          <w:rFonts w:hint="eastAsia"/>
          <w:color w:val="auto"/>
          <w:lang w:val="en-US" w:eastAsia="zh-CN"/>
        </w:rPr>
      </w:pPr>
      <w:bookmarkStart w:id="263" w:name="_Toc1981952240"/>
      <w:bookmarkStart w:id="264" w:name="_Toc879270686"/>
      <w:bookmarkStart w:id="265" w:name="_Toc1960010920"/>
      <w:bookmarkStart w:id="266" w:name="_Toc1698238773"/>
      <w:bookmarkStart w:id="267" w:name="_Toc24994747"/>
      <w:bookmarkStart w:id="268" w:name="_Toc858546043"/>
      <w:bookmarkStart w:id="269" w:name="_Toc1032917187"/>
      <w:bookmarkStart w:id="270" w:name="_Toc215190161"/>
      <w:bookmarkStart w:id="271" w:name="_Toc1116517983"/>
      <w:bookmarkStart w:id="272" w:name="_Toc1539729677"/>
      <w:bookmarkStart w:id="273" w:name="_Toc1850635783"/>
      <w:bookmarkStart w:id="274" w:name="_Toc89876634"/>
      <w:r>
        <w:rPr>
          <w:rFonts w:hint="eastAsia"/>
          <w:color w:val="auto"/>
          <w:lang w:val="en-US" w:eastAsia="zh-CN"/>
        </w:rPr>
        <w:t xml:space="preserve">第一节 </w:t>
      </w:r>
      <w:r>
        <w:rPr>
          <w:rFonts w:hint="eastAsia"/>
          <w:color w:val="auto"/>
        </w:rPr>
        <w:t>基督教仁爱观念的核心内涵与历史演进</w:t>
      </w:r>
      <w:bookmarkEnd w:id="263"/>
      <w:bookmarkEnd w:id="264"/>
      <w:bookmarkEnd w:id="265"/>
      <w:bookmarkEnd w:id="266"/>
      <w:bookmarkEnd w:id="267"/>
      <w:bookmarkEnd w:id="268"/>
      <w:bookmarkEnd w:id="269"/>
      <w:bookmarkEnd w:id="270"/>
      <w:bookmarkEnd w:id="271"/>
      <w:bookmarkEnd w:id="272"/>
      <w:bookmarkEnd w:id="273"/>
      <w:bookmarkEnd w:id="274"/>
    </w:p>
    <w:p w14:paraId="7DDB9437">
      <w:pPr>
        <w:pStyle w:val="4"/>
        <w:bidi w:val="0"/>
        <w:rPr>
          <w:rFonts w:hint="eastAsia"/>
          <w:color w:val="auto"/>
          <w:lang w:val="en-US" w:eastAsia="zh-CN"/>
        </w:rPr>
      </w:pPr>
      <w:bookmarkStart w:id="275" w:name="_Toc1327401664"/>
      <w:bookmarkStart w:id="276" w:name="_Toc1058734989"/>
      <w:bookmarkStart w:id="277" w:name="_Toc338574379"/>
      <w:bookmarkStart w:id="278" w:name="_Toc1651871107"/>
      <w:bookmarkStart w:id="279" w:name="_Toc2128843208"/>
      <w:bookmarkStart w:id="280" w:name="_Toc93905534"/>
      <w:bookmarkStart w:id="281" w:name="_Toc1052449063"/>
      <w:bookmarkStart w:id="282" w:name="_Toc1629945380"/>
      <w:bookmarkStart w:id="283" w:name="_Toc1067444595"/>
      <w:bookmarkStart w:id="284" w:name="_Toc605632795"/>
      <w:bookmarkStart w:id="285" w:name="_Toc640720508"/>
      <w:bookmarkStart w:id="286" w:name="_Toc875583797"/>
      <w:r>
        <w:rPr>
          <w:rFonts w:hint="eastAsia"/>
          <w:color w:val="auto"/>
          <w:lang w:val="en-US" w:eastAsia="zh-CN"/>
        </w:rPr>
        <w:t>一、</w:t>
      </w:r>
      <w:r>
        <w:rPr>
          <w:rFonts w:hint="eastAsia"/>
          <w:color w:val="auto"/>
        </w:rPr>
        <w:t>Agape的神学本源：从希腊语汇到基督教伦理</w:t>
      </w:r>
      <w:bookmarkEnd w:id="275"/>
      <w:bookmarkEnd w:id="276"/>
      <w:bookmarkEnd w:id="277"/>
      <w:bookmarkEnd w:id="278"/>
      <w:bookmarkEnd w:id="279"/>
      <w:bookmarkEnd w:id="280"/>
      <w:bookmarkEnd w:id="281"/>
      <w:bookmarkEnd w:id="282"/>
      <w:bookmarkEnd w:id="283"/>
      <w:bookmarkEnd w:id="284"/>
      <w:bookmarkEnd w:id="285"/>
      <w:bookmarkEnd w:id="286"/>
    </w:p>
    <w:p w14:paraId="27ACC8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color w:val="auto"/>
        </w:rPr>
        <w:t>基督教仁爱观念的本源内涵根植于其经典教义体系，核心表述</w:t>
      </w:r>
      <w:r>
        <w:rPr>
          <w:rFonts w:hint="eastAsia"/>
          <w:color w:val="auto"/>
          <w:lang w:eastAsia="zh-CN"/>
        </w:rPr>
        <w:t>“</w:t>
      </w:r>
      <w:r>
        <w:rPr>
          <w:color w:val="auto"/>
        </w:rPr>
        <w:t>爱神</w:t>
      </w:r>
      <w:r>
        <w:rPr>
          <w:rFonts w:hint="eastAsia"/>
          <w:color w:val="auto"/>
          <w:lang w:eastAsia="zh-CN"/>
        </w:rPr>
        <w:t>”</w:t>
      </w:r>
      <w:r>
        <w:rPr>
          <w:color w:val="auto"/>
        </w:rPr>
        <w:t>与</w:t>
      </w:r>
      <w:r>
        <w:rPr>
          <w:rFonts w:hint="eastAsia"/>
          <w:color w:val="auto"/>
          <w:lang w:eastAsia="zh-CN"/>
        </w:rPr>
        <w:t>“</w:t>
      </w:r>
      <w:r>
        <w:rPr>
          <w:color w:val="auto"/>
        </w:rPr>
        <w:t>爱人</w:t>
      </w:r>
      <w:r>
        <w:rPr>
          <w:rFonts w:hint="eastAsia"/>
          <w:color w:val="auto"/>
          <w:lang w:eastAsia="zh-CN"/>
        </w:rPr>
        <w:t>”</w:t>
      </w:r>
      <w:r>
        <w:rPr>
          <w:color w:val="auto"/>
        </w:rPr>
        <w:t>构成了一个不可分割的有机整体。在《圣经》的文本脉络里，这一观念并非简单的伦理倡导，而是源于神圣启示并以上帝之爱为终极典范的信仰实践。根据《马太福音》的记载，耶稣提出了两条核心诫命：一是全心全意地爱上帝，二是像爱自己一样关爱他人（太22:37-39）。这两条诫命共同确立了仁爱观念的神学基础与双重维度。</w:t>
      </w:r>
    </w:p>
    <w:p w14:paraId="63C3BA8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Agape</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（ἀγάπη）</w:t>
      </w:r>
      <w:r>
        <w:rPr>
          <w:rFonts w:hint="eastAsia" w:ascii="宋体" w:hAnsi="宋体" w:eastAsia="宋体" w:cs="宋体"/>
          <w:color w:val="auto"/>
          <w:sz w:val="24"/>
          <w:szCs w:val="24"/>
        </w:rPr>
        <w:t>指称。</w:t>
      </w:r>
    </w:p>
    <w:p w14:paraId="7498B4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default" w:ascii="Times New Roman" w:hAnsi="Times New Roman" w:eastAsia="宋体" w:cs="Times New Roman"/>
          <w:color w:val="auto"/>
          <w:sz w:val="24"/>
          <w:szCs w:val="24"/>
        </w:rPr>
        <w:t>Anders Nygren</w:t>
      </w:r>
      <w:r>
        <w:rPr>
          <w:rFonts w:hint="eastAsia" w:ascii="宋体" w:hAnsi="宋体" w:eastAsia="宋体" w:cs="宋体"/>
          <w:color w:val="auto"/>
          <w:sz w:val="24"/>
          <w:szCs w:val="24"/>
        </w:rPr>
        <w:t>在《圣爱与欲爱》中严格区分了</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w:t>
      </w:r>
      <w:r>
        <w:rPr>
          <w:rFonts w:hint="default" w:ascii="Times New Roman" w:hAnsi="Times New Roman" w:eastAsia="宋体" w:cs="Times New Roman"/>
          <w:color w:val="auto"/>
          <w:sz w:val="24"/>
          <w:szCs w:val="24"/>
        </w:rPr>
        <w:t>Eros：Agape</w:t>
      </w:r>
      <w:r>
        <w:rPr>
          <w:rFonts w:hint="eastAsia" w:ascii="宋体" w:hAnsi="宋体" w:eastAsia="宋体" w:cs="宋体"/>
          <w:color w:val="auto"/>
          <w:sz w:val="24"/>
          <w:szCs w:val="24"/>
        </w:rPr>
        <w:t>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自上而下的赐予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，以上帝为唯一主体，具有无条件性和神圣性；</w:t>
      </w:r>
      <w:r>
        <w:rPr>
          <w:rFonts w:hint="default" w:ascii="Times New Roman" w:hAnsi="Times New Roman" w:eastAsia="宋体" w:cs="Times New Roman"/>
          <w:color w:val="auto"/>
          <w:sz w:val="24"/>
          <w:szCs w:val="24"/>
        </w:rPr>
        <w:t>Eros</w:t>
      </w:r>
      <w:r>
        <w:rPr>
          <w:rFonts w:hint="eastAsia" w:ascii="宋体" w:hAnsi="宋体" w:eastAsia="宋体" w:cs="宋体"/>
          <w:color w:val="auto"/>
          <w:sz w:val="24"/>
          <w:szCs w:val="24"/>
        </w:rPr>
        <w:t>则是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自下而上的追求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，以人的需要为驱动力，具有条件性和世俗性。</w:t>
      </w:r>
      <w:r>
        <w:rPr>
          <w:rStyle w:val="29"/>
          <w:rFonts w:hint="eastAsia" w:ascii="宋体" w:hAnsi="宋体" w:eastAsia="宋体" w:cs="宋体"/>
          <w:color w:val="auto"/>
          <w:sz w:val="24"/>
          <w:szCs w:val="24"/>
        </w:rPr>
        <w:footnoteReference w:id="50"/>
      </w:r>
      <w:r>
        <w:rPr>
          <w:rFonts w:hint="eastAsia" w:ascii="宋体" w:hAnsi="宋体" w:eastAsia="宋体" w:cs="宋体"/>
          <w:color w:val="auto"/>
          <w:sz w:val="24"/>
          <w:szCs w:val="24"/>
        </w:rPr>
        <w:t xml:space="preserve"> 这一区分对理解基督教仁爱观念至关重要：其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无条件性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源于</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的神学逻辑，而社会主义核心价值观的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则基于人的社会性需要，二者在本体论层面不可通约，但在伦理实践层面具有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家族相似性</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（family resemblance）</w:t>
      </w:r>
      <w:r>
        <w:rPr>
          <w:rFonts w:hint="eastAsia" w:ascii="宋体" w:hAnsi="宋体" w:eastAsia="宋体" w:cs="宋体"/>
          <w:color w:val="auto"/>
          <w:sz w:val="24"/>
          <w:szCs w:val="24"/>
        </w:rPr>
        <w:t>——即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在行为模式上的功能等价。</w:t>
      </w:r>
    </w:p>
    <w:p w14:paraId="5422C13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default" w:ascii="Times New Roman" w:hAnsi="Times New Roman" w:eastAsia="宋体" w:cs="Times New Roman"/>
          <w:color w:val="auto"/>
          <w:sz w:val="24"/>
          <w:szCs w:val="24"/>
        </w:rPr>
        <w:t>Thomas Aquinas</w:t>
      </w:r>
      <w:r>
        <w:rPr>
          <w:rFonts w:hint="eastAsia" w:ascii="宋体" w:hAnsi="宋体" w:eastAsia="宋体" w:cs="宋体"/>
          <w:color w:val="auto"/>
          <w:sz w:val="24"/>
          <w:szCs w:val="24"/>
        </w:rPr>
        <w:t>在《神学大全》中进一步将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爱德</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（Charity/Caritas）</w:t>
      </w:r>
      <w:r>
        <w:rPr>
          <w:rFonts w:hint="eastAsia" w:ascii="宋体" w:hAnsi="宋体" w:eastAsia="宋体" w:cs="宋体"/>
          <w:color w:val="auto"/>
          <w:sz w:val="24"/>
          <w:szCs w:val="24"/>
        </w:rPr>
        <w:t>系统化为神学德性，指出其本质在于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愿上帝得荣耀、愿邻人得拯救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，强调爱德不仅是情感，更是意志的定向</w:t>
      </w:r>
      <w:r>
        <w:rPr>
          <w:rFonts w:hint="default" w:ascii="Times New Roman" w:hAnsi="Times New Roman" w:eastAsia="宋体" w:cs="Times New Roman"/>
          <w:color w:val="auto"/>
          <w:sz w:val="24"/>
          <w:szCs w:val="24"/>
        </w:rPr>
        <w:t>（act of will）</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51"/>
      </w:r>
      <w:r>
        <w:rPr>
          <w:rFonts w:hint="eastAsia" w:ascii="宋体" w:hAnsi="宋体" w:eastAsia="宋体" w:cs="宋体"/>
          <w:color w:val="auto"/>
          <w:sz w:val="24"/>
          <w:szCs w:val="24"/>
        </w:rPr>
        <w:t xml:space="preserve"> </w:t>
      </w:r>
      <w:r>
        <w:rPr>
          <w:rFonts w:hint="default" w:ascii="Times New Roman" w:hAnsi="Times New Roman" w:eastAsia="宋体" w:cs="Times New Roman"/>
          <w:color w:val="auto"/>
          <w:sz w:val="24"/>
          <w:szCs w:val="24"/>
        </w:rPr>
        <w:t>Pope Benedict XVI</w:t>
      </w:r>
      <w:r>
        <w:rPr>
          <w:rFonts w:hint="eastAsia" w:ascii="宋体" w:hAnsi="宋体" w:eastAsia="宋体" w:cs="宋体"/>
          <w:color w:val="auto"/>
          <w:sz w:val="24"/>
          <w:szCs w:val="24"/>
        </w:rPr>
        <w:t>在通谕《天主是爱》中重新激活了这一传统，指出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作为教会团体的爱</w:t>
      </w:r>
      <w:r>
        <w:rPr>
          <w:rFonts w:hint="default" w:ascii="Times New Roman" w:hAnsi="Times New Roman" w:eastAsia="宋体" w:cs="Times New Roman"/>
          <w:color w:val="auto"/>
          <w:sz w:val="24"/>
          <w:szCs w:val="24"/>
        </w:rPr>
        <w:t>（charity）</w:t>
      </w:r>
      <w:r>
        <w:rPr>
          <w:rFonts w:hint="eastAsia" w:ascii="宋体" w:hAnsi="宋体" w:eastAsia="宋体" w:cs="宋体"/>
          <w:color w:val="auto"/>
          <w:sz w:val="24"/>
          <w:szCs w:val="24"/>
        </w:rPr>
        <w:t>与作为个人情感的爱</w:t>
      </w:r>
      <w:r>
        <w:rPr>
          <w:rFonts w:hint="default" w:ascii="Times New Roman" w:hAnsi="Times New Roman" w:eastAsia="宋体" w:cs="Times New Roman"/>
          <w:color w:val="auto"/>
          <w:sz w:val="24"/>
          <w:szCs w:val="24"/>
        </w:rPr>
        <w:t>（eros）</w:t>
      </w:r>
      <w:r>
        <w:rPr>
          <w:rFonts w:hint="eastAsia" w:ascii="宋体" w:hAnsi="宋体" w:eastAsia="宋体" w:cs="宋体"/>
          <w:color w:val="auto"/>
          <w:sz w:val="24"/>
          <w:szCs w:val="24"/>
        </w:rPr>
        <w:t>并非对立，而是统一于上帝之爱的完整表达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，并强调教会的社会服务是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爱德的公共实践</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（public practice of charity）</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52"/>
      </w:r>
    </w:p>
    <w:p w14:paraId="41B573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耶稣关于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爱仇敌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为逼迫你们的祷告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的教导（太5:44），以及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的寓言（路10:25-37），都深刻诠释了这种爱的超越性，它要求打破血缘、族群乃至敌友的界限，以一种普遍性的姿态关怀每一个</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p>
    <w:p w14:paraId="536C5F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需要严格区分三组概念：</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、仁爱、仁。</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是基督教神学的本源概念，指向上帝对人类的垂直关系；仁爱是</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的中文神学译介，在中文语境中更接近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恩惠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的世俗化理解；仁则是儒家伦理的核心概念，以血缘亲情为根基的差序性推扩。三者的关系并非简单的线性对应，而是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翻译—转化—再创造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的复杂过程。</w:t>
      </w:r>
    </w:p>
    <w:p w14:paraId="71F29256">
      <w:pPr>
        <w:pStyle w:val="4"/>
        <w:bidi w:val="0"/>
        <w:rPr>
          <w:rFonts w:hint="eastAsia"/>
          <w:color w:val="auto"/>
          <w:lang w:val="en-US" w:eastAsia="zh-CN"/>
        </w:rPr>
      </w:pPr>
      <w:bookmarkStart w:id="287" w:name="_Toc242754189"/>
      <w:bookmarkStart w:id="288" w:name="_Toc109461081"/>
      <w:bookmarkStart w:id="289" w:name="_Toc462921127"/>
      <w:bookmarkStart w:id="290" w:name="_Toc1945382432"/>
      <w:bookmarkStart w:id="291" w:name="_Toc1836085149"/>
      <w:bookmarkStart w:id="292" w:name="_Toc1190600528"/>
      <w:bookmarkStart w:id="293" w:name="_Toc329106933"/>
      <w:bookmarkStart w:id="294" w:name="_Toc1106571898"/>
      <w:bookmarkStart w:id="295" w:name="_Toc1579641812"/>
      <w:bookmarkStart w:id="296" w:name="_Toc2017313040"/>
      <w:bookmarkStart w:id="297" w:name="_Toc1735406950"/>
      <w:bookmarkStart w:id="298" w:name="_Toc1378926935"/>
      <w:r>
        <w:rPr>
          <w:rFonts w:hint="eastAsia"/>
          <w:color w:val="auto"/>
          <w:lang w:val="en-US" w:eastAsia="zh-CN"/>
        </w:rPr>
        <w:t>二、</w:t>
      </w:r>
      <w:r>
        <w:rPr>
          <w:rFonts w:hint="eastAsia"/>
          <w:color w:val="auto"/>
        </w:rPr>
        <w:t>基督教仁爱观念的中国化演进：从</w:t>
      </w:r>
      <w:r>
        <w:rPr>
          <w:rFonts w:hint="eastAsia"/>
          <w:color w:val="auto"/>
          <w:lang w:eastAsia="zh-CN"/>
        </w:rPr>
        <w:t>“</w:t>
      </w:r>
      <w:r>
        <w:rPr>
          <w:rFonts w:hint="eastAsia"/>
          <w:color w:val="auto"/>
        </w:rPr>
        <w:t>以儒释耶</w:t>
      </w:r>
      <w:r>
        <w:rPr>
          <w:rFonts w:hint="eastAsia"/>
          <w:color w:val="auto"/>
          <w:lang w:eastAsia="zh-CN"/>
        </w:rPr>
        <w:t>”</w:t>
      </w:r>
      <w:r>
        <w:rPr>
          <w:rFonts w:hint="eastAsia"/>
          <w:color w:val="auto"/>
        </w:rPr>
        <w:t>到三自爱国</w:t>
      </w:r>
      <w:bookmarkEnd w:id="287"/>
      <w:bookmarkEnd w:id="288"/>
      <w:bookmarkEnd w:id="289"/>
      <w:bookmarkEnd w:id="290"/>
      <w:bookmarkEnd w:id="291"/>
      <w:bookmarkEnd w:id="292"/>
      <w:bookmarkEnd w:id="293"/>
      <w:bookmarkEnd w:id="294"/>
      <w:bookmarkEnd w:id="295"/>
      <w:bookmarkEnd w:id="296"/>
      <w:bookmarkEnd w:id="297"/>
      <w:bookmarkEnd w:id="298"/>
    </w:p>
    <w:p w14:paraId="2CE52C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基督教传入中国后，仁爱观念的本土化调整始终与整个宗教的社会定位绑定。明清之际，以利玛窦为代表的耶稣会士采取“文化适应”策略，以“仁”释“爱”，以“上帝”译</w:t>
      </w:r>
      <w:r>
        <w:rPr>
          <w:rFonts w:hint="default" w:ascii="Times New Roman" w:hAnsi="Times New Roman" w:eastAsia="宋体" w:cs="Times New Roman"/>
          <w:color w:val="auto"/>
          <w:sz w:val="24"/>
          <w:szCs w:val="24"/>
        </w:rPr>
        <w:t>“Deus”</w:t>
      </w:r>
      <w:r>
        <w:rPr>
          <w:rFonts w:hint="eastAsia" w:ascii="宋体" w:hAnsi="宋体" w:eastAsia="宋体" w:cs="宋体"/>
          <w:color w:val="auto"/>
          <w:sz w:val="24"/>
          <w:szCs w:val="24"/>
        </w:rPr>
        <w:t>，并非简单的语言转换，而是在两种文化符号的碰撞中创造新的神学表达。 刘耘华指出，这种“跨文化诠释”的机制，本质是“以儒释耶”的创造性转化，发生在</w:t>
      </w:r>
      <w:r>
        <w:rPr>
          <w:rFonts w:hint="default" w:ascii="Times New Roman" w:hAnsi="Times New Roman" w:eastAsia="宋体" w:cs="Times New Roman"/>
          <w:color w:val="auto"/>
          <w:sz w:val="24"/>
          <w:szCs w:val="24"/>
        </w:rPr>
        <w:t>Bhabha</w:t>
      </w:r>
      <w:r>
        <w:rPr>
          <w:rFonts w:hint="eastAsia" w:ascii="宋体" w:hAnsi="宋体" w:eastAsia="宋体" w:cs="宋体"/>
          <w:color w:val="auto"/>
          <w:sz w:val="24"/>
          <w:szCs w:val="24"/>
        </w:rPr>
        <w:t>所谓“第三空间”中，生成兼具双方特质的“混杂性”新意义。</w:t>
      </w:r>
    </w:p>
    <w:p w14:paraId="6692B8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清末民初伴随不平等条约进入中国的基督教会，多以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洋教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思想和基督教伦理的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博爱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思想分别代表了东西方文明的思想精华，二者的差异在于社会历史文化背景不同、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的对象与范围不同、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的表现形式不同、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的实现途径不同。</w:t>
      </w:r>
      <w:r>
        <w:rPr>
          <w:rStyle w:val="29"/>
          <w:rFonts w:hint="eastAsia" w:ascii="宋体" w:hAnsi="宋体" w:eastAsia="宋体" w:cs="宋体"/>
          <w:color w:val="auto"/>
          <w:sz w:val="24"/>
          <w:szCs w:val="24"/>
        </w:rPr>
        <w:footnoteReference w:id="53"/>
      </w:r>
    </w:p>
    <w:p w14:paraId="3FB7448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民国时期本土教会发起的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本色化运动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率先开启了仁爱观念的适配调整。赵天恩指出，本色化运动的核心在于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使基督教在中华国土上彻底除去洋教的面貌，建立由中国信徒自主、自养、自传的教会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54"/>
      </w:r>
      <w:r>
        <w:rPr>
          <w:rFonts w:hint="eastAsia" w:ascii="宋体" w:hAnsi="宋体" w:eastAsia="宋体" w:cs="宋体"/>
          <w:color w:val="auto"/>
          <w:sz w:val="24"/>
          <w:szCs w:val="24"/>
        </w:rPr>
        <w:t xml:space="preserve"> 不少教会人士尝试将基督教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的教义与儒家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克己复礼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的思想做互释，弱化教义中的排他性，转而吸纳儒家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新中国成立后三自爱国运动的推进，彻底剥离了基督教与外国势力的绑定，仁爱观念的本土化调整进入新的阶段。段琦的研究表明，三自爱国运动不仅具有政治意义，更是基督教中国化的历史前提，为基督教在社会主义社会的存在方式奠定了制度基础。 改革开放后，各地教会在公益实践中逐步吸纳儒家“民本”思想的内核，不再将仁爱行为作为获得神恩的途径，转而强调要服务普通民众的现实需求。吕臻雨对泸州教会的田野调查显示，当地教会近年开展的养老助餐、留守儿童陪护等项目以服务属地群众为目标，不再附带传教要求，体现了仁爱观念的世俗化转向。</w:t>
      </w:r>
      <w:r>
        <w:rPr>
          <w:rStyle w:val="29"/>
          <w:rFonts w:hint="eastAsia" w:ascii="宋体" w:hAnsi="宋体" w:eastAsia="宋体" w:cs="宋体"/>
          <w:color w:val="auto"/>
          <w:sz w:val="24"/>
          <w:szCs w:val="24"/>
        </w:rPr>
        <w:footnoteReference w:id="55"/>
      </w:r>
      <w:r>
        <w:rPr>
          <w:rStyle w:val="29"/>
          <w:rFonts w:hint="eastAsia" w:ascii="宋体" w:hAnsi="宋体" w:eastAsia="宋体" w:cs="宋体"/>
          <w:color w:val="auto"/>
          <w:sz w:val="24"/>
          <w:szCs w:val="24"/>
        </w:rPr>
        <w:footnoteReference w:id="56"/>
      </w:r>
    </w:p>
    <w:p w14:paraId="118A726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这一历程整体上呈现出从依附西方话语到适配本土文化、从服务传教目标到承担社会责任、从强调神学属性到兼顾世俗价值的发展脉络。</w:t>
      </w:r>
    </w:p>
    <w:p w14:paraId="423CBCFA">
      <w:pPr>
        <w:pStyle w:val="4"/>
        <w:bidi w:val="0"/>
        <w:rPr>
          <w:rFonts w:hint="eastAsia"/>
          <w:color w:val="auto"/>
          <w:lang w:val="en-US" w:eastAsia="zh-CN"/>
        </w:rPr>
      </w:pPr>
      <w:bookmarkStart w:id="299" w:name="_Toc508444444"/>
      <w:bookmarkStart w:id="300" w:name="_Toc1466386535"/>
      <w:bookmarkStart w:id="301" w:name="_Toc1847090070"/>
      <w:bookmarkStart w:id="302" w:name="_Toc1898208870"/>
      <w:bookmarkStart w:id="303" w:name="_Toc1890575500"/>
      <w:bookmarkStart w:id="304" w:name="_Toc1529831906"/>
      <w:bookmarkStart w:id="305" w:name="_Toc2129612055"/>
      <w:bookmarkStart w:id="306" w:name="_Toc2009198743"/>
      <w:bookmarkStart w:id="307" w:name="_Toc945506666"/>
      <w:bookmarkStart w:id="308" w:name="_Toc170451350"/>
      <w:bookmarkStart w:id="309" w:name="_Toc604009049"/>
      <w:bookmarkStart w:id="310" w:name="_Toc2128961768"/>
      <w:r>
        <w:rPr>
          <w:rFonts w:hint="eastAsia"/>
          <w:color w:val="auto"/>
          <w:lang w:val="en-US" w:eastAsia="zh-CN"/>
        </w:rPr>
        <w:t>三、</w:t>
      </w:r>
      <w:r>
        <w:rPr>
          <w:rFonts w:hint="eastAsia"/>
          <w:color w:val="auto"/>
        </w:rPr>
        <w:t>当代中国基督教仁爱观念的实践特征与世俗化趋势</w:t>
      </w:r>
      <w:bookmarkEnd w:id="299"/>
      <w:bookmarkEnd w:id="300"/>
      <w:bookmarkEnd w:id="301"/>
      <w:bookmarkEnd w:id="302"/>
      <w:bookmarkEnd w:id="303"/>
      <w:bookmarkEnd w:id="304"/>
      <w:bookmarkEnd w:id="305"/>
      <w:bookmarkEnd w:id="306"/>
      <w:bookmarkEnd w:id="307"/>
      <w:bookmarkEnd w:id="308"/>
      <w:bookmarkEnd w:id="309"/>
      <w:bookmarkEnd w:id="310"/>
    </w:p>
    <w:p w14:paraId="70F591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世俗化体现在这些实践活动更多地关注现实社会中的具体问题和人的实际需求，强调通过实际行动改善他人的生活状况，而不是仅仅停留在宗教教义的宣讲上。本土化则表现为基督教的仁爱实践与中国传统文化中的“仁爱”“互助”思想相融合，例如一些乡村教会在开展邻里互助时，会借鉴当地传统的互助习俗，使活动更贴近当地群众的生活习惯。杨宝安的比较研究显示，儒家仁爱以亲情之爱和非亲之爱为核心，基督教博爱则涵盖神爱、爱上帝、爱邻人和爱仇敌等维度，二者虽路径不同，但在现代社会公德建设中都能发挥积极作用。</w:t>
      </w:r>
      <w:r>
        <w:rPr>
          <w:rStyle w:val="29"/>
          <w:rFonts w:hint="eastAsia" w:ascii="宋体" w:hAnsi="宋体" w:eastAsia="宋体" w:cs="宋体"/>
          <w:color w:val="auto"/>
          <w:sz w:val="24"/>
          <w:szCs w:val="24"/>
        </w:rPr>
        <w:footnoteReference w:id="57"/>
      </w:r>
    </w:p>
    <w:p w14:paraId="0E4302D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同时，教会的公益慈善和社区服务活动也积极响应国家的政策号召，与社会主义社会的发展需求相适应，成为社会公益事业的有益补充。</w:t>
      </w:r>
    </w:p>
    <w:p w14:paraId="3E325887">
      <w:pPr>
        <w:rPr>
          <w:rFonts w:hint="eastAsia"/>
          <w:color w:val="auto"/>
          <w:lang w:val="en-US" w:eastAsia="zh-CN"/>
        </w:rPr>
      </w:pPr>
      <w:bookmarkStart w:id="311" w:name="_Toc19205458"/>
      <w:bookmarkStart w:id="312" w:name="_Toc1036160773"/>
      <w:bookmarkStart w:id="313" w:name="_Toc279863836"/>
      <w:bookmarkStart w:id="314" w:name="_Toc734387488"/>
      <w:bookmarkStart w:id="315" w:name="_Toc1899031309"/>
      <w:bookmarkStart w:id="316" w:name="_Toc63138611"/>
      <w:bookmarkStart w:id="317" w:name="_Toc32654352"/>
      <w:bookmarkStart w:id="318" w:name="_Toc424887174"/>
      <w:bookmarkStart w:id="319" w:name="_Toc179418258"/>
      <w:bookmarkStart w:id="320" w:name="_Toc1570408173"/>
      <w:bookmarkStart w:id="321" w:name="_Toc588338895"/>
      <w:r>
        <w:rPr>
          <w:rFonts w:hint="eastAsia"/>
          <w:color w:val="auto"/>
          <w:lang w:val="en-US" w:eastAsia="zh-CN"/>
        </w:rPr>
        <w:br w:type="page"/>
      </w:r>
    </w:p>
    <w:p w14:paraId="76411055">
      <w:pPr>
        <w:pStyle w:val="3"/>
        <w:bidi w:val="0"/>
        <w:rPr>
          <w:rFonts w:hint="eastAsia"/>
          <w:color w:val="auto"/>
          <w:lang w:val="en-US" w:eastAsia="zh-CN"/>
        </w:rPr>
      </w:pPr>
      <w:bookmarkStart w:id="322" w:name="_Toc87908462"/>
      <w:r>
        <w:rPr>
          <w:rFonts w:hint="eastAsia"/>
          <w:color w:val="auto"/>
          <w:lang w:val="en-US" w:eastAsia="zh-CN"/>
        </w:rPr>
        <w:t xml:space="preserve">第二节 </w:t>
      </w:r>
      <w:r>
        <w:rPr>
          <w:rFonts w:hint="eastAsia"/>
          <w:color w:val="auto"/>
        </w:rPr>
        <w:t>社会主义核心价值观的核心要义与价值追求</w:t>
      </w:r>
      <w:bookmarkEnd w:id="311"/>
      <w:bookmarkEnd w:id="312"/>
      <w:bookmarkEnd w:id="313"/>
      <w:bookmarkEnd w:id="314"/>
      <w:bookmarkEnd w:id="315"/>
      <w:bookmarkEnd w:id="316"/>
      <w:bookmarkEnd w:id="317"/>
      <w:bookmarkEnd w:id="318"/>
      <w:bookmarkEnd w:id="319"/>
      <w:bookmarkEnd w:id="320"/>
      <w:bookmarkEnd w:id="321"/>
      <w:bookmarkEnd w:id="322"/>
    </w:p>
    <w:p w14:paraId="4AE00435">
      <w:pPr>
        <w:pStyle w:val="4"/>
        <w:bidi w:val="0"/>
        <w:rPr>
          <w:rFonts w:hint="eastAsia"/>
          <w:color w:val="auto"/>
          <w:lang w:val="en-US" w:eastAsia="zh-CN"/>
        </w:rPr>
      </w:pPr>
      <w:bookmarkStart w:id="323" w:name="_Toc809218288"/>
      <w:bookmarkStart w:id="324" w:name="_Toc1213364079"/>
      <w:bookmarkStart w:id="325" w:name="_Toc415621818"/>
      <w:bookmarkStart w:id="326" w:name="_Toc663585556"/>
      <w:bookmarkStart w:id="327" w:name="_Toc1197097477"/>
      <w:bookmarkStart w:id="328" w:name="_Toc313713459"/>
      <w:bookmarkStart w:id="329" w:name="_Toc695607143"/>
      <w:bookmarkStart w:id="330" w:name="_Toc682304722"/>
      <w:bookmarkStart w:id="331" w:name="_Toc1276141981"/>
      <w:bookmarkStart w:id="332" w:name="_Toc1261991507"/>
      <w:bookmarkStart w:id="333" w:name="_Toc1117248649"/>
      <w:bookmarkStart w:id="334" w:name="_Toc8771698"/>
      <w:r>
        <w:rPr>
          <w:rFonts w:hint="eastAsia"/>
          <w:color w:val="auto"/>
          <w:lang w:val="en-US" w:eastAsia="zh-CN"/>
        </w:rPr>
        <w:t>一、</w:t>
      </w:r>
      <w:r>
        <w:rPr>
          <w:rFonts w:hint="eastAsia"/>
          <w:color w:val="auto"/>
        </w:rPr>
        <w:t>三个层面的价值内涵与逻辑关联</w:t>
      </w:r>
      <w:bookmarkEnd w:id="323"/>
      <w:bookmarkEnd w:id="324"/>
      <w:bookmarkEnd w:id="325"/>
      <w:bookmarkEnd w:id="326"/>
      <w:bookmarkEnd w:id="327"/>
      <w:bookmarkEnd w:id="328"/>
      <w:bookmarkEnd w:id="329"/>
      <w:bookmarkEnd w:id="330"/>
      <w:bookmarkEnd w:id="331"/>
      <w:bookmarkEnd w:id="332"/>
      <w:bookmarkEnd w:id="333"/>
      <w:bookmarkEnd w:id="334"/>
    </w:p>
    <w:p w14:paraId="68D792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民富国强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的传统诉求一脉相承。</w:t>
      </w:r>
    </w:p>
    <w:p w14:paraId="14AFDE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三个层面的内容并非相互割裂，而是形成了从宏观到微观的完整价值链条，共同构成了我国当代社会价值引导的核心依据，也为宗教领域的价值适配工作划定了基本的价值框架。</w:t>
      </w:r>
    </w:p>
    <w:p w14:paraId="325BDCC1">
      <w:pPr>
        <w:pStyle w:val="4"/>
        <w:bidi w:val="0"/>
        <w:rPr>
          <w:rFonts w:hint="eastAsia"/>
          <w:color w:val="auto"/>
          <w:lang w:val="en-US" w:eastAsia="zh-CN"/>
        </w:rPr>
      </w:pPr>
      <w:bookmarkStart w:id="335" w:name="_Toc1739075082"/>
      <w:bookmarkStart w:id="336" w:name="_Toc1990490843"/>
      <w:bookmarkStart w:id="337" w:name="_Toc517829965"/>
      <w:bookmarkStart w:id="338" w:name="_Toc1034375"/>
      <w:bookmarkStart w:id="339" w:name="_Toc505363841"/>
      <w:bookmarkStart w:id="340" w:name="_Toc999860821"/>
      <w:bookmarkStart w:id="341" w:name="_Toc509752028"/>
      <w:bookmarkStart w:id="342" w:name="_Toc168278133"/>
      <w:bookmarkStart w:id="343" w:name="_Toc1742760377"/>
      <w:bookmarkStart w:id="344" w:name="_Toc2080271321"/>
      <w:bookmarkStart w:id="345" w:name="_Toc1199092078"/>
      <w:bookmarkStart w:id="346" w:name="_Toc1397040290"/>
      <w:r>
        <w:rPr>
          <w:rFonts w:hint="eastAsia"/>
          <w:color w:val="auto"/>
          <w:lang w:val="en-US" w:eastAsia="zh-CN"/>
        </w:rPr>
        <w:t>二、</w:t>
      </w:r>
      <w:r>
        <w:rPr>
          <w:rFonts w:hint="eastAsia"/>
          <w:color w:val="auto"/>
        </w:rPr>
        <w:t>核心价值观对宗教领域的引领功能</w:t>
      </w:r>
      <w:bookmarkEnd w:id="335"/>
      <w:bookmarkEnd w:id="336"/>
      <w:bookmarkEnd w:id="337"/>
      <w:bookmarkEnd w:id="338"/>
      <w:bookmarkEnd w:id="339"/>
      <w:bookmarkEnd w:id="340"/>
      <w:bookmarkEnd w:id="341"/>
      <w:bookmarkEnd w:id="342"/>
      <w:bookmarkEnd w:id="343"/>
      <w:bookmarkEnd w:id="344"/>
      <w:bookmarkEnd w:id="345"/>
      <w:bookmarkEnd w:id="346"/>
    </w:p>
    <w:p w14:paraId="2C12E0C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98533EB">
      <w:pPr>
        <w:rPr>
          <w:color w:val="auto"/>
        </w:rPr>
      </w:pPr>
      <w:bookmarkStart w:id="347" w:name="_Toc352251802"/>
      <w:bookmarkStart w:id="348" w:name="_Toc1044194806"/>
      <w:bookmarkStart w:id="349" w:name="_Toc1382467504"/>
      <w:bookmarkStart w:id="350" w:name="_Toc679345335"/>
      <w:r>
        <w:rPr>
          <w:color w:val="auto"/>
        </w:rPr>
        <w:br w:type="page"/>
      </w:r>
    </w:p>
    <w:p w14:paraId="0E8F3CFB">
      <w:pPr>
        <w:pStyle w:val="3"/>
        <w:bidi w:val="0"/>
        <w:rPr>
          <w:rFonts w:hint="eastAsia"/>
          <w:color w:val="auto"/>
          <w:lang w:val="en-US" w:eastAsia="zh-CN"/>
        </w:rPr>
      </w:pPr>
      <w:bookmarkStart w:id="351" w:name="_Toc1617441379"/>
      <w:r>
        <w:rPr>
          <w:color w:val="auto"/>
        </w:rPr>
        <w:t>第三节 研究的理论基础与分析框架</w:t>
      </w:r>
      <w:bookmarkEnd w:id="347"/>
      <w:bookmarkEnd w:id="348"/>
      <w:bookmarkEnd w:id="349"/>
      <w:bookmarkEnd w:id="350"/>
      <w:bookmarkEnd w:id="351"/>
    </w:p>
    <w:p w14:paraId="48ABBCA4">
      <w:pPr>
        <w:pStyle w:val="4"/>
        <w:bidi w:val="0"/>
        <w:rPr>
          <w:rFonts w:hint="eastAsia"/>
          <w:color w:val="auto"/>
          <w:lang w:val="en-US" w:eastAsia="zh-CN"/>
        </w:rPr>
      </w:pPr>
      <w:bookmarkStart w:id="352" w:name="_Toc648545593"/>
      <w:bookmarkStart w:id="353" w:name="_Toc858157202"/>
      <w:bookmarkStart w:id="354" w:name="_Toc875489466"/>
      <w:bookmarkStart w:id="355" w:name="_Toc1546430829"/>
      <w:bookmarkStart w:id="356" w:name="_Toc1815375869"/>
      <w:bookmarkStart w:id="357" w:name="_Toc1831105082"/>
      <w:bookmarkStart w:id="358" w:name="_Toc494679709"/>
      <w:bookmarkStart w:id="359" w:name="_Toc1733977893"/>
      <w:bookmarkStart w:id="360" w:name="_Toc545741158"/>
      <w:bookmarkStart w:id="361" w:name="_Toc1505762835"/>
      <w:bookmarkStart w:id="362" w:name="_Toc568252834"/>
      <w:bookmarkStart w:id="363" w:name="_Toc1489253127"/>
      <w:r>
        <w:rPr>
          <w:rFonts w:hint="eastAsia"/>
          <w:color w:val="auto"/>
          <w:lang w:val="en-US" w:eastAsia="zh-CN"/>
        </w:rPr>
        <w:t>一、</w:t>
      </w:r>
      <w:r>
        <w:rPr>
          <w:rFonts w:hint="eastAsia"/>
          <w:color w:val="auto"/>
        </w:rPr>
        <w:t>中国特色社会主义宗教理论：政策合法性框架</w:t>
      </w:r>
      <w:bookmarkEnd w:id="352"/>
      <w:bookmarkEnd w:id="353"/>
      <w:bookmarkEnd w:id="354"/>
      <w:bookmarkEnd w:id="355"/>
      <w:bookmarkEnd w:id="356"/>
      <w:bookmarkEnd w:id="357"/>
      <w:bookmarkEnd w:id="358"/>
      <w:bookmarkEnd w:id="359"/>
      <w:bookmarkEnd w:id="360"/>
      <w:bookmarkEnd w:id="361"/>
      <w:bookmarkEnd w:id="362"/>
      <w:bookmarkEnd w:id="363"/>
    </w:p>
    <w:p w14:paraId="18337E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Fonts w:hint="eastAsia" w:ascii="宋体" w:hAnsi="宋体" w:eastAsia="宋体" w:cs="宋体"/>
          <w:color w:val="auto"/>
          <w:sz w:val="24"/>
          <w:szCs w:val="24"/>
        </w:rPr>
        <w:footnoteReference w:id="58"/>
      </w:r>
    </w:p>
    <w:p w14:paraId="246B21E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改革开放后，随着社会转型和宗教领域的新变化，理论不断得到丰富和发展。龚学增系统论述了社会主义与宗教的关系，提出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积极引导宗教与社会主义社会相适应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是处理中国宗教问题的根本途径。</w:t>
      </w:r>
      <w:r>
        <w:rPr>
          <w:rStyle w:val="29"/>
          <w:rFonts w:hint="eastAsia" w:ascii="宋体" w:hAnsi="宋体" w:eastAsia="宋体" w:cs="宋体"/>
          <w:color w:val="auto"/>
          <w:sz w:val="24"/>
          <w:szCs w:val="24"/>
        </w:rPr>
        <w:footnoteReference w:id="59"/>
      </w:r>
      <w:r>
        <w:rPr>
          <w:rFonts w:hint="eastAsia" w:ascii="宋体" w:hAnsi="宋体" w:eastAsia="宋体" w:cs="宋体"/>
          <w:color w:val="auto"/>
          <w:sz w:val="24"/>
          <w:szCs w:val="24"/>
        </w:rPr>
        <w:t xml:space="preserve"> 到新时代，习近平总书记提出的坚持宗教中国化方向、以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的方针处理宗教问题等重要论述，让这一理论体系更加成熟完整。</w:t>
      </w:r>
    </w:p>
    <w:p w14:paraId="3F2CD7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该理论的核心内容包括几个关键方面：首先是关于我国宗教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的基本判断，即长期性、群众性、民族性、国际性、复杂性；其次是坚持宗教中国化方向的核心要求；最后是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的宗教工作方针，主张积极引导宗教与社会主义社会相适应。</w:t>
      </w:r>
      <w:r>
        <w:rPr>
          <w:rStyle w:val="29"/>
          <w:rFonts w:hint="eastAsia" w:ascii="宋体" w:hAnsi="宋体" w:eastAsia="宋体" w:cs="宋体"/>
          <w:color w:val="auto"/>
          <w:sz w:val="24"/>
          <w:szCs w:val="24"/>
        </w:rPr>
        <w:footnoteReference w:id="60"/>
      </w:r>
      <w:r>
        <w:rPr>
          <w:rFonts w:hint="eastAsia" w:ascii="宋体" w:hAnsi="宋体" w:eastAsia="宋体" w:cs="宋体"/>
          <w:color w:val="auto"/>
          <w:sz w:val="24"/>
          <w:szCs w:val="24"/>
        </w:rPr>
        <w:t xml:space="preserve"> 本文以此作为研究的根本政策遵循，确保分析不偏离正确的政治方向。</w:t>
      </w:r>
    </w:p>
    <w:p w14:paraId="6E62AE12">
      <w:pPr>
        <w:pStyle w:val="4"/>
        <w:bidi w:val="0"/>
        <w:rPr>
          <w:rFonts w:hint="eastAsia"/>
          <w:color w:val="auto"/>
          <w:lang w:val="en-US" w:eastAsia="zh-CN"/>
        </w:rPr>
      </w:pPr>
      <w:bookmarkStart w:id="364" w:name="_Toc2015847009"/>
      <w:bookmarkStart w:id="365" w:name="_Toc765602829"/>
      <w:bookmarkStart w:id="366" w:name="_Toc1408671597"/>
      <w:bookmarkStart w:id="367" w:name="_Toc1626273026"/>
      <w:bookmarkStart w:id="368" w:name="_Toc1940989465"/>
      <w:bookmarkStart w:id="369" w:name="_Toc1722057354"/>
      <w:bookmarkStart w:id="370" w:name="_Toc368986169"/>
      <w:bookmarkStart w:id="371" w:name="_Toc1613357861"/>
      <w:bookmarkStart w:id="372" w:name="_Toc1942451664"/>
      <w:bookmarkStart w:id="373" w:name="_Toc1172671626"/>
      <w:bookmarkStart w:id="374" w:name="_Toc547920762"/>
      <w:bookmarkStart w:id="375" w:name="_Toc955399704"/>
      <w:r>
        <w:rPr>
          <w:rFonts w:hint="eastAsia"/>
          <w:color w:val="auto"/>
          <w:lang w:val="en-US" w:eastAsia="zh-CN"/>
        </w:rPr>
        <w:t>二、</w:t>
      </w:r>
      <w:r>
        <w:rPr>
          <w:rFonts w:hint="eastAsia"/>
          <w:color w:val="auto"/>
        </w:rPr>
        <w:t>文化翻译理论与</w:t>
      </w:r>
      <w:r>
        <w:rPr>
          <w:rFonts w:hint="eastAsia"/>
          <w:color w:val="auto"/>
          <w:lang w:eastAsia="zh-CN"/>
        </w:rPr>
        <w:t>“</w:t>
      </w:r>
      <w:r>
        <w:rPr>
          <w:rFonts w:hint="eastAsia"/>
          <w:color w:val="auto"/>
        </w:rPr>
        <w:t>第三空间</w:t>
      </w:r>
      <w:r>
        <w:rPr>
          <w:rFonts w:hint="eastAsia"/>
          <w:color w:val="auto"/>
          <w:lang w:eastAsia="zh-CN"/>
        </w:rPr>
        <w:t>”</w:t>
      </w:r>
      <w:r>
        <w:rPr>
          <w:rFonts w:hint="eastAsia"/>
          <w:color w:val="auto"/>
        </w:rPr>
        <w:t>：过程分析框架</w:t>
      </w:r>
      <w:bookmarkEnd w:id="364"/>
      <w:bookmarkEnd w:id="365"/>
      <w:bookmarkEnd w:id="366"/>
      <w:bookmarkEnd w:id="367"/>
      <w:bookmarkEnd w:id="368"/>
      <w:bookmarkEnd w:id="369"/>
      <w:bookmarkEnd w:id="370"/>
      <w:bookmarkEnd w:id="371"/>
      <w:bookmarkEnd w:id="372"/>
      <w:bookmarkEnd w:id="373"/>
      <w:bookmarkEnd w:id="374"/>
      <w:bookmarkEnd w:id="375"/>
    </w:p>
    <w:p w14:paraId="6C2F16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default" w:ascii="Times New Roman" w:hAnsi="Times New Roman" w:eastAsia="宋体" w:cs="Times New Roman"/>
          <w:color w:val="auto"/>
          <w:sz w:val="24"/>
          <w:szCs w:val="24"/>
        </w:rPr>
        <w:t>Homi Bhabha</w:t>
      </w:r>
      <w:r>
        <w:rPr>
          <w:rFonts w:hint="eastAsia" w:ascii="宋体" w:hAnsi="宋体" w:eastAsia="宋体" w:cs="宋体"/>
          <w:color w:val="auto"/>
          <w:sz w:val="24"/>
          <w:szCs w:val="24"/>
        </w:rPr>
        <w:t>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理论指出，文化相遇并非</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本土—外来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的二元对立，而是在交互中生成新的意义空间。</w:t>
      </w:r>
      <w:r>
        <w:rPr>
          <w:rStyle w:val="29"/>
          <w:rFonts w:hint="eastAsia" w:ascii="宋体" w:hAnsi="宋体" w:eastAsia="宋体" w:cs="宋体"/>
          <w:color w:val="auto"/>
          <w:sz w:val="24"/>
          <w:szCs w:val="24"/>
        </w:rPr>
        <w:footnoteReference w:id="61"/>
      </w:r>
      <w:r>
        <w:rPr>
          <w:rFonts w:hint="eastAsia" w:ascii="宋体" w:hAnsi="宋体" w:eastAsia="宋体" w:cs="宋体"/>
          <w:color w:val="auto"/>
          <w:sz w:val="24"/>
          <w:szCs w:val="24"/>
        </w:rPr>
        <w:t xml:space="preserve"> 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的实践，正是发生在这一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——不是简单的语言转换，而是在两种文化符号的碰撞中创造新的意义。</w:t>
      </w:r>
    </w:p>
    <w:p w14:paraId="0405CC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刘耘华系统分析了这一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跨文化诠释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的机制，指出其本质是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的创造性转化。</w:t>
      </w:r>
      <w:r>
        <w:rPr>
          <w:rStyle w:val="29"/>
          <w:rFonts w:hint="eastAsia" w:ascii="宋体" w:hAnsi="宋体" w:eastAsia="宋体" w:cs="宋体"/>
          <w:color w:val="auto"/>
          <w:sz w:val="24"/>
          <w:szCs w:val="24"/>
        </w:rPr>
        <w:footnoteReference w:id="62"/>
      </w:r>
      <w:r>
        <w:rPr>
          <w:rFonts w:hint="eastAsia" w:ascii="宋体" w:hAnsi="宋体" w:eastAsia="宋体" w:cs="宋体"/>
          <w:color w:val="auto"/>
          <w:sz w:val="24"/>
          <w:szCs w:val="24"/>
        </w:rPr>
        <w:t xml:space="preserve"> 本文将当代融合视为这一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的延续：基督教仁爱观念与核心价值观的对话，不是在二者之间寻找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最大公约数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，而是在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中生成兼具双方特质的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混杂性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新意义。这一理论视角为第三章第三节分析二者文化内核的契合性提供了分析工具。</w:t>
      </w:r>
    </w:p>
    <w:p w14:paraId="6DD6A973">
      <w:pPr>
        <w:pStyle w:val="4"/>
        <w:bidi w:val="0"/>
        <w:rPr>
          <w:rFonts w:hint="eastAsia"/>
          <w:color w:val="auto"/>
          <w:lang w:val="en-US" w:eastAsia="zh-CN"/>
        </w:rPr>
      </w:pPr>
      <w:bookmarkStart w:id="376" w:name="_Toc1765253494"/>
      <w:bookmarkStart w:id="377" w:name="_Toc1634589663"/>
      <w:bookmarkStart w:id="378" w:name="_Toc1638665191"/>
      <w:bookmarkStart w:id="379" w:name="_Toc494368598"/>
      <w:bookmarkStart w:id="380" w:name="_Toc1683806251"/>
      <w:bookmarkStart w:id="381" w:name="_Toc1577042805"/>
      <w:bookmarkStart w:id="382" w:name="_Toc1912217826"/>
      <w:bookmarkStart w:id="383" w:name="_Toc738715154"/>
      <w:bookmarkStart w:id="384" w:name="_Toc1933340325"/>
      <w:bookmarkStart w:id="385" w:name="_Toc1746372613"/>
      <w:bookmarkStart w:id="386" w:name="_Toc980838059"/>
      <w:bookmarkStart w:id="387" w:name="_Toc667596509"/>
      <w:r>
        <w:rPr>
          <w:rFonts w:hint="eastAsia"/>
          <w:color w:val="auto"/>
          <w:lang w:val="en-US" w:eastAsia="zh-CN"/>
        </w:rPr>
        <w:t>三、</w:t>
      </w:r>
      <w:r>
        <w:rPr>
          <w:rFonts w:hint="eastAsia"/>
          <w:color w:val="auto"/>
        </w:rPr>
        <w:t>交叠共识理论：价值对话框架</w:t>
      </w:r>
      <w:bookmarkEnd w:id="376"/>
      <w:bookmarkEnd w:id="377"/>
      <w:bookmarkEnd w:id="378"/>
      <w:bookmarkEnd w:id="379"/>
      <w:bookmarkEnd w:id="380"/>
      <w:bookmarkEnd w:id="381"/>
      <w:bookmarkEnd w:id="382"/>
      <w:bookmarkEnd w:id="383"/>
      <w:bookmarkEnd w:id="384"/>
      <w:bookmarkEnd w:id="385"/>
      <w:bookmarkEnd w:id="386"/>
      <w:bookmarkEnd w:id="387"/>
    </w:p>
    <w:p w14:paraId="6BC5B7D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在价值对话的理论基础方面，</w:t>
      </w:r>
      <w:r>
        <w:rPr>
          <w:rFonts w:hint="default" w:ascii="Times New Roman" w:hAnsi="Times New Roman" w:eastAsia="宋体" w:cs="Times New Roman"/>
          <w:color w:val="auto"/>
          <w:sz w:val="24"/>
          <w:szCs w:val="24"/>
        </w:rPr>
        <w:t>Rawls</w:t>
      </w:r>
      <w:r>
        <w:rPr>
          <w:rFonts w:hint="eastAsia" w:ascii="宋体" w:hAnsi="宋体" w:eastAsia="宋体" w:cs="宋体"/>
          <w:color w:val="auto"/>
          <w:sz w:val="24"/>
          <w:szCs w:val="24"/>
        </w:rPr>
        <w:t>关于多元社会中不同价值体系如何在保持各自内核的前提下达成共识的思考，为本文提供了重要的参照。万俊人将这一理论引入中国语境后，论证了其与儒家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思想的相通性。本文借其核心逻辑来理解：基督教与核心价值观属于两种不同的价值体系，前者以上帝为价值根基，后者以人民为主体，二者在形而上学层面存在差异，但可以在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尊重人的尊严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促进社会和谐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等实践性价值上形成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差异中的统一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63"/>
      </w:r>
      <w:r>
        <w:rPr>
          <w:rStyle w:val="29"/>
          <w:rFonts w:hint="eastAsia" w:ascii="宋体" w:hAnsi="宋体" w:eastAsia="宋体" w:cs="宋体"/>
          <w:color w:val="auto"/>
          <w:sz w:val="24"/>
          <w:szCs w:val="24"/>
        </w:rPr>
        <w:footnoteReference w:id="64"/>
      </w:r>
    </w:p>
    <w:p w14:paraId="4E66D05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这一理论视角为第三章第一节分析二者价值追求的契合性提供了分析工具，同时也回应了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虚假共识论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的质疑——融合不是掩盖差异，而是承认差异前提下的实践合作。</w:t>
      </w:r>
    </w:p>
    <w:p w14:paraId="6A5BDA40">
      <w:pPr>
        <w:pStyle w:val="4"/>
        <w:bidi w:val="0"/>
        <w:rPr>
          <w:rFonts w:hint="eastAsia"/>
          <w:color w:val="auto"/>
          <w:lang w:val="en-US" w:eastAsia="zh-CN"/>
        </w:rPr>
      </w:pPr>
      <w:bookmarkStart w:id="388" w:name="_Toc860783241"/>
      <w:bookmarkStart w:id="389" w:name="_Toc75779518"/>
      <w:bookmarkStart w:id="390" w:name="_Toc1625503142"/>
      <w:bookmarkStart w:id="391" w:name="_Toc982629971"/>
      <w:bookmarkStart w:id="392" w:name="_Toc1715576009"/>
      <w:bookmarkStart w:id="393" w:name="_Toc1937653617"/>
      <w:bookmarkStart w:id="394" w:name="_Toc1128890353"/>
      <w:bookmarkStart w:id="395" w:name="_Toc1115252361"/>
      <w:bookmarkStart w:id="396" w:name="_Toc1552224227"/>
      <w:bookmarkStart w:id="397" w:name="_Toc238796343"/>
      <w:bookmarkStart w:id="398" w:name="_Toc192160391"/>
      <w:bookmarkStart w:id="399" w:name="_Toc1839954835"/>
      <w:r>
        <w:rPr>
          <w:rFonts w:hint="eastAsia"/>
          <w:color w:val="auto"/>
          <w:lang w:val="en-US" w:eastAsia="zh-CN"/>
        </w:rPr>
        <w:t>四、</w:t>
      </w:r>
      <w:r>
        <w:rPr>
          <w:rFonts w:hint="eastAsia"/>
          <w:color w:val="auto"/>
        </w:rPr>
        <w:t>处境化神学理论：教义诠释创新框架</w:t>
      </w:r>
      <w:bookmarkEnd w:id="388"/>
      <w:bookmarkEnd w:id="389"/>
      <w:bookmarkEnd w:id="390"/>
      <w:bookmarkEnd w:id="391"/>
      <w:bookmarkEnd w:id="392"/>
      <w:bookmarkEnd w:id="393"/>
      <w:bookmarkEnd w:id="394"/>
      <w:bookmarkEnd w:id="395"/>
      <w:bookmarkEnd w:id="396"/>
      <w:bookmarkEnd w:id="397"/>
      <w:bookmarkEnd w:id="398"/>
      <w:bookmarkEnd w:id="399"/>
    </w:p>
    <w:p w14:paraId="4D8166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在教义诠释的方法论方面，</w:t>
      </w:r>
      <w:r>
        <w:rPr>
          <w:rFonts w:hint="default" w:ascii="Times New Roman" w:hAnsi="Times New Roman" w:eastAsia="宋体" w:cs="Times New Roman"/>
          <w:color w:val="auto"/>
          <w:sz w:val="24"/>
          <w:szCs w:val="24"/>
        </w:rPr>
        <w:t>Bevans</w:t>
      </w:r>
      <w:r>
        <w:rPr>
          <w:rFonts w:hint="eastAsia" w:ascii="宋体" w:hAnsi="宋体" w:eastAsia="宋体" w:cs="宋体"/>
          <w:color w:val="auto"/>
          <w:sz w:val="24"/>
          <w:szCs w:val="24"/>
        </w:rPr>
        <w:t>的处境化神学理论为基督教教义的本土化提供了多种路径选择。其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合成模型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主张在基督教传统与本土文化之间寻找综合点，创造新的神学表达；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自然模型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则主张在本土文化的自然发展中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发现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福音的踪迹，而非强加外来的神学框架。</w:t>
      </w:r>
      <w:r>
        <w:rPr>
          <w:rFonts w:hint="default" w:ascii="Times New Roman" w:hAnsi="Times New Roman" w:eastAsia="宋体" w:cs="Times New Roman"/>
          <w:color w:val="auto"/>
          <w:sz w:val="24"/>
          <w:szCs w:val="24"/>
        </w:rPr>
        <w:t>Schreiter</w:t>
      </w:r>
      <w:r>
        <w:rPr>
          <w:rFonts w:hint="eastAsia" w:ascii="宋体" w:hAnsi="宋体" w:eastAsia="宋体" w:cs="宋体"/>
          <w:color w:val="auto"/>
          <w:sz w:val="24"/>
          <w:szCs w:val="24"/>
        </w:rPr>
        <w:t>进一步指出，本土神学建构需经历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解构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外来神学中的文化霸权元素，然后在本土经验中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福音的意义。本文提出的</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与仁的创造性对接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方案，正是这一方法论的具体应用。</w:t>
      </w:r>
      <w:r>
        <w:rPr>
          <w:rStyle w:val="29"/>
          <w:rFonts w:hint="eastAsia" w:ascii="宋体" w:hAnsi="宋体" w:eastAsia="宋体" w:cs="宋体"/>
          <w:color w:val="auto"/>
          <w:sz w:val="24"/>
          <w:szCs w:val="24"/>
        </w:rPr>
        <w:footnoteReference w:id="65"/>
      </w:r>
      <w:r>
        <w:rPr>
          <w:rStyle w:val="29"/>
          <w:rFonts w:hint="eastAsia" w:ascii="宋体" w:hAnsi="宋体" w:eastAsia="宋体" w:cs="宋体"/>
          <w:color w:val="auto"/>
          <w:sz w:val="24"/>
          <w:szCs w:val="24"/>
        </w:rPr>
        <w:footnoteReference w:id="66"/>
      </w:r>
    </w:p>
    <w:p w14:paraId="50EF2A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default" w:ascii="Times New Roman" w:hAnsi="Times New Roman" w:eastAsia="宋体" w:cs="Times New Roman"/>
          <w:color w:val="auto"/>
          <w:sz w:val="24"/>
          <w:szCs w:val="24"/>
        </w:rPr>
        <w:t>Robert Schreiter</w:t>
      </w:r>
      <w:r>
        <w:rPr>
          <w:rFonts w:hint="eastAsia" w:ascii="宋体" w:hAnsi="宋体" w:eastAsia="宋体" w:cs="宋体"/>
          <w:color w:val="auto"/>
          <w:sz w:val="24"/>
          <w:szCs w:val="24"/>
        </w:rPr>
        <w:t>在《建构本土神学》中进一步指出，本土神学建构需要经历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解构</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（deconstruction）</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重构</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（reconstruction）</w:t>
      </w:r>
      <w:r>
        <w:rPr>
          <w:rFonts w:hint="eastAsia" w:ascii="宋体" w:hAnsi="宋体" w:eastAsia="宋体" w:cs="宋体"/>
          <w:color w:val="auto"/>
          <w:sz w:val="24"/>
          <w:szCs w:val="24"/>
        </w:rPr>
        <w:t>两个阶段：首先解构外来神学中的文化霸权元素，然后在本土经验中重构福音的意义。</w:t>
      </w:r>
      <w:r>
        <w:rPr>
          <w:rStyle w:val="29"/>
          <w:rFonts w:hint="eastAsia" w:ascii="宋体" w:hAnsi="宋体" w:eastAsia="宋体" w:cs="宋体"/>
          <w:color w:val="auto"/>
          <w:sz w:val="24"/>
          <w:szCs w:val="24"/>
        </w:rPr>
        <w:footnoteReference w:id="67"/>
      </w:r>
      <w:r>
        <w:rPr>
          <w:rFonts w:hint="eastAsia" w:ascii="宋体" w:hAnsi="宋体" w:eastAsia="宋体" w:cs="宋体"/>
          <w:color w:val="auto"/>
          <w:sz w:val="24"/>
          <w:szCs w:val="24"/>
        </w:rPr>
        <w:t xml:space="preserve"> 本文提出的</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方案，正是这一方法论的具体应用。2023年《纲要》明确提出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以社会主义核心价值观为引领，用中华优秀传统文化浸润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，这一政策要求与处境化神学理论形成了理论与实践的双向互动。</w:t>
      </w:r>
    </w:p>
    <w:p w14:paraId="37A1B6C4">
      <w:pPr>
        <w:pStyle w:val="4"/>
        <w:bidi w:val="0"/>
        <w:rPr>
          <w:rFonts w:hint="eastAsia"/>
          <w:color w:val="auto"/>
          <w:lang w:val="en-US" w:eastAsia="zh-CN"/>
        </w:rPr>
      </w:pPr>
      <w:bookmarkStart w:id="400" w:name="_Toc168556355"/>
      <w:bookmarkStart w:id="401" w:name="_Toc242141626"/>
      <w:bookmarkStart w:id="402" w:name="_Toc1950684205"/>
      <w:bookmarkStart w:id="403" w:name="_Toc601239433"/>
      <w:bookmarkStart w:id="404" w:name="_Toc1971770096"/>
      <w:bookmarkStart w:id="405" w:name="_Toc1702317811"/>
      <w:bookmarkStart w:id="406" w:name="_Toc1570538641"/>
      <w:bookmarkStart w:id="407" w:name="_Toc809160311"/>
      <w:bookmarkStart w:id="408" w:name="_Toc1691834107"/>
      <w:bookmarkStart w:id="409" w:name="_Toc1734085295"/>
      <w:bookmarkStart w:id="410" w:name="_Toc912677167"/>
      <w:bookmarkStart w:id="411" w:name="_Toc356395045"/>
      <w:r>
        <w:rPr>
          <w:rFonts w:hint="eastAsia"/>
          <w:color w:val="auto"/>
          <w:lang w:val="en-US" w:eastAsia="zh-CN"/>
        </w:rPr>
        <w:t>五、</w:t>
      </w:r>
      <w:r>
        <w:rPr>
          <w:rFonts w:hint="eastAsia"/>
          <w:color w:val="auto"/>
        </w:rPr>
        <w:t>研究边界与理论承诺</w:t>
      </w:r>
      <w:bookmarkEnd w:id="400"/>
      <w:bookmarkEnd w:id="401"/>
      <w:bookmarkEnd w:id="402"/>
      <w:bookmarkEnd w:id="403"/>
      <w:bookmarkEnd w:id="404"/>
      <w:bookmarkEnd w:id="405"/>
      <w:bookmarkEnd w:id="406"/>
      <w:bookmarkEnd w:id="407"/>
      <w:bookmarkEnd w:id="408"/>
      <w:bookmarkEnd w:id="409"/>
      <w:bookmarkEnd w:id="410"/>
      <w:bookmarkEnd w:id="411"/>
    </w:p>
    <w:p w14:paraId="3B4FBB0D">
      <w:pPr>
        <w:keepNext w:val="0"/>
        <w:keepLines w:val="0"/>
        <w:pageBreakBefore w:val="0"/>
        <w:widowControl w:val="0"/>
        <w:tabs>
          <w:tab w:val="left" w:pos="1643"/>
        </w:tabs>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于上述理论框架，本文明确划定研究边界：第一，政治边界。全文坚持中国特色社会主义宗教理论的根本遵循，所有分析以“宗教与社会主义社会相适应”为底线，拥护党的领导与社会主义制度是不容讨论的前提。第二，学科边界。本文不做基督教神学教义的“对错评判”，仅围绕世俗维度的仁爱实践与社会主义核心价值观的融合路径展开社会学分析。这一方法论承诺借鉴了</w:t>
      </w:r>
      <w:r>
        <w:rPr>
          <w:rFonts w:hint="default" w:ascii="Times New Roman" w:hAnsi="Times New Roman" w:eastAsia="宋体" w:cs="Times New Roman"/>
          <w:color w:val="auto"/>
          <w:sz w:val="24"/>
          <w:szCs w:val="24"/>
        </w:rPr>
        <w:t>Peter Berger</w:t>
      </w:r>
      <w:r>
        <w:rPr>
          <w:rFonts w:hint="eastAsia" w:ascii="宋体" w:hAnsi="宋体" w:eastAsia="宋体" w:cs="宋体"/>
          <w:color w:val="auto"/>
          <w:sz w:val="24"/>
          <w:szCs w:val="24"/>
        </w:rPr>
        <w:t>的“方法论悬置”原则，即将宗教的“意义功能”与“整合功能”区分，社会学分析仅涉及后者。 第三，方法边界。本文提出的融合路径以“推动基督教更好融入中国社会发展大局”为核心目标，各地可结合实际适度调整，但不得突破政治底线。</w:t>
      </w:r>
    </w:p>
    <w:p w14:paraId="0C9B951C">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41F0EDF3">
      <w:pPr>
        <w:pStyle w:val="2"/>
        <w:bidi w:val="0"/>
        <w:rPr>
          <w:rFonts w:hint="eastAsia"/>
          <w:color w:val="auto"/>
          <w:lang w:val="en-US" w:eastAsia="zh-CN"/>
        </w:rPr>
      </w:pPr>
      <w:bookmarkStart w:id="412" w:name="_Toc192797117"/>
      <w:bookmarkStart w:id="413" w:name="_Toc395728092"/>
      <w:bookmarkStart w:id="414" w:name="_Toc2036938895"/>
      <w:bookmarkStart w:id="415" w:name="_Toc1972350069"/>
      <w:bookmarkStart w:id="416" w:name="_Toc1321434010"/>
      <w:bookmarkStart w:id="417" w:name="_Toc2078304143"/>
      <w:bookmarkStart w:id="418" w:name="_Toc1120591296"/>
      <w:bookmarkStart w:id="419" w:name="_Toc1270979628"/>
      <w:bookmarkStart w:id="420" w:name="_Toc1664078333"/>
      <w:bookmarkStart w:id="421" w:name="_Toc1690894173"/>
      <w:bookmarkStart w:id="422" w:name="_Toc1719846615"/>
      <w:bookmarkStart w:id="423" w:name="_Toc599629832"/>
      <w:r>
        <w:rPr>
          <w:rFonts w:hint="eastAsia"/>
          <w:color w:val="auto"/>
          <w:lang w:val="en-US" w:eastAsia="zh-CN"/>
        </w:rPr>
        <w:t>三、</w:t>
      </w:r>
      <w:r>
        <w:rPr>
          <w:rFonts w:hint="eastAsia"/>
          <w:color w:val="auto"/>
        </w:rPr>
        <w:t>基督教仁爱观念与社会主义核心价值观的契合性分析</w:t>
      </w:r>
      <w:bookmarkEnd w:id="412"/>
      <w:bookmarkEnd w:id="413"/>
      <w:bookmarkEnd w:id="414"/>
      <w:bookmarkEnd w:id="415"/>
      <w:bookmarkEnd w:id="416"/>
      <w:bookmarkEnd w:id="417"/>
      <w:bookmarkEnd w:id="418"/>
      <w:bookmarkEnd w:id="419"/>
      <w:bookmarkEnd w:id="420"/>
      <w:bookmarkEnd w:id="421"/>
      <w:bookmarkEnd w:id="422"/>
      <w:bookmarkEnd w:id="423"/>
    </w:p>
    <w:p w14:paraId="15750AA9">
      <w:pPr>
        <w:pStyle w:val="3"/>
        <w:bidi w:val="0"/>
        <w:rPr>
          <w:rFonts w:hint="eastAsia"/>
          <w:color w:val="auto"/>
          <w:lang w:val="en-US" w:eastAsia="zh-CN"/>
        </w:rPr>
      </w:pPr>
      <w:bookmarkStart w:id="424" w:name="_Toc1795191438"/>
      <w:bookmarkStart w:id="425" w:name="_Toc245187485"/>
      <w:bookmarkStart w:id="426" w:name="_Toc346327682"/>
      <w:bookmarkStart w:id="427" w:name="_Toc334771087"/>
      <w:bookmarkStart w:id="428" w:name="_Toc1485007850"/>
      <w:bookmarkStart w:id="429" w:name="_Toc1236212946"/>
      <w:bookmarkStart w:id="430" w:name="_Toc730034591"/>
      <w:bookmarkStart w:id="431" w:name="_Toc1935805743"/>
      <w:bookmarkStart w:id="432" w:name="_Toc1207264860"/>
      <w:bookmarkStart w:id="433" w:name="_Toc65528796"/>
      <w:bookmarkStart w:id="434" w:name="_Toc332169685"/>
      <w:bookmarkStart w:id="435" w:name="_Toc1985314700"/>
      <w:r>
        <w:rPr>
          <w:rFonts w:hint="eastAsia"/>
          <w:color w:val="auto"/>
          <w:lang w:val="en-US" w:eastAsia="zh-CN"/>
        </w:rPr>
        <w:t xml:space="preserve">第一节 </w:t>
      </w:r>
      <w:r>
        <w:rPr>
          <w:rFonts w:hint="eastAsia"/>
          <w:color w:val="auto"/>
        </w:rPr>
        <w:t>价值追求的契合：对人的尊严与福祉的共同关切</w:t>
      </w:r>
      <w:bookmarkEnd w:id="424"/>
      <w:bookmarkEnd w:id="425"/>
      <w:bookmarkEnd w:id="426"/>
      <w:bookmarkEnd w:id="427"/>
      <w:bookmarkEnd w:id="428"/>
      <w:bookmarkEnd w:id="429"/>
      <w:bookmarkEnd w:id="430"/>
      <w:bookmarkEnd w:id="431"/>
      <w:bookmarkEnd w:id="432"/>
      <w:bookmarkEnd w:id="433"/>
      <w:bookmarkEnd w:id="434"/>
      <w:bookmarkEnd w:id="435"/>
    </w:p>
    <w:p w14:paraId="5C38FD65">
      <w:pPr>
        <w:pStyle w:val="4"/>
        <w:bidi w:val="0"/>
        <w:rPr>
          <w:rFonts w:hint="eastAsia"/>
          <w:color w:val="auto"/>
          <w:lang w:val="en-US" w:eastAsia="zh-CN"/>
        </w:rPr>
      </w:pPr>
      <w:bookmarkStart w:id="436" w:name="_Toc1117295626"/>
      <w:bookmarkStart w:id="437" w:name="_Toc1048668004"/>
      <w:bookmarkStart w:id="438" w:name="_Toc90504069"/>
      <w:bookmarkStart w:id="439" w:name="_Toc126698697"/>
      <w:bookmarkStart w:id="440" w:name="_Toc1465897242"/>
      <w:bookmarkStart w:id="441" w:name="_Toc1992425449"/>
      <w:bookmarkStart w:id="442" w:name="_Toc471989516"/>
      <w:bookmarkStart w:id="443" w:name="_Toc709870551"/>
      <w:bookmarkStart w:id="444" w:name="_Toc1830847108"/>
      <w:bookmarkStart w:id="445" w:name="_Toc1075005164"/>
      <w:bookmarkStart w:id="446" w:name="_Toc1784741763"/>
      <w:bookmarkStart w:id="447" w:name="_Toc1730739461"/>
      <w:r>
        <w:rPr>
          <w:rFonts w:hint="eastAsia"/>
          <w:color w:val="auto"/>
          <w:lang w:val="en-US" w:eastAsia="zh-CN"/>
        </w:rPr>
        <w:t>一、</w:t>
      </w:r>
      <w:r>
        <w:rPr>
          <w:rFonts w:hint="eastAsia"/>
          <w:color w:val="auto"/>
        </w:rPr>
        <w:t>基督教</w:t>
      </w:r>
      <w:r>
        <w:rPr>
          <w:rFonts w:hint="eastAsia"/>
          <w:color w:val="auto"/>
          <w:lang w:eastAsia="zh-CN"/>
        </w:rPr>
        <w:t>“</w:t>
      </w:r>
      <w:r>
        <w:rPr>
          <w:rFonts w:hint="eastAsia"/>
          <w:color w:val="auto"/>
        </w:rPr>
        <w:t>爱人如己</w:t>
      </w:r>
      <w:r>
        <w:rPr>
          <w:rFonts w:hint="eastAsia"/>
          <w:color w:val="auto"/>
          <w:lang w:eastAsia="zh-CN"/>
        </w:rPr>
        <w:t>”</w:t>
      </w:r>
      <w:r>
        <w:rPr>
          <w:rFonts w:hint="eastAsia"/>
          <w:color w:val="auto"/>
        </w:rPr>
        <w:t>的人本导向解析</w:t>
      </w:r>
      <w:bookmarkEnd w:id="436"/>
      <w:bookmarkEnd w:id="437"/>
      <w:bookmarkEnd w:id="438"/>
      <w:bookmarkEnd w:id="439"/>
      <w:bookmarkEnd w:id="440"/>
      <w:bookmarkEnd w:id="441"/>
      <w:bookmarkEnd w:id="442"/>
      <w:bookmarkEnd w:id="443"/>
      <w:bookmarkEnd w:id="444"/>
      <w:bookmarkEnd w:id="445"/>
      <w:bookmarkEnd w:id="446"/>
      <w:bookmarkEnd w:id="447"/>
    </w:p>
    <w:p w14:paraId="656CCA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的人本导向，在剥离“爱神优先”的神学超验属性之后，首先体现在对个体人格的对等尊重上。奥古斯丁在《论基督教教义》中明确提出，“爱邻人”是仁爱教义落地实践的核心指向，要求信众无论对方身份、信仰如何，都要按照“你们愿意人怎样待你们，你们也要怎样待人”（太7:12）的准则行事，这本质上承认了每个个体都享有被尊重的同等权利。</w:t>
      </w:r>
    </w:p>
    <w:p w14:paraId="6DD8097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是对邻里互助、扶危济困的行为要求，这类要求已经大量转化为国内基督教团体的世俗实践。王思琪对山东圣公会的历史考察显示，民国时期乡村教会信众已积极参与基层矛盾调解，从宅基地纠纷到家庭养老矛盾，主动介入以避免矛盾升级。 这种教义内涵对信众的个体道德行为有明确的正向引导作用。</w:t>
      </w:r>
    </w:p>
    <w:p w14:paraId="7DCC9A7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黄勇指出，儒家仁爱观强调爱的多样性和对不同对象的适当回应，能够为全球伦理提供有益的指导，而基督教博爱思想同样强调对道德和礼仪的追求，二者在道德实践层面有相似之处。</w:t>
      </w:r>
      <w:r>
        <w:rPr>
          <w:rStyle w:val="29"/>
          <w:rFonts w:hint="eastAsia" w:ascii="宋体" w:hAnsi="宋体" w:eastAsia="宋体" w:cs="宋体"/>
          <w:color w:val="auto"/>
          <w:sz w:val="24"/>
          <w:szCs w:val="24"/>
        </w:rPr>
        <w:footnoteReference w:id="68"/>
      </w:r>
      <w:r>
        <w:rPr>
          <w:rFonts w:hint="eastAsia" w:ascii="宋体" w:hAnsi="宋体" w:eastAsia="宋体" w:cs="宋体"/>
          <w:color w:val="auto"/>
          <w:sz w:val="24"/>
          <w:szCs w:val="24"/>
        </w:rPr>
        <w:t xml:space="preserve"> 从处境化神学角度看，基督教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的诫命在不同文化语境中必然经历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再语境化</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（recontextualization）</w:t>
      </w:r>
      <w:r>
        <w:rPr>
          <w:rFonts w:hint="eastAsia" w:ascii="宋体" w:hAnsi="宋体" w:eastAsia="宋体" w:cs="宋体"/>
          <w:color w:val="auto"/>
          <w:sz w:val="24"/>
          <w:szCs w:val="24"/>
        </w:rPr>
        <w:t>：在希腊罗马语境中，它表现为对陌生人的接待</w:t>
      </w:r>
      <w:r>
        <w:rPr>
          <w:rFonts w:hint="default" w:ascii="Times New Roman" w:hAnsi="Times New Roman" w:eastAsia="宋体" w:cs="Times New Roman"/>
          <w:color w:val="auto"/>
          <w:sz w:val="24"/>
          <w:szCs w:val="24"/>
        </w:rPr>
        <w:t>（hospitality）</w:t>
      </w:r>
      <w:r>
        <w:rPr>
          <w:rFonts w:hint="eastAsia" w:ascii="宋体" w:hAnsi="宋体" w:eastAsia="宋体" w:cs="宋体"/>
          <w:color w:val="auto"/>
          <w:sz w:val="24"/>
          <w:szCs w:val="24"/>
        </w:rPr>
        <w:t>；在欧洲中世纪语境中，它表现为对贫民的救济</w:t>
      </w:r>
      <w:r>
        <w:rPr>
          <w:rFonts w:hint="default" w:ascii="Times New Roman" w:hAnsi="Times New Roman" w:eastAsia="宋体" w:cs="Times New Roman"/>
          <w:color w:val="auto"/>
          <w:sz w:val="24"/>
          <w:szCs w:val="24"/>
        </w:rPr>
        <w:t>（almsgiving）</w:t>
      </w:r>
      <w:r>
        <w:rPr>
          <w:rFonts w:hint="eastAsia" w:ascii="宋体" w:hAnsi="宋体" w:eastAsia="宋体" w:cs="宋体"/>
          <w:color w:val="auto"/>
          <w:sz w:val="24"/>
          <w:szCs w:val="24"/>
        </w:rPr>
        <w:t>；在当代中国语境中，它则应当表现为对社会主义核心价值观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准则的主动践行。</w:t>
      </w:r>
    </w:p>
    <w:p w14:paraId="6D4EC2B8">
      <w:pPr>
        <w:pStyle w:val="4"/>
        <w:bidi w:val="0"/>
        <w:rPr>
          <w:rFonts w:hint="eastAsia"/>
          <w:color w:val="auto"/>
          <w:lang w:val="en-US" w:eastAsia="zh-CN"/>
        </w:rPr>
      </w:pPr>
      <w:bookmarkStart w:id="448" w:name="_Toc1901649940"/>
      <w:bookmarkStart w:id="449" w:name="_Toc2070687041"/>
      <w:bookmarkStart w:id="450" w:name="_Toc831869137"/>
      <w:bookmarkStart w:id="451" w:name="_Toc790576814"/>
      <w:bookmarkStart w:id="452" w:name="_Toc103229445"/>
      <w:bookmarkStart w:id="453" w:name="_Toc1268706302"/>
      <w:bookmarkStart w:id="454" w:name="_Toc1402547910"/>
      <w:bookmarkStart w:id="455" w:name="_Toc1522691572"/>
      <w:bookmarkStart w:id="456" w:name="_Toc683465607"/>
      <w:bookmarkStart w:id="457" w:name="_Toc564852299"/>
      <w:bookmarkStart w:id="458" w:name="_Toc982013672"/>
      <w:bookmarkStart w:id="459" w:name="_Toc872122412"/>
      <w:r>
        <w:rPr>
          <w:rFonts w:hint="eastAsia"/>
          <w:color w:val="auto"/>
          <w:lang w:val="en-US" w:eastAsia="zh-CN"/>
        </w:rPr>
        <w:t>二、</w:t>
      </w:r>
      <w:r>
        <w:rPr>
          <w:rFonts w:hint="eastAsia"/>
          <w:color w:val="auto"/>
        </w:rPr>
        <w:t>社会主义核心价值观</w:t>
      </w:r>
      <w:r>
        <w:rPr>
          <w:rFonts w:hint="eastAsia"/>
          <w:color w:val="auto"/>
          <w:lang w:eastAsia="zh-CN"/>
        </w:rPr>
        <w:t>“</w:t>
      </w:r>
      <w:r>
        <w:rPr>
          <w:rFonts w:hint="eastAsia"/>
          <w:color w:val="auto"/>
        </w:rPr>
        <w:t>以人为本</w:t>
      </w:r>
      <w:r>
        <w:rPr>
          <w:rFonts w:hint="eastAsia"/>
          <w:color w:val="auto"/>
          <w:lang w:eastAsia="zh-CN"/>
        </w:rPr>
        <w:t>”</w:t>
      </w:r>
      <w:r>
        <w:rPr>
          <w:rFonts w:hint="eastAsia"/>
          <w:color w:val="auto"/>
        </w:rPr>
        <w:t>的价值逻辑</w:t>
      </w:r>
      <w:bookmarkEnd w:id="448"/>
      <w:bookmarkEnd w:id="449"/>
      <w:bookmarkEnd w:id="450"/>
      <w:bookmarkEnd w:id="451"/>
      <w:bookmarkEnd w:id="452"/>
      <w:bookmarkEnd w:id="453"/>
      <w:bookmarkEnd w:id="454"/>
      <w:bookmarkEnd w:id="455"/>
      <w:bookmarkEnd w:id="456"/>
      <w:bookmarkEnd w:id="457"/>
      <w:bookmarkEnd w:id="458"/>
      <w:bookmarkEnd w:id="459"/>
    </w:p>
    <w:p w14:paraId="742A896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，价值逻辑的起点与归宿均指向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以人民为中心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从理论渊源上看，这一逻辑继承并发展了中华传统文化中源远流长的民本思想，如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民惟邦本，本固邦宁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价值理念在法律制度中的具体落实。</w:t>
      </w:r>
    </w:p>
    <w:p w14:paraId="606A0C73">
      <w:pPr>
        <w:pStyle w:val="4"/>
        <w:bidi w:val="0"/>
        <w:rPr>
          <w:rFonts w:hint="eastAsia"/>
          <w:color w:val="auto"/>
          <w:lang w:val="en-US" w:eastAsia="zh-CN"/>
        </w:rPr>
      </w:pPr>
      <w:bookmarkStart w:id="460" w:name="_Toc1842213898"/>
      <w:bookmarkStart w:id="461" w:name="_Toc31423279"/>
      <w:bookmarkStart w:id="462" w:name="_Toc116429046"/>
      <w:bookmarkStart w:id="463" w:name="_Toc1957978986"/>
      <w:bookmarkStart w:id="464" w:name="_Toc314629305"/>
      <w:bookmarkStart w:id="465" w:name="_Toc781686651"/>
      <w:bookmarkStart w:id="466" w:name="_Toc1291958109"/>
      <w:bookmarkStart w:id="467" w:name="_Toc1594869553"/>
      <w:bookmarkStart w:id="468" w:name="_Toc743188909"/>
      <w:bookmarkStart w:id="469" w:name="_Toc1106043589"/>
      <w:bookmarkStart w:id="470" w:name="_Toc2064598452"/>
      <w:bookmarkStart w:id="471" w:name="_Toc1185487709"/>
      <w:r>
        <w:rPr>
          <w:rFonts w:hint="eastAsia"/>
          <w:color w:val="auto"/>
          <w:lang w:val="en-US" w:eastAsia="zh-CN"/>
        </w:rPr>
        <w:t>三、</w:t>
      </w:r>
      <w:r>
        <w:rPr>
          <w:rFonts w:hint="eastAsia"/>
          <w:color w:val="auto"/>
        </w:rPr>
        <w:t>二者价值追求的交叠共识：差异中的统一</w:t>
      </w:r>
      <w:bookmarkEnd w:id="460"/>
      <w:bookmarkEnd w:id="461"/>
      <w:bookmarkEnd w:id="462"/>
      <w:bookmarkEnd w:id="463"/>
      <w:bookmarkEnd w:id="464"/>
      <w:bookmarkEnd w:id="465"/>
      <w:bookmarkEnd w:id="466"/>
      <w:bookmarkEnd w:id="467"/>
      <w:bookmarkEnd w:id="468"/>
      <w:bookmarkEnd w:id="469"/>
      <w:bookmarkEnd w:id="470"/>
      <w:bookmarkEnd w:id="471"/>
    </w:p>
    <w:p w14:paraId="16B39B0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基督教仁爱观念与社会主义核心价值观虽然在思想渊源和表达形式上存在差异，但深入分析其价值内核，可以发现二者在以人为本的价值追求上具有深刻的共通性。基督教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爱邻舍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乃至更广泛人群的关怀，在当代中国的社会实践中常常具体化为对贫困者、病患、孤寡老人的慈善帮扶。许多基层教会组织志愿者参与社区养老、灾害救助等活动，行动的内在驱动力正是源于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与此相应，社会主义核心价值观将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从政治哲学的视角看，基督教仁爱观念与核心价值观属于两种不同的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整全性学说</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（Comprehensive Doctrines）</w:t>
      </w:r>
      <w:r>
        <w:rPr>
          <w:rFonts w:hint="eastAsia" w:ascii="宋体" w:hAnsi="宋体" w:eastAsia="宋体" w:cs="宋体"/>
          <w:color w:val="auto"/>
          <w:sz w:val="24"/>
          <w:szCs w:val="24"/>
        </w:rPr>
        <w:t>，前者以上帝为价值根基，后者以人民为主体，二者在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终极关切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层面不可通约。但在公共伦理层面，二者可以就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尊重人的尊严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促进社会福祉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等实践性价值达成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——这不是掩盖差异的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虚假共识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，而是承认</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不可通约性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前提下的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差异中的统一</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（Unity in Diversity）。</w:t>
      </w:r>
    </w:p>
    <w:p w14:paraId="130580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6AAED2F4">
      <w:pPr>
        <w:keepNext w:val="0"/>
        <w:keepLines w:val="0"/>
        <w:pageBreakBefore w:val="0"/>
        <w:widowControl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rPr>
        <w:t>以原典文本为参照，可以更清晰地看到这一交叠共识的生成机制。儒家之</w:t>
      </w:r>
      <w:r>
        <w:rPr>
          <w:rFonts w:hint="eastAsia" w:ascii="宋体" w:hAnsi="宋体" w:eastAsia="宋体" w:cs="宋体"/>
          <w:color w:val="auto"/>
          <w:lang w:eastAsia="zh-CN"/>
        </w:rPr>
        <w:t>“</w:t>
      </w:r>
      <w:r>
        <w:rPr>
          <w:rFonts w:hint="eastAsia" w:ascii="宋体" w:hAnsi="宋体" w:eastAsia="宋体" w:cs="宋体"/>
          <w:color w:val="auto"/>
        </w:rPr>
        <w:t>仁</w:t>
      </w:r>
      <w:r>
        <w:rPr>
          <w:rFonts w:hint="eastAsia" w:ascii="宋体" w:hAnsi="宋体" w:eastAsia="宋体" w:cs="宋体"/>
          <w:color w:val="auto"/>
          <w:lang w:eastAsia="zh-CN"/>
        </w:rPr>
        <w:t>”</w:t>
      </w:r>
      <w:r>
        <w:rPr>
          <w:rFonts w:hint="eastAsia" w:ascii="宋体" w:hAnsi="宋体" w:eastAsia="宋体" w:cs="宋体"/>
          <w:color w:val="auto"/>
        </w:rPr>
        <w:t>的核心要义即在于</w:t>
      </w:r>
      <w:r>
        <w:rPr>
          <w:rFonts w:hint="eastAsia" w:ascii="宋体" w:hAnsi="宋体" w:eastAsia="宋体" w:cs="宋体"/>
          <w:color w:val="auto"/>
          <w:lang w:eastAsia="zh-CN"/>
        </w:rPr>
        <w:t>“</w:t>
      </w:r>
      <w:r>
        <w:rPr>
          <w:rFonts w:hint="eastAsia" w:ascii="宋体" w:hAnsi="宋体" w:eastAsia="宋体" w:cs="宋体"/>
          <w:color w:val="auto"/>
        </w:rPr>
        <w:t>爱人</w:t>
      </w:r>
      <w:r>
        <w:rPr>
          <w:rFonts w:hint="eastAsia" w:ascii="宋体" w:hAnsi="宋体" w:eastAsia="宋体" w:cs="宋体"/>
          <w:color w:val="auto"/>
          <w:lang w:eastAsia="zh-CN"/>
        </w:rPr>
        <w:t>”</w:t>
      </w:r>
      <w:r>
        <w:rPr>
          <w:rFonts w:hint="eastAsia" w:ascii="宋体" w:hAnsi="宋体" w:eastAsia="宋体" w:cs="宋体"/>
          <w:color w:val="auto"/>
        </w:rPr>
        <w:t>，这一思想在《论语·颜渊》中得到了明确表达；而《礼记·礼运》则提出了</w:t>
      </w:r>
      <w:r>
        <w:rPr>
          <w:rFonts w:hint="eastAsia" w:ascii="宋体" w:hAnsi="宋体" w:eastAsia="宋体" w:cs="宋体"/>
          <w:color w:val="auto"/>
          <w:lang w:eastAsia="zh-CN"/>
        </w:rPr>
        <w:t>“</w:t>
      </w:r>
      <w:r>
        <w:rPr>
          <w:rFonts w:hint="eastAsia" w:ascii="宋体" w:hAnsi="宋体" w:eastAsia="宋体" w:cs="宋体"/>
          <w:color w:val="auto"/>
        </w:rPr>
        <w:t>天下为公</w:t>
      </w:r>
      <w:r>
        <w:rPr>
          <w:rFonts w:hint="eastAsia" w:ascii="宋体" w:hAnsi="宋体" w:eastAsia="宋体" w:cs="宋体"/>
          <w:color w:val="auto"/>
          <w:lang w:eastAsia="zh-CN"/>
        </w:rPr>
        <w:t>”</w:t>
      </w:r>
      <w:r>
        <w:rPr>
          <w:rFonts w:hint="eastAsia" w:ascii="宋体" w:hAnsi="宋体" w:eastAsia="宋体" w:cs="宋体"/>
          <w:color w:val="auto"/>
        </w:rPr>
        <w:t>的社会理想，确立了中华文明对社会公义的追求。这些经典论述与基督教</w:t>
      </w:r>
      <w:r>
        <w:rPr>
          <w:rFonts w:hint="eastAsia" w:ascii="宋体" w:hAnsi="宋体" w:eastAsia="宋体" w:cs="宋体"/>
          <w:color w:val="auto"/>
          <w:lang w:eastAsia="zh-CN"/>
        </w:rPr>
        <w:t>“</w:t>
      </w:r>
      <w:r>
        <w:rPr>
          <w:rFonts w:hint="eastAsia" w:ascii="宋体" w:hAnsi="宋体" w:eastAsia="宋体" w:cs="宋体"/>
          <w:color w:val="auto"/>
        </w:rPr>
        <w:t>爱人如己</w:t>
      </w:r>
      <w:r>
        <w:rPr>
          <w:rFonts w:hint="eastAsia" w:ascii="宋体" w:hAnsi="宋体" w:eastAsia="宋体" w:cs="宋体"/>
          <w:color w:val="auto"/>
          <w:lang w:eastAsia="zh-CN"/>
        </w:rPr>
        <w:t>”</w:t>
      </w:r>
      <w:r>
        <w:rPr>
          <w:rFonts w:hint="eastAsia" w:ascii="宋体" w:hAnsi="宋体" w:eastAsia="宋体" w:cs="宋体"/>
          <w:color w:val="auto"/>
        </w:rPr>
        <w:t>的伦理训导、以及</w:t>
      </w:r>
      <w:r>
        <w:rPr>
          <w:rFonts w:hint="eastAsia" w:ascii="宋体" w:hAnsi="宋体" w:eastAsia="宋体" w:cs="宋体"/>
          <w:color w:val="auto"/>
          <w:lang w:eastAsia="zh-CN"/>
        </w:rPr>
        <w:t>“</w:t>
      </w:r>
      <w:r>
        <w:rPr>
          <w:rFonts w:hint="eastAsia" w:ascii="宋体" w:hAnsi="宋体" w:eastAsia="宋体" w:cs="宋体"/>
          <w:color w:val="auto"/>
        </w:rPr>
        <w:t>行公义，好怜悯</w:t>
      </w:r>
      <w:r>
        <w:rPr>
          <w:rFonts w:hint="eastAsia" w:ascii="宋体" w:hAnsi="宋体" w:eastAsia="宋体" w:cs="宋体"/>
          <w:color w:val="auto"/>
          <w:lang w:eastAsia="zh-CN"/>
        </w:rPr>
        <w:t>”</w:t>
      </w:r>
      <w:r>
        <w:rPr>
          <w:rFonts w:hint="eastAsia" w:ascii="宋体" w:hAnsi="宋体" w:eastAsia="宋体" w:cs="宋体"/>
          <w:color w:val="auto"/>
        </w:rPr>
        <w:t>的宗教教导（弥6:8）在伦理实践层面形成了深刻的呼应。值得注意的是，这种呼应不是简单的概念等同，而是在文化交融的</w:t>
      </w:r>
      <w:r>
        <w:rPr>
          <w:rFonts w:hint="eastAsia" w:ascii="宋体" w:hAnsi="宋体" w:eastAsia="宋体" w:cs="宋体"/>
          <w:color w:val="auto"/>
          <w:lang w:eastAsia="zh-CN"/>
        </w:rPr>
        <w:t>“</w:t>
      </w:r>
      <w:r>
        <w:rPr>
          <w:rFonts w:hint="eastAsia" w:ascii="宋体" w:hAnsi="宋体" w:eastAsia="宋体" w:cs="宋体"/>
          <w:color w:val="auto"/>
        </w:rPr>
        <w:t>第三空间</w:t>
      </w:r>
      <w:r>
        <w:rPr>
          <w:rFonts w:hint="eastAsia" w:ascii="宋体" w:hAnsi="宋体" w:eastAsia="宋体" w:cs="宋体"/>
          <w:color w:val="auto"/>
          <w:lang w:eastAsia="zh-CN"/>
        </w:rPr>
        <w:t>”</w:t>
      </w:r>
      <w:r>
        <w:rPr>
          <w:rFonts w:hint="eastAsia" w:ascii="宋体" w:hAnsi="宋体" w:eastAsia="宋体" w:cs="宋体"/>
          <w:color w:val="auto"/>
        </w:rPr>
        <w:t>中生成的创造性诠释——儒家之</w:t>
      </w:r>
      <w:r>
        <w:rPr>
          <w:rFonts w:hint="eastAsia" w:ascii="宋体" w:hAnsi="宋体" w:eastAsia="宋体" w:cs="宋体"/>
          <w:color w:val="auto"/>
          <w:lang w:eastAsia="zh-CN"/>
        </w:rPr>
        <w:t>“</w:t>
      </w:r>
      <w:r>
        <w:rPr>
          <w:rFonts w:hint="eastAsia" w:ascii="宋体" w:hAnsi="宋体" w:eastAsia="宋体" w:cs="宋体"/>
          <w:color w:val="auto"/>
        </w:rPr>
        <w:t>仁</w:t>
      </w:r>
      <w:r>
        <w:rPr>
          <w:rFonts w:hint="eastAsia" w:ascii="宋体" w:hAnsi="宋体" w:eastAsia="宋体" w:cs="宋体"/>
          <w:color w:val="auto"/>
          <w:lang w:eastAsia="zh-CN"/>
        </w:rPr>
        <w:t>”</w:t>
      </w:r>
      <w:r>
        <w:rPr>
          <w:rFonts w:hint="eastAsia" w:ascii="宋体" w:hAnsi="宋体" w:eastAsia="宋体" w:cs="宋体"/>
          <w:color w:val="auto"/>
        </w:rPr>
        <w:t>为基督教</w:t>
      </w:r>
      <w:r>
        <w:rPr>
          <w:rFonts w:hint="default" w:ascii="Times New Roman" w:hAnsi="Times New Roman" w:eastAsia="宋体" w:cs="Times New Roman"/>
          <w:color w:val="auto"/>
        </w:rPr>
        <w:t>Agape</w:t>
      </w:r>
      <w:r>
        <w:rPr>
          <w:rFonts w:hint="eastAsia" w:ascii="宋体" w:hAnsi="宋体" w:eastAsia="宋体" w:cs="宋体"/>
          <w:color w:val="auto"/>
        </w:rPr>
        <w:t>提供了</w:t>
      </w:r>
      <w:r>
        <w:rPr>
          <w:rFonts w:hint="eastAsia" w:ascii="宋体" w:hAnsi="宋体" w:eastAsia="宋体" w:cs="宋体"/>
          <w:color w:val="auto"/>
          <w:lang w:eastAsia="zh-CN"/>
        </w:rPr>
        <w:t>“</w:t>
      </w:r>
      <w:r>
        <w:rPr>
          <w:rFonts w:hint="eastAsia" w:ascii="宋体" w:hAnsi="宋体" w:eastAsia="宋体" w:cs="宋体"/>
          <w:color w:val="auto"/>
        </w:rPr>
        <w:t>差序推扩</w:t>
      </w:r>
      <w:r>
        <w:rPr>
          <w:rFonts w:hint="eastAsia" w:ascii="宋体" w:hAnsi="宋体" w:eastAsia="宋体" w:cs="宋体"/>
          <w:color w:val="auto"/>
          <w:lang w:eastAsia="zh-CN"/>
        </w:rPr>
        <w:t>”</w:t>
      </w:r>
      <w:r>
        <w:rPr>
          <w:rFonts w:hint="eastAsia" w:ascii="宋体" w:hAnsi="宋体" w:eastAsia="宋体" w:cs="宋体"/>
          <w:color w:val="auto"/>
        </w:rPr>
        <w:t>的本土化路径，而基督教</w:t>
      </w:r>
      <w:r>
        <w:rPr>
          <w:rFonts w:hint="default" w:ascii="Times New Roman" w:hAnsi="Times New Roman" w:eastAsia="宋体" w:cs="Times New Roman"/>
          <w:color w:val="auto"/>
        </w:rPr>
        <w:t>Agape</w:t>
      </w:r>
      <w:r>
        <w:rPr>
          <w:rFonts w:hint="eastAsia" w:ascii="宋体" w:hAnsi="宋体" w:eastAsia="宋体" w:cs="宋体"/>
          <w:color w:val="auto"/>
        </w:rPr>
        <w:t>的普遍主义则为儒家</w:t>
      </w:r>
      <w:r>
        <w:rPr>
          <w:rFonts w:hint="eastAsia" w:ascii="宋体" w:hAnsi="宋体" w:eastAsia="宋体" w:cs="宋体"/>
          <w:color w:val="auto"/>
          <w:lang w:eastAsia="zh-CN"/>
        </w:rPr>
        <w:t>“</w:t>
      </w:r>
      <w:r>
        <w:rPr>
          <w:rFonts w:hint="eastAsia" w:ascii="宋体" w:hAnsi="宋体" w:eastAsia="宋体" w:cs="宋体"/>
          <w:color w:val="auto"/>
        </w:rPr>
        <w:t>仁</w:t>
      </w:r>
      <w:r>
        <w:rPr>
          <w:rFonts w:hint="eastAsia" w:ascii="宋体" w:hAnsi="宋体" w:eastAsia="宋体" w:cs="宋体"/>
          <w:color w:val="auto"/>
          <w:lang w:eastAsia="zh-CN"/>
        </w:rPr>
        <w:t>”</w:t>
      </w:r>
      <w:r>
        <w:rPr>
          <w:rFonts w:hint="eastAsia" w:ascii="宋体" w:hAnsi="宋体" w:eastAsia="宋体" w:cs="宋体"/>
          <w:color w:val="auto"/>
        </w:rPr>
        <w:t>突破了</w:t>
      </w:r>
      <w:r>
        <w:rPr>
          <w:rFonts w:hint="eastAsia" w:ascii="宋体" w:hAnsi="宋体" w:eastAsia="宋体" w:cs="宋体"/>
          <w:color w:val="auto"/>
          <w:lang w:eastAsia="zh-CN"/>
        </w:rPr>
        <w:t>“</w:t>
      </w:r>
      <w:r>
        <w:rPr>
          <w:rFonts w:hint="eastAsia" w:ascii="宋体" w:hAnsi="宋体" w:eastAsia="宋体" w:cs="宋体"/>
          <w:color w:val="auto"/>
        </w:rPr>
        <w:t>爱有差等</w:t>
      </w:r>
      <w:r>
        <w:rPr>
          <w:rFonts w:hint="eastAsia" w:ascii="宋体" w:hAnsi="宋体" w:eastAsia="宋体" w:cs="宋体"/>
          <w:color w:val="auto"/>
          <w:lang w:eastAsia="zh-CN"/>
        </w:rPr>
        <w:t>”</w:t>
      </w:r>
      <w:r>
        <w:rPr>
          <w:rFonts w:hint="eastAsia" w:ascii="宋体" w:hAnsi="宋体" w:eastAsia="宋体" w:cs="宋体"/>
          <w:color w:val="auto"/>
        </w:rPr>
        <w:t>的局限，二者在对话中各自获得了新的理论生命力。</w:t>
      </w:r>
    </w:p>
    <w:p w14:paraId="3AE4CC9E">
      <w:pPr>
        <w:pStyle w:val="4"/>
        <w:bidi w:val="0"/>
        <w:rPr>
          <w:rFonts w:hint="eastAsia"/>
          <w:color w:val="auto"/>
          <w:lang w:val="en-US" w:eastAsia="zh-CN"/>
        </w:rPr>
      </w:pPr>
      <w:bookmarkStart w:id="472" w:name="_Toc1011102611"/>
      <w:bookmarkStart w:id="473" w:name="_Toc732783146"/>
      <w:bookmarkStart w:id="474" w:name="_Toc1817244887"/>
      <w:bookmarkStart w:id="475" w:name="_Toc665414538"/>
      <w:bookmarkStart w:id="476" w:name="_Toc656151891"/>
      <w:bookmarkStart w:id="477" w:name="_Toc1860894721"/>
      <w:bookmarkStart w:id="478" w:name="_Toc869990221"/>
      <w:bookmarkStart w:id="479" w:name="_Toc138648297"/>
      <w:r>
        <w:rPr>
          <w:rFonts w:hint="eastAsia"/>
          <w:color w:val="auto"/>
        </w:rPr>
        <w:t>四、“公正”与“平等”：基督教社会伦理与核心价值观的深层契合</w:t>
      </w:r>
      <w:bookmarkEnd w:id="472"/>
      <w:bookmarkEnd w:id="473"/>
      <w:bookmarkEnd w:id="474"/>
      <w:bookmarkEnd w:id="475"/>
      <w:bookmarkEnd w:id="476"/>
      <w:bookmarkEnd w:id="477"/>
      <w:bookmarkEnd w:id="478"/>
      <w:bookmarkEnd w:id="479"/>
    </w:p>
    <w:p w14:paraId="0813C6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在社会层面提出的“自由、平等、公正、法治”，与基督教社会伦理存在深层次的内在契合。这种契合不仅体现在价值目标的趋同性上，更体现在实现路径的互补性上。首先，“公正”价值与基督教“行公义”的社会伦理高度一致。《圣经》中“行公义，好怜悯，存谦卑的心，与你的神同行”（弥6:8）的教导，构成了基督教社会参与的核心动力。基督教传统中的“公义”</w:t>
      </w:r>
      <w:r>
        <w:rPr>
          <w:rFonts w:hint="default" w:ascii="Times New Roman" w:hAnsi="Times New Roman" w:eastAsia="宋体" w:cs="Times New Roman"/>
          <w:color w:val="auto"/>
          <w:sz w:val="24"/>
          <w:szCs w:val="24"/>
        </w:rPr>
        <w:t>（Justice/Righteousness）</w:t>
      </w:r>
      <w:r>
        <w:rPr>
          <w:rFonts w:hint="eastAsia" w:ascii="宋体" w:hAnsi="宋体" w:eastAsia="宋体" w:cs="宋体"/>
          <w:color w:val="auto"/>
          <w:sz w:val="24"/>
          <w:szCs w:val="24"/>
        </w:rPr>
        <w:t>概念，强调上帝对弱势群体的特别关注——“不可亏负寄居的和孤儿，不可拿寡妇的衣裳作当头”（申24:17）。这种对弱势群体的优先关怀，与社会主义核心价值观“公正”所指向的缩小城乡差距、阶层差距、促进社会公平的价值导向具有内在一致性。托马斯·阿奎那在《神学大全》中将“公义”定义为“使每个人获得其应得之物的恒久意愿”，这一界定与当代中国“公平正义是中国特色社会主义的内在要求”（党的十八大报告）的表述在逻辑上高度相通。其次，“平等”价值与基督教“人人平等”的神学人类学存在深层对接空间。基督教“上帝按自己的形象造人”（创1:27）的教义，从根本上确立了每个人的尊严与价值不可剥夺。使徒保罗明确指出“并不分犹太人、希腊人、自主的、为奴的，或男或女，因为你们在基督耶稣里都成为一了”（加3:28）。这种基于神学的人类平等观，虽不同于社会主义核心价值观中基于社会制度的平等观，但二者在“尊重人的尊严”“反对歧视”的核心诉求上形成交叠共识。在当代中国社会语境中，基督教团体在公益实践中“不询问受助者宗教信仰、不附加任何传教条件”的做法，正是这种平等理念的具体体现。需要指出的是，基督教传统中的“公义”与“平等”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处境化诠释”的必然要求——正如刘耘华所指出的，“跨文化诠释的本质是创造性转化，而非简单移植”。</w:t>
      </w:r>
    </w:p>
    <w:p w14:paraId="2B41803B">
      <w:pPr>
        <w:rPr>
          <w:rFonts w:hint="eastAsia"/>
          <w:color w:val="auto"/>
          <w:lang w:val="en-US" w:eastAsia="zh-CN"/>
        </w:rPr>
      </w:pPr>
      <w:bookmarkStart w:id="480" w:name="_Toc1997556638"/>
      <w:bookmarkStart w:id="481" w:name="_Toc1674790237"/>
      <w:bookmarkStart w:id="482" w:name="_Toc812823086"/>
      <w:bookmarkStart w:id="483" w:name="_Toc1856975571"/>
      <w:bookmarkStart w:id="484" w:name="_Toc563484366"/>
      <w:bookmarkStart w:id="485" w:name="_Toc105740939"/>
      <w:bookmarkStart w:id="486" w:name="_Toc1650074658"/>
      <w:bookmarkStart w:id="487" w:name="_Toc465373705"/>
      <w:bookmarkStart w:id="488" w:name="_Toc616304692"/>
      <w:bookmarkStart w:id="489" w:name="_Toc67619277"/>
      <w:bookmarkStart w:id="490" w:name="_Toc922388175"/>
      <w:r>
        <w:rPr>
          <w:rFonts w:hint="eastAsia"/>
          <w:color w:val="auto"/>
          <w:lang w:val="en-US" w:eastAsia="zh-CN"/>
        </w:rPr>
        <w:br w:type="page"/>
      </w:r>
    </w:p>
    <w:p w14:paraId="471E2D32">
      <w:pPr>
        <w:pStyle w:val="3"/>
        <w:bidi w:val="0"/>
        <w:rPr>
          <w:rFonts w:hint="eastAsia"/>
          <w:color w:val="auto"/>
          <w:lang w:val="en-US" w:eastAsia="zh-CN"/>
        </w:rPr>
      </w:pPr>
      <w:bookmarkStart w:id="491" w:name="_Toc242170684"/>
      <w:r>
        <w:rPr>
          <w:rFonts w:hint="eastAsia"/>
          <w:color w:val="auto"/>
          <w:lang w:val="en-US" w:eastAsia="zh-CN"/>
        </w:rPr>
        <w:t xml:space="preserve">第二节 </w:t>
      </w:r>
      <w:r>
        <w:rPr>
          <w:rFonts w:hint="eastAsia"/>
          <w:color w:val="auto"/>
        </w:rPr>
        <w:t>社会功能的契合：对社会和谐与稳定的共同维护</w:t>
      </w:r>
      <w:bookmarkEnd w:id="480"/>
      <w:bookmarkEnd w:id="481"/>
      <w:bookmarkEnd w:id="482"/>
      <w:bookmarkEnd w:id="483"/>
      <w:bookmarkEnd w:id="484"/>
      <w:bookmarkEnd w:id="485"/>
      <w:bookmarkEnd w:id="486"/>
      <w:bookmarkEnd w:id="487"/>
      <w:bookmarkEnd w:id="488"/>
      <w:bookmarkEnd w:id="489"/>
      <w:bookmarkEnd w:id="490"/>
      <w:bookmarkEnd w:id="491"/>
    </w:p>
    <w:p w14:paraId="0FEC4982">
      <w:pPr>
        <w:pStyle w:val="4"/>
        <w:bidi w:val="0"/>
        <w:rPr>
          <w:rFonts w:hint="eastAsia"/>
          <w:color w:val="auto"/>
          <w:lang w:val="en-US" w:eastAsia="zh-CN"/>
        </w:rPr>
      </w:pPr>
      <w:bookmarkStart w:id="492" w:name="_Toc78856092"/>
      <w:bookmarkStart w:id="493" w:name="_Toc200959648"/>
      <w:bookmarkStart w:id="494" w:name="_Toc2041093179"/>
      <w:bookmarkStart w:id="495" w:name="_Toc808579946"/>
      <w:bookmarkStart w:id="496" w:name="_Toc1131352030"/>
      <w:bookmarkStart w:id="497" w:name="_Toc1218985704"/>
      <w:bookmarkStart w:id="498" w:name="_Toc400417561"/>
      <w:bookmarkStart w:id="499" w:name="_Toc1322561315"/>
      <w:bookmarkStart w:id="500" w:name="_Toc919328963"/>
      <w:bookmarkStart w:id="501" w:name="_Toc974127835"/>
      <w:bookmarkStart w:id="502" w:name="_Toc458339276"/>
      <w:bookmarkStart w:id="503" w:name="_Toc681174923"/>
      <w:r>
        <w:rPr>
          <w:rFonts w:hint="eastAsia"/>
          <w:color w:val="auto"/>
          <w:lang w:val="en-US" w:eastAsia="zh-CN"/>
        </w:rPr>
        <w:t>一、</w:t>
      </w:r>
      <w:r>
        <w:rPr>
          <w:rFonts w:hint="eastAsia"/>
          <w:color w:val="auto"/>
        </w:rPr>
        <w:t>基督教仁爱观念的社会调节与伦理约束功能</w:t>
      </w:r>
      <w:bookmarkEnd w:id="492"/>
      <w:bookmarkEnd w:id="493"/>
      <w:bookmarkEnd w:id="494"/>
      <w:bookmarkEnd w:id="495"/>
      <w:bookmarkEnd w:id="496"/>
      <w:bookmarkEnd w:id="497"/>
      <w:bookmarkEnd w:id="498"/>
      <w:bookmarkEnd w:id="499"/>
      <w:bookmarkEnd w:id="500"/>
      <w:bookmarkEnd w:id="501"/>
      <w:bookmarkEnd w:id="502"/>
      <w:bookmarkEnd w:id="503"/>
    </w:p>
    <w:p w14:paraId="3CFF8AD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基督教仁爱观念对信众的行为约束与引导，是其发挥社会调节作用的核心逻辑。奥古斯丁在《论基督教教义》中就明确提出，世俗层面的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实践是信众践行教义的核心内容，不需要附加太多超验性的传教目标。传入中国后，经过本土化调适的基督教仁爱观念进一步吸纳了儒家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的处世逻辑，对信众的日常行为形成了更贴合本土社会规则的引导。</w:t>
      </w:r>
    </w:p>
    <w:p w14:paraId="04EB65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Fonts w:hint="eastAsia" w:ascii="宋体" w:hAnsi="宋体" w:eastAsia="宋体" w:cs="宋体"/>
          <w:color w:val="auto"/>
          <w:sz w:val="24"/>
          <w:szCs w:val="24"/>
        </w:rPr>
        <w:footnoteReference w:id="69"/>
      </w:r>
    </w:p>
    <w:p w14:paraId="07D005C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吕臻雨对泸州教会的田野调查同样印证了这一点：当地教会义工队持续参与社区独居老人照护和留守儿童托管等服务，未附带传教内容，有效拉近了信众与非信众的距离。 从实践效果来看，这种基于仁爱观念的自发行为，能有效减少基层社会的矛盾冲突，很多微小矛盾不需要社区工作者介入就能得到化解，为基层治理减轻了一定的负担。</w:t>
      </w:r>
      <w:r>
        <w:rPr>
          <w:rStyle w:val="29"/>
          <w:rFonts w:hint="eastAsia" w:ascii="宋体" w:hAnsi="宋体" w:eastAsia="宋体" w:cs="宋体"/>
          <w:color w:val="auto"/>
          <w:sz w:val="24"/>
          <w:szCs w:val="24"/>
        </w:rPr>
        <w:footnoteReference w:id="70"/>
      </w:r>
    </w:p>
    <w:p w14:paraId="150BA75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default" w:ascii="Times New Roman" w:hAnsi="Times New Roman" w:eastAsia="宋体" w:cs="Times New Roman"/>
          <w:color w:val="auto"/>
          <w:sz w:val="24"/>
          <w:szCs w:val="24"/>
        </w:rPr>
        <w:t>Stanley Hauerwas</w:t>
      </w:r>
      <w:r>
        <w:rPr>
          <w:rFonts w:hint="eastAsia" w:ascii="宋体" w:hAnsi="宋体" w:eastAsia="宋体" w:cs="宋体"/>
          <w:color w:val="auto"/>
          <w:sz w:val="24"/>
          <w:szCs w:val="24"/>
        </w:rPr>
        <w:t>在《品格的社群》中指出，基督教伦理的核心功能不在于提供普遍适用的道德法则，而在于塑造具有特定品格</w:t>
      </w:r>
      <w:r>
        <w:rPr>
          <w:rFonts w:hint="default" w:ascii="Times New Roman" w:hAnsi="Times New Roman" w:eastAsia="宋体" w:cs="Times New Roman"/>
          <w:color w:val="auto"/>
          <w:sz w:val="24"/>
          <w:szCs w:val="24"/>
        </w:rPr>
        <w:t>（character）</w:t>
      </w:r>
      <w:r>
        <w:rPr>
          <w:rFonts w:hint="eastAsia" w:ascii="宋体" w:hAnsi="宋体" w:eastAsia="宋体" w:cs="宋体"/>
          <w:color w:val="auto"/>
          <w:sz w:val="24"/>
          <w:szCs w:val="24"/>
        </w:rPr>
        <w:t>的社群成员，这些成员通过日常实践中的“叙事性认同”</w:t>
      </w:r>
      <w:r>
        <w:rPr>
          <w:rFonts w:hint="default" w:ascii="Times New Roman" w:hAnsi="Times New Roman" w:eastAsia="宋体" w:cs="Times New Roman"/>
          <w:color w:val="auto"/>
          <w:sz w:val="24"/>
          <w:szCs w:val="24"/>
        </w:rPr>
        <w:t>（narrative identity）</w:t>
      </w:r>
      <w:r>
        <w:rPr>
          <w:rFonts w:hint="eastAsia" w:ascii="宋体" w:hAnsi="宋体" w:eastAsia="宋体" w:cs="宋体"/>
          <w:color w:val="auto"/>
          <w:sz w:val="24"/>
          <w:szCs w:val="24"/>
        </w:rPr>
        <w:t>成为社会稳定的微观基础。 这一理论视角有助于理解基督教仁爱观念的社会调节机制：它并非通过外部强制，而是通过内在品格的塑造，实现对社会行为的柔性约束。</w:t>
      </w:r>
      <w:r>
        <w:rPr>
          <w:rStyle w:val="29"/>
          <w:rFonts w:hint="eastAsia" w:ascii="宋体" w:hAnsi="宋体" w:eastAsia="宋体" w:cs="宋体"/>
          <w:color w:val="auto"/>
          <w:sz w:val="24"/>
          <w:szCs w:val="24"/>
        </w:rPr>
        <w:footnoteReference w:id="71"/>
      </w:r>
    </w:p>
    <w:p w14:paraId="585457D2">
      <w:pPr>
        <w:pStyle w:val="4"/>
        <w:bidi w:val="0"/>
        <w:rPr>
          <w:rFonts w:hint="eastAsia"/>
          <w:color w:val="auto"/>
          <w:lang w:val="en-US" w:eastAsia="zh-CN"/>
        </w:rPr>
      </w:pPr>
      <w:bookmarkStart w:id="504" w:name="_Toc526634206"/>
      <w:bookmarkStart w:id="505" w:name="_Toc498734748"/>
      <w:bookmarkStart w:id="506" w:name="_Toc17040976"/>
      <w:bookmarkStart w:id="507" w:name="_Toc1684510852"/>
      <w:bookmarkStart w:id="508" w:name="_Toc1898681764"/>
      <w:bookmarkStart w:id="509" w:name="_Toc284369943"/>
      <w:bookmarkStart w:id="510" w:name="_Toc1751681676"/>
      <w:bookmarkStart w:id="511" w:name="_Toc336928045"/>
      <w:bookmarkStart w:id="512" w:name="_Toc813357672"/>
      <w:bookmarkStart w:id="513" w:name="_Toc749282275"/>
      <w:bookmarkStart w:id="514" w:name="_Toc1832274755"/>
      <w:bookmarkStart w:id="515" w:name="_Toc271608704"/>
      <w:r>
        <w:rPr>
          <w:rFonts w:hint="eastAsia"/>
          <w:color w:val="auto"/>
          <w:lang w:val="en-US" w:eastAsia="zh-CN"/>
        </w:rPr>
        <w:t>二、</w:t>
      </w:r>
      <w:r>
        <w:rPr>
          <w:rFonts w:hint="eastAsia"/>
          <w:color w:val="auto"/>
        </w:rPr>
        <w:t>核心价值观的社会整合与公序良俗维护功能</w:t>
      </w:r>
      <w:bookmarkEnd w:id="504"/>
      <w:bookmarkEnd w:id="505"/>
      <w:bookmarkEnd w:id="506"/>
      <w:bookmarkEnd w:id="507"/>
      <w:bookmarkEnd w:id="508"/>
      <w:bookmarkEnd w:id="509"/>
      <w:bookmarkEnd w:id="510"/>
      <w:bookmarkEnd w:id="511"/>
      <w:bookmarkEnd w:id="512"/>
      <w:bookmarkEnd w:id="513"/>
      <w:bookmarkEnd w:id="514"/>
      <w:bookmarkEnd w:id="515"/>
    </w:p>
    <w:p w14:paraId="4D8DF5E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富强、民主、文明、和谐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国家目标，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自由、平等、公正、法治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社会取向，以及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爱国、敬业、诚信、友善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个人准则，共同构成了一个具有广泛包容性和引领性的价值同心圆。</w:t>
      </w:r>
    </w:p>
    <w:p w14:paraId="474EF1F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法治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等要素，直接对应并升华了传统公序良俗的核心要求，为其注入了新的时代内涵。</w:t>
      </w:r>
    </w:p>
    <w:p w14:paraId="372577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通过将这些价值理念融入法律法规、政策制度和社会治理的方方面面，能够潜移默化地规范社会行为，调节人际关系。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价值倡导下社会信用体系的建设，不仅惩戒失信，更激励守信，优化了市场环境和社会交往环境；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bidi w:val="0"/>
        <w:rPr>
          <w:rFonts w:hint="eastAsia"/>
          <w:color w:val="auto"/>
          <w:lang w:val="en-US" w:eastAsia="zh-CN"/>
        </w:rPr>
      </w:pPr>
      <w:bookmarkStart w:id="516" w:name="_Toc792358581"/>
      <w:bookmarkStart w:id="517" w:name="_Toc1368980149"/>
      <w:bookmarkStart w:id="518" w:name="_Toc1296971163"/>
      <w:bookmarkStart w:id="519" w:name="_Toc660611809"/>
      <w:bookmarkStart w:id="520" w:name="_Toc606235395"/>
      <w:bookmarkStart w:id="521" w:name="_Toc1254517426"/>
      <w:bookmarkStart w:id="522" w:name="_Toc343089917"/>
      <w:bookmarkStart w:id="523" w:name="_Toc1684896775"/>
      <w:bookmarkStart w:id="524" w:name="_Toc1360990955"/>
      <w:bookmarkStart w:id="525" w:name="_Toc1982758823"/>
      <w:bookmarkStart w:id="526" w:name="_Toc126309305"/>
      <w:bookmarkStart w:id="527" w:name="_Toc1524738253"/>
      <w:r>
        <w:rPr>
          <w:rFonts w:hint="eastAsia"/>
          <w:color w:val="auto"/>
          <w:lang w:val="en-US" w:eastAsia="zh-CN"/>
        </w:rPr>
        <w:t>三、</w:t>
      </w:r>
      <w:r>
        <w:rPr>
          <w:rFonts w:hint="eastAsia"/>
          <w:color w:val="auto"/>
        </w:rPr>
        <w:t>二者社会功能的互补性竞争关系</w:t>
      </w:r>
      <w:bookmarkEnd w:id="516"/>
      <w:bookmarkEnd w:id="517"/>
      <w:bookmarkEnd w:id="518"/>
      <w:bookmarkEnd w:id="519"/>
      <w:bookmarkEnd w:id="520"/>
      <w:bookmarkEnd w:id="521"/>
      <w:bookmarkEnd w:id="522"/>
      <w:bookmarkEnd w:id="523"/>
      <w:bookmarkEnd w:id="524"/>
      <w:bookmarkEnd w:id="525"/>
      <w:bookmarkEnd w:id="526"/>
      <w:bookmarkEnd w:id="527"/>
    </w:p>
    <w:p w14:paraId="1A191B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对比基督教仁爱观念的社会属性与核心价值观的社会功能，可以发现二者的实践指向具有高度的目标一致性。基督教仁爱倡导的宽恕、谦让准则，与核心价值观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的价值取向一致，都能有效减少基层邻里矛盾、降低社会治理的隐性成本。基督教仁爱要求优先关照底层群体的需求，核心价值观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的价值导向也指向缩小城乡、阶层差距。</w:t>
      </w:r>
    </w:p>
    <w:p w14:paraId="0A8E2F8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社会服务版本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——通过满足社会的公共需求来获取社会认可度。当这一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宗教产品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与核心价值观倡导的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公共伦理产品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形成功能替代时，二者便构成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互补性竞争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关系：既非零和博弈，也非完全等同，而是在共同满足社会需求中实现各自价值。</w:t>
      </w:r>
    </w:p>
    <w:p w14:paraId="2D188D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default" w:ascii="Times New Roman" w:hAnsi="Times New Roman" w:eastAsia="宋体" w:cs="Times New Roman"/>
          <w:color w:val="auto"/>
          <w:sz w:val="24"/>
          <w:szCs w:val="24"/>
        </w:rPr>
        <w:t>José Casanova</w:t>
      </w:r>
      <w:r>
        <w:rPr>
          <w:rFonts w:hint="eastAsia" w:ascii="宋体" w:hAnsi="宋体" w:eastAsia="宋体" w:cs="宋体"/>
          <w:color w:val="auto"/>
          <w:sz w:val="24"/>
          <w:szCs w:val="24"/>
        </w:rPr>
        <w:t>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理论为理解这种关系提供了宏观视角：宗教在现代社会中不必退入私人领域，而可以通过参与公共事务、提供社会服务，成为公民社会的重要组成部分。</w:t>
      </w:r>
      <w:r>
        <w:rPr>
          <w:rStyle w:val="29"/>
          <w:rFonts w:hint="eastAsia" w:ascii="宋体" w:hAnsi="宋体" w:eastAsia="宋体" w:cs="宋体"/>
          <w:color w:val="auto"/>
          <w:sz w:val="24"/>
          <w:szCs w:val="24"/>
        </w:rPr>
        <w:footnoteReference w:id="72"/>
      </w:r>
      <w:r>
        <w:rPr>
          <w:rFonts w:hint="eastAsia" w:ascii="宋体" w:hAnsi="宋体" w:eastAsia="宋体" w:cs="宋体"/>
          <w:color w:val="auto"/>
          <w:sz w:val="24"/>
          <w:szCs w:val="24"/>
        </w:rPr>
        <w:t xml:space="preserve"> 在这一框架下，基督教仁爱实践与核心价值观的社会整合功能不是相互排斥的，而是可以在公共领域中形成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分工合作</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：核心价值观提供宏观的价值导向与制度框架，基督教仁爱实践提供微观的伦理动力与社群网络。</w:t>
      </w:r>
    </w:p>
    <w:p w14:paraId="6FEDA6F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综上可得出明确结论：基督教仁爱观念与社会主义核心价值观的社会功能没有本质冲突，二者正向功能的目标一致性，是两类价值体系实现融合的核心功能基础。</w:t>
      </w:r>
    </w:p>
    <w:p w14:paraId="1F82F289">
      <w:pPr>
        <w:rPr>
          <w:rFonts w:hint="eastAsia"/>
          <w:color w:val="auto"/>
          <w:lang w:val="en-US" w:eastAsia="zh-CN"/>
        </w:rPr>
      </w:pPr>
      <w:bookmarkStart w:id="528" w:name="_Toc1340728083"/>
      <w:bookmarkStart w:id="529" w:name="_Toc1723787662"/>
      <w:bookmarkStart w:id="530" w:name="_Toc1335862397"/>
      <w:bookmarkStart w:id="531" w:name="_Toc318642824"/>
      <w:bookmarkStart w:id="532" w:name="_Toc412218873"/>
      <w:bookmarkStart w:id="533" w:name="_Toc679932536"/>
      <w:bookmarkStart w:id="534" w:name="_Toc1326656488"/>
      <w:bookmarkStart w:id="535" w:name="_Toc1166645899"/>
      <w:bookmarkStart w:id="536" w:name="_Toc309570285"/>
      <w:bookmarkStart w:id="537" w:name="_Toc624575820"/>
      <w:bookmarkStart w:id="538" w:name="_Toc1235319491"/>
      <w:r>
        <w:rPr>
          <w:rFonts w:hint="eastAsia"/>
          <w:color w:val="auto"/>
          <w:lang w:val="en-US" w:eastAsia="zh-CN"/>
        </w:rPr>
        <w:br w:type="page"/>
      </w:r>
    </w:p>
    <w:p w14:paraId="4B6D25E1">
      <w:pPr>
        <w:pStyle w:val="3"/>
        <w:bidi w:val="0"/>
        <w:rPr>
          <w:rFonts w:hint="eastAsia"/>
          <w:color w:val="auto"/>
          <w:lang w:val="en-US" w:eastAsia="zh-CN"/>
        </w:rPr>
      </w:pPr>
      <w:bookmarkStart w:id="539" w:name="_Toc353458520"/>
      <w:r>
        <w:rPr>
          <w:rFonts w:hint="eastAsia"/>
          <w:color w:val="auto"/>
          <w:lang w:val="en-US" w:eastAsia="zh-CN"/>
        </w:rPr>
        <w:t xml:space="preserve">第三节 </w:t>
      </w:r>
      <w:r>
        <w:rPr>
          <w:rFonts w:hint="eastAsia"/>
          <w:color w:val="auto"/>
        </w:rPr>
        <w:t>文化内核的契合：对中华优秀传统文化的共同吸纳</w:t>
      </w:r>
      <w:bookmarkEnd w:id="528"/>
      <w:bookmarkEnd w:id="529"/>
      <w:bookmarkEnd w:id="530"/>
      <w:bookmarkEnd w:id="531"/>
      <w:bookmarkEnd w:id="532"/>
      <w:bookmarkEnd w:id="533"/>
      <w:bookmarkEnd w:id="534"/>
      <w:bookmarkEnd w:id="535"/>
      <w:bookmarkEnd w:id="536"/>
      <w:bookmarkEnd w:id="537"/>
      <w:bookmarkEnd w:id="538"/>
      <w:bookmarkEnd w:id="539"/>
    </w:p>
    <w:p w14:paraId="37B2AE37">
      <w:pPr>
        <w:pStyle w:val="4"/>
        <w:bidi w:val="0"/>
        <w:rPr>
          <w:rFonts w:hint="eastAsia"/>
          <w:color w:val="auto"/>
          <w:lang w:val="en-US" w:eastAsia="zh-CN"/>
        </w:rPr>
      </w:pPr>
      <w:bookmarkStart w:id="540" w:name="_Toc1753210997"/>
      <w:bookmarkStart w:id="541" w:name="_Toc70983010"/>
      <w:bookmarkStart w:id="542" w:name="_Toc1940370662"/>
      <w:bookmarkStart w:id="543" w:name="_Toc2045260641"/>
      <w:bookmarkStart w:id="544" w:name="_Toc380353289"/>
      <w:bookmarkStart w:id="545" w:name="_Toc1291927383"/>
      <w:bookmarkStart w:id="546" w:name="_Toc345740204"/>
      <w:bookmarkStart w:id="547" w:name="_Toc1742386961"/>
      <w:bookmarkStart w:id="548" w:name="_Toc2144837204"/>
      <w:bookmarkStart w:id="549" w:name="_Toc142786041"/>
      <w:bookmarkStart w:id="550" w:name="_Toc865646865"/>
      <w:bookmarkStart w:id="551" w:name="_Toc637578038"/>
      <w:r>
        <w:rPr>
          <w:rFonts w:hint="eastAsia"/>
          <w:color w:val="auto"/>
          <w:lang w:val="en-US" w:eastAsia="zh-CN"/>
        </w:rPr>
        <w:t>一、</w:t>
      </w:r>
      <w:r>
        <w:rPr>
          <w:rFonts w:hint="eastAsia"/>
          <w:color w:val="auto"/>
        </w:rPr>
        <w:t>基督教仁爱对儒家</w:t>
      </w:r>
      <w:r>
        <w:rPr>
          <w:rFonts w:hint="eastAsia"/>
          <w:color w:val="auto"/>
          <w:lang w:eastAsia="zh-CN"/>
        </w:rPr>
        <w:t>“</w:t>
      </w:r>
      <w:r>
        <w:rPr>
          <w:rFonts w:hint="eastAsia"/>
          <w:color w:val="auto"/>
        </w:rPr>
        <w:t>仁</w:t>
      </w:r>
      <w:r>
        <w:rPr>
          <w:rFonts w:hint="eastAsia"/>
          <w:color w:val="auto"/>
          <w:lang w:eastAsia="zh-CN"/>
        </w:rPr>
        <w:t>”</w:t>
      </w:r>
      <w:r>
        <w:rPr>
          <w:rFonts w:hint="eastAsia"/>
          <w:color w:val="auto"/>
        </w:rPr>
        <w:t>文化的创造性吸纳</w:t>
      </w:r>
      <w:bookmarkEnd w:id="540"/>
      <w:bookmarkEnd w:id="541"/>
      <w:bookmarkEnd w:id="542"/>
      <w:bookmarkEnd w:id="543"/>
      <w:bookmarkEnd w:id="544"/>
      <w:bookmarkEnd w:id="545"/>
      <w:bookmarkEnd w:id="546"/>
      <w:bookmarkEnd w:id="547"/>
      <w:bookmarkEnd w:id="548"/>
      <w:bookmarkEnd w:id="549"/>
      <w:bookmarkEnd w:id="550"/>
      <w:bookmarkEnd w:id="551"/>
    </w:p>
    <w:p w14:paraId="1C5B1D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基督教仁爱观念的中国化，本身就是一个持续的文化翻译过程。如前文所述，</w:t>
      </w:r>
      <w:r>
        <w:rPr>
          <w:rFonts w:hint="default" w:ascii="Times New Roman" w:hAnsi="Times New Roman" w:eastAsia="宋体" w:cs="Times New Roman"/>
          <w:color w:val="auto"/>
          <w:sz w:val="24"/>
          <w:szCs w:val="24"/>
        </w:rPr>
        <w:t>Bhabha</w:t>
      </w:r>
      <w:r>
        <w:rPr>
          <w:rFonts w:hint="eastAsia" w:ascii="宋体" w:hAnsi="宋体" w:eastAsia="宋体" w:cs="宋体"/>
          <w:color w:val="auto"/>
          <w:sz w:val="24"/>
          <w:szCs w:val="24"/>
        </w:rPr>
        <w:t>的文化翻译理论强调，文化相遇不是简单的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原文—译文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对应，而是在交互中生成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混杂性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的新意义。利玛窦以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的实践正是这一理论的早期历史例证：他并非在寻找</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的完全等价物，而是在两种文化符号的碰撞中创造新的神学表达。刘耘华将这一机制概括为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的创造性转化。</w:t>
      </w:r>
      <w:r>
        <w:rPr>
          <w:rStyle w:val="29"/>
          <w:rFonts w:hint="eastAsia" w:ascii="宋体" w:hAnsi="宋体" w:eastAsia="宋体" w:cs="宋体"/>
          <w:color w:val="auto"/>
          <w:sz w:val="24"/>
          <w:szCs w:val="24"/>
        </w:rPr>
        <w:footnoteReference w:id="73"/>
      </w:r>
      <w:r>
        <w:rPr>
          <w:rStyle w:val="29"/>
          <w:rFonts w:hint="eastAsia" w:ascii="宋体" w:hAnsi="宋体" w:eastAsia="宋体" w:cs="宋体"/>
          <w:color w:val="auto"/>
          <w:sz w:val="24"/>
          <w:szCs w:val="24"/>
        </w:rPr>
        <w:footnoteReference w:id="74"/>
      </w:r>
    </w:p>
    <w:p w14:paraId="6284220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一历史过程可分为三个阶段。第一阶段：明清之际的语义嫁接。传教士利玛窦在《天主实义》中尝试用儒家“仁”解释基督教仁爱观念，他认为两者本质都强调对他人的关爱，这种做法让当时中国士大夫更容易接受基督教教义。</w:t>
      </w:r>
      <w:r>
        <w:rPr>
          <w:rFonts w:hint="default" w:ascii="Times New Roman" w:hAnsi="Times New Roman" w:eastAsia="宋体" w:cs="Times New Roman"/>
          <w:color w:val="auto"/>
          <w:sz w:val="24"/>
          <w:szCs w:val="24"/>
        </w:rPr>
        <w:t>Roger Ames</w:t>
      </w:r>
      <w:r>
        <w:rPr>
          <w:rFonts w:hint="eastAsia" w:ascii="宋体" w:hAnsi="宋体" w:eastAsia="宋体" w:cs="宋体"/>
          <w:color w:val="auto"/>
          <w:sz w:val="24"/>
          <w:szCs w:val="24"/>
        </w:rPr>
        <w:t>指出，利玛窦的翻译策略实际上是一种“哲学创造”</w:t>
      </w:r>
      <w:r>
        <w:rPr>
          <w:rFonts w:hint="default" w:ascii="Times New Roman" w:hAnsi="Times New Roman" w:eastAsia="宋体" w:cs="Times New Roman"/>
          <w:color w:val="auto"/>
          <w:sz w:val="24"/>
          <w:szCs w:val="24"/>
        </w:rPr>
        <w:t>（philosophical creation）</w:t>
      </w:r>
      <w:r>
        <w:rPr>
          <w:rFonts w:hint="eastAsia" w:ascii="宋体" w:hAnsi="宋体" w:eastAsia="宋体" w:cs="宋体"/>
          <w:color w:val="auto"/>
          <w:sz w:val="24"/>
          <w:szCs w:val="24"/>
        </w:rPr>
        <w:t>，他并非在寻找“对等词”，而是在建构“可比性”</w:t>
      </w:r>
      <w:r>
        <w:rPr>
          <w:rFonts w:hint="default" w:ascii="Times New Roman" w:hAnsi="Times New Roman" w:eastAsia="宋体" w:cs="Times New Roman"/>
          <w:color w:val="auto"/>
          <w:sz w:val="24"/>
          <w:szCs w:val="24"/>
        </w:rPr>
        <w:t>（comparability）</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75"/>
      </w:r>
    </w:p>
    <w:p w14:paraId="61F2F97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阶段：民国时期的伦理融合。近代山东圣公会在乡村开展活动时，主动吸收儒家“推己及人”理念，组织信众参与邻里互助、扶危济困，把基督教仁爱转化为具体社会行动。王思琪的研究表明，这一时期教会人士已经开始意识到，基督教要在中国扎根，必须“先成为中国人，再成为基督徒”。</w:t>
      </w:r>
      <w:r>
        <w:rPr>
          <w:rStyle w:val="29"/>
          <w:rFonts w:hint="eastAsia" w:ascii="宋体" w:hAnsi="宋体" w:eastAsia="宋体" w:cs="宋体"/>
          <w:color w:val="auto"/>
          <w:sz w:val="24"/>
          <w:szCs w:val="24"/>
        </w:rPr>
        <w:footnoteReference w:id="76"/>
      </w:r>
    </w:p>
    <w:p w14:paraId="6AE2822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阶段：当代的创造性转化。当代泸州教会的实践进一步将儒家“天下大同”理想与基督教博爱精神结合，强调社会和谐与共同发展。吕臻雨的研究显示，当地教会负责人在讲道中经常引用“老吾老以及人之老，幼吾幼以及人之幼”来阐释“爱人如己”，这种诠释方式得到了信众的广泛认同。</w:t>
      </w:r>
      <w:r>
        <w:rPr>
          <w:rStyle w:val="29"/>
          <w:rFonts w:hint="eastAsia" w:ascii="宋体" w:hAnsi="宋体" w:eastAsia="宋体" w:cs="宋体"/>
          <w:color w:val="auto"/>
          <w:sz w:val="24"/>
          <w:szCs w:val="24"/>
        </w:rPr>
        <w:footnoteReference w:id="77"/>
      </w:r>
    </w:p>
    <w:p w14:paraId="2A4AE7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这些例子说明，基督教仁爱观念在与儒家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文化接触中，不断吸纳核心内容，形成中国特色表达形式。这种吸纳不是简单照搬，而是基于文化适配性的选择——儒家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文化中的人文关怀、社会责任感与基督教仁爱观念中的爱人如己、服务他人有天然共通之处，为两者融合提供基础。</w:t>
      </w:r>
    </w:p>
    <w:p w14:paraId="54B27E3B">
      <w:pPr>
        <w:pStyle w:val="4"/>
        <w:bidi w:val="0"/>
        <w:rPr>
          <w:rFonts w:hint="eastAsia"/>
          <w:color w:val="auto"/>
          <w:lang w:val="en-US" w:eastAsia="zh-CN"/>
        </w:rPr>
      </w:pPr>
      <w:bookmarkStart w:id="552" w:name="_Toc1158024985"/>
      <w:bookmarkStart w:id="553" w:name="_Toc1210643035"/>
      <w:bookmarkStart w:id="554" w:name="_Toc1912343493"/>
      <w:bookmarkStart w:id="555" w:name="_Toc2072339405"/>
      <w:bookmarkStart w:id="556" w:name="_Toc1872635277"/>
      <w:bookmarkStart w:id="557" w:name="_Toc216371264"/>
      <w:bookmarkStart w:id="558" w:name="_Toc1065757388"/>
      <w:bookmarkStart w:id="559" w:name="_Toc1686394751"/>
      <w:bookmarkStart w:id="560" w:name="_Toc618389086"/>
      <w:bookmarkStart w:id="561" w:name="_Toc123052892"/>
      <w:bookmarkStart w:id="562" w:name="_Toc594106092"/>
      <w:bookmarkStart w:id="563" w:name="_Toc1978169783"/>
      <w:r>
        <w:rPr>
          <w:rFonts w:hint="eastAsia"/>
          <w:color w:val="auto"/>
          <w:lang w:val="en-US" w:eastAsia="zh-CN"/>
        </w:rPr>
        <w:t>二、</w:t>
      </w:r>
      <w:r>
        <w:rPr>
          <w:rFonts w:hint="eastAsia"/>
          <w:color w:val="auto"/>
        </w:rPr>
        <w:t>社会主义核心价值观对中华优秀传统文化的传承发展</w:t>
      </w:r>
      <w:bookmarkEnd w:id="552"/>
      <w:bookmarkEnd w:id="553"/>
      <w:bookmarkEnd w:id="554"/>
      <w:bookmarkEnd w:id="555"/>
      <w:bookmarkEnd w:id="556"/>
      <w:bookmarkEnd w:id="557"/>
      <w:bookmarkEnd w:id="558"/>
      <w:bookmarkEnd w:id="559"/>
      <w:bookmarkEnd w:id="560"/>
      <w:bookmarkEnd w:id="561"/>
      <w:bookmarkEnd w:id="562"/>
      <w:bookmarkEnd w:id="563"/>
    </w:p>
    <w:p w14:paraId="00C1EF4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社会主义核心价值观同样深深植根于中华优秀传统文化的沃土之中。它所倡导的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等价值理念，都可以在中华传统文化中找到源头。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对应着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的思想，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体现了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人无信不立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的处世原则，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陈来在《中华文明的核心价值》中指出，中华文明的价值观体系以“仁爱”为核心，以“责任”先于“自由”、“义务”先于“权利”、“社群”高于“个人”、“和谐”高于“冲突”为特征，这与社会主义核心价值观的公民层面要求高度一致。 儒家文化中重视家庭、强调社会责任的思想，也在社会主义核心价值观中得到了体现，成为凝聚社会共识、促进社会进步的重要精神力量。</w:t>
      </w:r>
      <w:r>
        <w:rPr>
          <w:rStyle w:val="29"/>
          <w:rFonts w:hint="eastAsia" w:ascii="宋体" w:hAnsi="宋体" w:eastAsia="宋体" w:cs="宋体"/>
          <w:color w:val="auto"/>
          <w:sz w:val="24"/>
          <w:szCs w:val="24"/>
        </w:rPr>
        <w:footnoteReference w:id="78"/>
      </w:r>
    </w:p>
    <w:p w14:paraId="0976DA2C">
      <w:pPr>
        <w:pStyle w:val="4"/>
        <w:bidi w:val="0"/>
        <w:rPr>
          <w:rFonts w:hint="eastAsia"/>
          <w:color w:val="auto"/>
          <w:lang w:val="en-US" w:eastAsia="zh-CN"/>
        </w:rPr>
      </w:pPr>
      <w:bookmarkStart w:id="564" w:name="_Toc1489613341"/>
      <w:bookmarkStart w:id="565" w:name="_Toc2017417567"/>
      <w:bookmarkStart w:id="566" w:name="_Toc2008253754"/>
      <w:bookmarkStart w:id="567" w:name="_Toc23320489"/>
      <w:bookmarkStart w:id="568" w:name="_Toc862019677"/>
      <w:bookmarkStart w:id="569" w:name="_Toc747406951"/>
      <w:bookmarkStart w:id="570" w:name="_Toc281630134"/>
      <w:bookmarkStart w:id="571" w:name="_Toc1592000569"/>
      <w:bookmarkStart w:id="572" w:name="_Toc1918592789"/>
      <w:bookmarkStart w:id="573" w:name="_Toc1516825849"/>
      <w:bookmarkStart w:id="574" w:name="_Toc123203783"/>
      <w:bookmarkStart w:id="575" w:name="_Toc1905203674"/>
      <w:r>
        <w:rPr>
          <w:rFonts w:hint="eastAsia"/>
          <w:color w:val="auto"/>
          <w:lang w:val="en-US" w:eastAsia="zh-CN"/>
        </w:rPr>
        <w:t>三、</w:t>
      </w:r>
      <w:r>
        <w:rPr>
          <w:rFonts w:hint="eastAsia"/>
          <w:color w:val="auto"/>
          <w:lang w:eastAsia="zh-CN"/>
        </w:rPr>
        <w:t>“</w:t>
      </w:r>
      <w:r>
        <w:rPr>
          <w:rFonts w:hint="eastAsia"/>
          <w:color w:val="auto"/>
        </w:rPr>
        <w:t>第三空间</w:t>
      </w:r>
      <w:r>
        <w:rPr>
          <w:rFonts w:hint="eastAsia"/>
          <w:color w:val="auto"/>
          <w:lang w:eastAsia="zh-CN"/>
        </w:rPr>
        <w:t>”</w:t>
      </w:r>
      <w:r>
        <w:rPr>
          <w:rFonts w:hint="eastAsia"/>
          <w:color w:val="auto"/>
        </w:rPr>
        <w:t>中的文化共通性：从利玛窦到当代</w:t>
      </w:r>
      <w:bookmarkEnd w:id="564"/>
      <w:bookmarkEnd w:id="565"/>
      <w:bookmarkEnd w:id="566"/>
      <w:bookmarkEnd w:id="567"/>
      <w:bookmarkEnd w:id="568"/>
      <w:bookmarkEnd w:id="569"/>
      <w:bookmarkEnd w:id="570"/>
      <w:bookmarkEnd w:id="571"/>
      <w:bookmarkEnd w:id="572"/>
      <w:bookmarkEnd w:id="573"/>
      <w:bookmarkEnd w:id="574"/>
      <w:bookmarkEnd w:id="575"/>
    </w:p>
    <w:p w14:paraId="2033A71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黄勇的研究指出，全球伦理应关注各伦理体系的独特贡献，儒家仁爱观对爱的多样性和适当性的强调，与基督教的普遍爱形成互补。 从“第三空间”理论视角看，基督教仁爱观念与社会主义核心价值观的对话，不是在二者之间寻找“最大公约数”，而是在两种文化符号的碰撞中生成兼具双方特质的新意义。这种“混杂性”新意义既保留了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的神学深度，又吸纳了儒家“仁”的文化厚度，还融入了马克思主义“人民性”的时代高度，形成了一种具有中国特色的“仁爱”公共伦理。</w:t>
      </w:r>
      <w:r>
        <w:rPr>
          <w:rStyle w:val="29"/>
          <w:rFonts w:hint="eastAsia" w:ascii="宋体" w:hAnsi="宋体" w:eastAsia="宋体" w:cs="宋体"/>
          <w:color w:val="auto"/>
          <w:sz w:val="24"/>
          <w:szCs w:val="24"/>
        </w:rPr>
        <w:footnoteReference w:id="79"/>
      </w:r>
    </w:p>
    <w:p w14:paraId="474495E2">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2B3A16DA">
      <w:pPr>
        <w:pStyle w:val="2"/>
        <w:bidi w:val="0"/>
        <w:rPr>
          <w:rFonts w:hint="eastAsia"/>
          <w:color w:val="auto"/>
          <w:lang w:val="en-US" w:eastAsia="zh-CN"/>
        </w:rPr>
      </w:pPr>
      <w:bookmarkStart w:id="576" w:name="_Toc513670606"/>
      <w:bookmarkStart w:id="577" w:name="_Toc720363579"/>
      <w:bookmarkStart w:id="578" w:name="_Toc303704150"/>
      <w:bookmarkStart w:id="579" w:name="_Toc1105434869"/>
      <w:bookmarkStart w:id="580" w:name="_Toc117746086"/>
      <w:bookmarkStart w:id="581" w:name="_Toc1322045018"/>
      <w:bookmarkStart w:id="582" w:name="_Toc1040028677"/>
      <w:bookmarkStart w:id="583" w:name="_Toc1036774154"/>
      <w:bookmarkStart w:id="584" w:name="_Toc567065461"/>
      <w:bookmarkStart w:id="585" w:name="_Toc1254805210"/>
      <w:bookmarkStart w:id="586" w:name="_Toc511745173"/>
      <w:bookmarkStart w:id="587" w:name="_Toc1776972148"/>
      <w:r>
        <w:rPr>
          <w:rFonts w:hint="eastAsia"/>
          <w:color w:val="auto"/>
          <w:lang w:val="en-US" w:eastAsia="zh-CN"/>
        </w:rPr>
        <w:t>四、</w:t>
      </w:r>
      <w:r>
        <w:rPr>
          <w:rFonts w:hint="eastAsia"/>
          <w:color w:val="auto"/>
        </w:rPr>
        <w:t>基督教仁爱观念与核心价值观融合的现实障碍</w:t>
      </w:r>
      <w:bookmarkEnd w:id="576"/>
      <w:bookmarkEnd w:id="577"/>
      <w:bookmarkEnd w:id="578"/>
      <w:bookmarkEnd w:id="579"/>
      <w:bookmarkEnd w:id="580"/>
      <w:bookmarkEnd w:id="581"/>
      <w:bookmarkEnd w:id="582"/>
      <w:bookmarkEnd w:id="583"/>
      <w:bookmarkEnd w:id="584"/>
      <w:bookmarkEnd w:id="585"/>
      <w:bookmarkEnd w:id="586"/>
      <w:bookmarkEnd w:id="587"/>
    </w:p>
    <w:p w14:paraId="27361B50">
      <w:pPr>
        <w:pStyle w:val="3"/>
        <w:bidi w:val="0"/>
        <w:rPr>
          <w:rFonts w:hint="eastAsia"/>
          <w:color w:val="auto"/>
          <w:lang w:val="en-US" w:eastAsia="zh-CN"/>
        </w:rPr>
      </w:pPr>
      <w:bookmarkStart w:id="588" w:name="_Toc1934503778"/>
      <w:bookmarkStart w:id="589" w:name="_Toc1221750930"/>
      <w:bookmarkStart w:id="590" w:name="_Toc229116376"/>
      <w:bookmarkStart w:id="591" w:name="_Toc1126028515"/>
      <w:bookmarkStart w:id="592" w:name="_Toc1392571406"/>
      <w:bookmarkStart w:id="593" w:name="_Toc1744805664"/>
      <w:bookmarkStart w:id="594" w:name="_Toc1785354114"/>
      <w:bookmarkStart w:id="595" w:name="_Toc1162813086"/>
      <w:bookmarkStart w:id="596" w:name="_Toc377614102"/>
      <w:bookmarkStart w:id="597" w:name="_Toc380894520"/>
      <w:bookmarkStart w:id="598" w:name="_Toc136777641"/>
      <w:bookmarkStart w:id="599" w:name="_Toc515812607"/>
      <w:r>
        <w:rPr>
          <w:rFonts w:hint="eastAsia"/>
          <w:color w:val="auto"/>
          <w:lang w:val="en-US" w:eastAsia="zh-CN"/>
        </w:rPr>
        <w:t xml:space="preserve">第一节 </w:t>
      </w:r>
      <w:r>
        <w:rPr>
          <w:rFonts w:hint="eastAsia"/>
          <w:color w:val="auto"/>
        </w:rPr>
        <w:t>认知层面的结构性壁垒</w:t>
      </w:r>
      <w:bookmarkEnd w:id="588"/>
      <w:bookmarkEnd w:id="589"/>
      <w:bookmarkEnd w:id="590"/>
      <w:bookmarkEnd w:id="591"/>
      <w:bookmarkEnd w:id="592"/>
      <w:bookmarkEnd w:id="593"/>
      <w:bookmarkEnd w:id="594"/>
      <w:bookmarkEnd w:id="595"/>
      <w:bookmarkEnd w:id="596"/>
      <w:bookmarkEnd w:id="597"/>
      <w:bookmarkEnd w:id="598"/>
      <w:bookmarkEnd w:id="599"/>
    </w:p>
    <w:p w14:paraId="0216203B">
      <w:pPr>
        <w:pStyle w:val="4"/>
        <w:bidi w:val="0"/>
        <w:rPr>
          <w:rFonts w:hint="eastAsia"/>
          <w:color w:val="auto"/>
          <w:lang w:val="en-US" w:eastAsia="zh-CN"/>
        </w:rPr>
      </w:pPr>
      <w:bookmarkStart w:id="600" w:name="_Toc1535354241"/>
      <w:bookmarkStart w:id="601" w:name="_Toc1059595063"/>
      <w:bookmarkStart w:id="602" w:name="_Toc1670835636"/>
      <w:bookmarkStart w:id="603" w:name="_Toc1805078114"/>
      <w:bookmarkStart w:id="604" w:name="_Toc1876731543"/>
      <w:bookmarkStart w:id="605" w:name="_Toc302581266"/>
      <w:bookmarkStart w:id="606" w:name="_Toc320752361"/>
      <w:bookmarkStart w:id="607" w:name="_Toc45445933"/>
      <w:bookmarkStart w:id="608" w:name="_Toc1298348702"/>
      <w:bookmarkStart w:id="609" w:name="_Toc1014309997"/>
      <w:bookmarkStart w:id="610" w:name="_Toc746035429"/>
      <w:bookmarkStart w:id="611" w:name="_Toc2018486557"/>
      <w:r>
        <w:rPr>
          <w:rFonts w:hint="eastAsia"/>
          <w:color w:val="auto"/>
          <w:lang w:val="en-US" w:eastAsia="zh-CN"/>
        </w:rPr>
        <w:t>一、</w:t>
      </w:r>
      <w:r>
        <w:rPr>
          <w:rFonts w:hint="eastAsia"/>
          <w:color w:val="auto"/>
        </w:rPr>
        <w:t>部分信众的</w:t>
      </w:r>
      <w:r>
        <w:rPr>
          <w:rFonts w:hint="eastAsia"/>
          <w:color w:val="auto"/>
          <w:lang w:eastAsia="zh-CN"/>
        </w:rPr>
        <w:t>“</w:t>
      </w:r>
      <w:r>
        <w:rPr>
          <w:rFonts w:hint="eastAsia"/>
          <w:color w:val="auto"/>
        </w:rPr>
        <w:t>叠合身份</w:t>
      </w:r>
      <w:r>
        <w:rPr>
          <w:rFonts w:hint="eastAsia"/>
          <w:color w:val="auto"/>
          <w:lang w:eastAsia="zh-CN"/>
        </w:rPr>
        <w:t>”</w:t>
      </w:r>
      <w:r>
        <w:rPr>
          <w:rFonts w:hint="eastAsia"/>
          <w:color w:val="auto"/>
        </w:rPr>
        <w:t>困境与认知偏差</w:t>
      </w:r>
      <w:bookmarkEnd w:id="600"/>
      <w:bookmarkEnd w:id="601"/>
      <w:bookmarkEnd w:id="602"/>
      <w:bookmarkEnd w:id="603"/>
      <w:bookmarkEnd w:id="604"/>
      <w:bookmarkEnd w:id="605"/>
      <w:bookmarkEnd w:id="606"/>
      <w:bookmarkEnd w:id="607"/>
      <w:bookmarkEnd w:id="608"/>
      <w:bookmarkEnd w:id="609"/>
      <w:bookmarkEnd w:id="610"/>
      <w:bookmarkEnd w:id="611"/>
    </w:p>
    <w:p w14:paraId="6E9B8FB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信众内部来看，部分基层信徒对两类价值的关系存在疑虑。杨凤岗在对中国基督徒社会认同的研究中指出，中国基督徒往往面临“叠合身份”的困境：他们既需要维持宗教群体的内部认同，又必须处理与外部社会主流价值的关系。 当基层教会的教义阐释过度强调信仰的独特性，而忽视与本土伦理传统的对话时，信众容易将“属灵价值”与“世俗价值”对立起来，认为参与主流社会倡导的活动会削弱信仰的纯粹性。</w:t>
      </w:r>
      <w:r>
        <w:rPr>
          <w:rStyle w:val="29"/>
          <w:rFonts w:hint="eastAsia" w:ascii="宋体" w:hAnsi="宋体" w:eastAsia="宋体" w:cs="宋体"/>
          <w:color w:val="auto"/>
          <w:sz w:val="24"/>
          <w:szCs w:val="24"/>
        </w:rPr>
        <w:footnoteReference w:id="80"/>
      </w:r>
    </w:p>
    <w:p w14:paraId="15CBDC2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的要求看，这种认知偏差本质上是对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认同中国特色社会主义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认同中华文化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等要求的理解不到位，需要在教育引导中予以纠正。</w:t>
      </w:r>
    </w:p>
    <w:p w14:paraId="3BE9FF81">
      <w:pPr>
        <w:pStyle w:val="4"/>
        <w:bidi w:val="0"/>
        <w:rPr>
          <w:rFonts w:hint="eastAsia"/>
          <w:color w:val="auto"/>
          <w:lang w:val="en-US" w:eastAsia="zh-CN"/>
        </w:rPr>
      </w:pPr>
      <w:bookmarkStart w:id="612" w:name="_Toc242061566"/>
      <w:bookmarkStart w:id="613" w:name="_Toc446380829"/>
      <w:bookmarkStart w:id="614" w:name="_Toc2134719712"/>
      <w:bookmarkStart w:id="615" w:name="_Toc782929693"/>
      <w:bookmarkStart w:id="616" w:name="_Toc765297347"/>
      <w:bookmarkStart w:id="617" w:name="_Toc1453101246"/>
      <w:bookmarkStart w:id="618" w:name="_Toc1679822917"/>
      <w:bookmarkStart w:id="619" w:name="_Toc700977357"/>
      <w:bookmarkStart w:id="620" w:name="_Toc535226135"/>
      <w:bookmarkStart w:id="621" w:name="_Toc1607924017"/>
      <w:bookmarkStart w:id="622" w:name="_Toc1238366080"/>
      <w:bookmarkStart w:id="623" w:name="_Toc904391840"/>
      <w:r>
        <w:rPr>
          <w:rFonts w:hint="eastAsia"/>
          <w:color w:val="auto"/>
          <w:lang w:val="en-US" w:eastAsia="zh-CN"/>
        </w:rPr>
        <w:t>二、</w:t>
      </w:r>
      <w:r>
        <w:rPr>
          <w:rFonts w:hint="eastAsia"/>
          <w:color w:val="auto"/>
        </w:rPr>
        <w:t>非信众群体的历史记忆与刻板印象</w:t>
      </w:r>
      <w:bookmarkEnd w:id="612"/>
      <w:bookmarkEnd w:id="613"/>
      <w:bookmarkEnd w:id="614"/>
      <w:bookmarkEnd w:id="615"/>
      <w:bookmarkEnd w:id="616"/>
      <w:bookmarkEnd w:id="617"/>
      <w:bookmarkEnd w:id="618"/>
      <w:bookmarkEnd w:id="619"/>
      <w:bookmarkEnd w:id="620"/>
      <w:bookmarkEnd w:id="621"/>
      <w:bookmarkEnd w:id="622"/>
      <w:bookmarkEnd w:id="623"/>
    </w:p>
    <w:p w14:paraId="3396F74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从外部社会来看，非信众群体对基督教的刻板印象同样构成障碍。历史上基督教与近代殖民主义、不平等条约的复杂关联，使得部分民众至今仍将其视为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外来文化渗透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的载体。当这种历史记忆与现实中个别教会刻意突出宗教标识的慈善行为相叠加时，基督教的社会服务容易被曲解为传教手段。</w:t>
      </w:r>
    </w:p>
    <w:p w14:paraId="2FFBB8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陈金羽对</w:t>
      </w:r>
      <w:r>
        <w:rPr>
          <w:rFonts w:hint="default" w:ascii="Times New Roman" w:hAnsi="Times New Roman" w:eastAsia="宋体" w:cs="Times New Roman"/>
          <w:color w:val="auto"/>
          <w:sz w:val="24"/>
          <w:szCs w:val="24"/>
        </w:rPr>
        <w:t>Q</w:t>
      </w:r>
      <w:r>
        <w:rPr>
          <w:rFonts w:hint="eastAsia" w:ascii="宋体" w:hAnsi="宋体" w:eastAsia="宋体" w:cs="宋体"/>
          <w:color w:val="auto"/>
          <w:sz w:val="24"/>
          <w:szCs w:val="24"/>
        </w:rPr>
        <w:t>教会服务队的实证研究发现，带有明显宗教符号的教会活动会显著降低社区非信众的接受度。 这种双向的认知偏差——信众担心被“世俗化”，非信众警惕被“渗透”——共同构成了融合实践的心理壁垒。</w:t>
      </w:r>
      <w:r>
        <w:rPr>
          <w:rStyle w:val="29"/>
          <w:rFonts w:hint="eastAsia" w:ascii="宋体" w:hAnsi="宋体" w:eastAsia="宋体" w:cs="宋体"/>
          <w:color w:val="auto"/>
          <w:sz w:val="24"/>
          <w:szCs w:val="24"/>
        </w:rPr>
        <w:footnoteReference w:id="81"/>
      </w:r>
    </w:p>
    <w:p w14:paraId="1E43B99C">
      <w:pPr>
        <w:pStyle w:val="4"/>
        <w:bidi w:val="0"/>
        <w:rPr>
          <w:rFonts w:hint="eastAsia"/>
          <w:color w:val="auto"/>
          <w:lang w:val="en-US" w:eastAsia="zh-CN"/>
        </w:rPr>
      </w:pPr>
      <w:bookmarkStart w:id="624" w:name="_Toc1963742557"/>
      <w:bookmarkStart w:id="625" w:name="_Toc1072949146"/>
      <w:bookmarkStart w:id="626" w:name="_Toc224909155"/>
      <w:bookmarkStart w:id="627" w:name="_Toc994712344"/>
      <w:bookmarkStart w:id="628" w:name="_Toc1954683483"/>
      <w:bookmarkStart w:id="629" w:name="_Toc1067045082"/>
      <w:bookmarkStart w:id="630" w:name="_Toc1088607838"/>
      <w:bookmarkStart w:id="631" w:name="_Toc1162214032"/>
      <w:bookmarkStart w:id="632" w:name="_Toc444739871"/>
      <w:bookmarkStart w:id="633" w:name="_Toc1884137309"/>
      <w:bookmarkStart w:id="634" w:name="_Toc231151657"/>
      <w:bookmarkStart w:id="635" w:name="_Toc224401414"/>
      <w:r>
        <w:rPr>
          <w:rFonts w:hint="eastAsia"/>
          <w:color w:val="auto"/>
          <w:lang w:val="en-US" w:eastAsia="zh-CN"/>
        </w:rPr>
        <w:t>三、</w:t>
      </w:r>
      <w:r>
        <w:rPr>
          <w:rFonts w:hint="eastAsia"/>
          <w:color w:val="auto"/>
        </w:rPr>
        <w:t>神学话语与政治话语的沟通鸿沟</w:t>
      </w:r>
      <w:bookmarkEnd w:id="624"/>
      <w:bookmarkEnd w:id="625"/>
      <w:bookmarkEnd w:id="626"/>
      <w:bookmarkEnd w:id="627"/>
      <w:bookmarkEnd w:id="628"/>
      <w:bookmarkEnd w:id="629"/>
      <w:bookmarkEnd w:id="630"/>
      <w:bookmarkEnd w:id="631"/>
      <w:bookmarkEnd w:id="632"/>
      <w:bookmarkEnd w:id="633"/>
      <w:bookmarkEnd w:id="634"/>
      <w:bookmarkEnd w:id="635"/>
    </w:p>
    <w:p w14:paraId="68502D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color w:val="auto"/>
        </w:rPr>
        <w:t>话语体系的差异进一步加剧了认知壁垒。基督教仁爱观念的表达深深植根于其神学传统，核心概念如</w:t>
      </w:r>
      <w:r>
        <w:rPr>
          <w:rFonts w:hint="eastAsia"/>
          <w:color w:val="auto"/>
          <w:lang w:eastAsia="zh-CN"/>
        </w:rPr>
        <w:t>“</w:t>
      </w:r>
      <w:r>
        <w:rPr>
          <w:color w:val="auto"/>
        </w:rPr>
        <w:t>博爱</w:t>
      </w:r>
      <w:r>
        <w:rPr>
          <w:rFonts w:hint="eastAsia"/>
          <w:color w:val="auto"/>
          <w:lang w:eastAsia="zh-CN"/>
        </w:rPr>
        <w:t>”“</w:t>
      </w:r>
      <w:r>
        <w:rPr>
          <w:color w:val="auto"/>
        </w:rPr>
        <w:t>爱人如己</w:t>
      </w:r>
      <w:r>
        <w:rPr>
          <w:rFonts w:hint="eastAsia"/>
          <w:color w:val="auto"/>
          <w:lang w:eastAsia="zh-CN"/>
        </w:rPr>
        <w:t>”</w:t>
      </w:r>
      <w:r>
        <w:rPr>
          <w:color w:val="auto"/>
        </w:rPr>
        <w:t>以对上帝信仰为前提，论述逻辑往往从</w:t>
      </w:r>
      <w:r>
        <w:rPr>
          <w:rFonts w:hint="eastAsia"/>
          <w:color w:val="auto"/>
          <w:lang w:eastAsia="zh-CN"/>
        </w:rPr>
        <w:t>“</w:t>
      </w:r>
      <w:r>
        <w:rPr>
          <w:color w:val="auto"/>
        </w:rPr>
        <w:t>神的启示</w:t>
      </w:r>
      <w:r>
        <w:rPr>
          <w:rFonts w:hint="eastAsia"/>
          <w:color w:val="auto"/>
          <w:lang w:eastAsia="zh-CN"/>
        </w:rPr>
        <w:t>”“</w:t>
      </w:r>
      <w:r>
        <w:rPr>
          <w:color w:val="auto"/>
        </w:rPr>
        <w:t>人的罪性</w:t>
      </w:r>
      <w:r>
        <w:rPr>
          <w:rFonts w:hint="eastAsia"/>
          <w:color w:val="auto"/>
          <w:lang w:eastAsia="zh-CN"/>
        </w:rPr>
        <w:t>”</w:t>
      </w:r>
      <w:r>
        <w:rPr>
          <w:color w:val="auto"/>
        </w:rPr>
        <w:t>出发，强调通过践行仁爱来荣耀神。相比之下，社会主义核心价值观的话语体系建立在马克思主义理论基础之上，融合中华优秀传统文化与中国特色社会主义实践经验，侧重集体利益、社会和谐与国家发展，多使用</w:t>
      </w:r>
      <w:r>
        <w:rPr>
          <w:rFonts w:hint="eastAsia"/>
          <w:color w:val="auto"/>
          <w:lang w:eastAsia="zh-CN"/>
        </w:rPr>
        <w:t>“</w:t>
      </w:r>
      <w:r>
        <w:rPr>
          <w:color w:val="auto"/>
        </w:rPr>
        <w:t>富强</w:t>
      </w:r>
      <w:r>
        <w:rPr>
          <w:rFonts w:hint="eastAsia"/>
          <w:color w:val="auto"/>
          <w:lang w:eastAsia="zh-CN"/>
        </w:rPr>
        <w:t>”“</w:t>
      </w:r>
      <w:r>
        <w:rPr>
          <w:color w:val="auto"/>
        </w:rPr>
        <w:t>民主</w:t>
      </w:r>
      <w:r>
        <w:rPr>
          <w:rFonts w:hint="eastAsia"/>
          <w:color w:val="auto"/>
          <w:lang w:eastAsia="zh-CN"/>
        </w:rPr>
        <w:t>”“</w:t>
      </w:r>
      <w:r>
        <w:rPr>
          <w:color w:val="auto"/>
        </w:rPr>
        <w:t>文明</w:t>
      </w:r>
      <w:r>
        <w:rPr>
          <w:rFonts w:hint="eastAsia"/>
          <w:color w:val="auto"/>
          <w:lang w:eastAsia="zh-CN"/>
        </w:rPr>
        <w:t>”“</w:t>
      </w:r>
      <w:r>
        <w:rPr>
          <w:color w:val="auto"/>
        </w:rPr>
        <w:t>和谐</w:t>
      </w:r>
      <w:r>
        <w:rPr>
          <w:rFonts w:hint="eastAsia"/>
          <w:color w:val="auto"/>
          <w:lang w:eastAsia="zh-CN"/>
        </w:rPr>
        <w:t>”</w:t>
      </w:r>
      <w:r>
        <w:rPr>
          <w:color w:val="auto"/>
        </w:rPr>
        <w:t>等世俗化、公共性的表达。</w:t>
      </w:r>
    </w:p>
    <w:p w14:paraId="4BFAB1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这种话语差异导致双方在交流时难以准确把握对方意图：当基督教徒以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传福音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0660E517">
      <w:pPr>
        <w:rPr>
          <w:rFonts w:hint="eastAsia"/>
          <w:color w:val="auto"/>
          <w:lang w:val="en-US" w:eastAsia="zh-CN"/>
        </w:rPr>
      </w:pPr>
      <w:bookmarkStart w:id="636" w:name="_Toc636112963"/>
      <w:bookmarkStart w:id="637" w:name="_Toc1499920337"/>
      <w:bookmarkStart w:id="638" w:name="_Toc2117657360"/>
      <w:bookmarkStart w:id="639" w:name="_Toc1818744473"/>
      <w:bookmarkStart w:id="640" w:name="_Toc1967466359"/>
      <w:bookmarkStart w:id="641" w:name="_Toc2092468403"/>
      <w:bookmarkStart w:id="642" w:name="_Toc190757077"/>
      <w:bookmarkStart w:id="643" w:name="_Toc160466975"/>
      <w:bookmarkStart w:id="644" w:name="_Toc2049377348"/>
      <w:bookmarkStart w:id="645" w:name="_Toc167981776"/>
      <w:bookmarkStart w:id="646" w:name="_Toc476949365"/>
      <w:r>
        <w:rPr>
          <w:rFonts w:hint="eastAsia"/>
          <w:color w:val="auto"/>
          <w:lang w:val="en-US" w:eastAsia="zh-CN"/>
        </w:rPr>
        <w:br w:type="page"/>
      </w:r>
    </w:p>
    <w:p w14:paraId="74D0D42F">
      <w:pPr>
        <w:pStyle w:val="3"/>
        <w:bidi w:val="0"/>
        <w:rPr>
          <w:rFonts w:hint="eastAsia"/>
          <w:color w:val="auto"/>
          <w:lang w:val="en-US" w:eastAsia="zh-CN"/>
        </w:rPr>
      </w:pPr>
      <w:bookmarkStart w:id="647" w:name="_Toc533280966"/>
      <w:r>
        <w:rPr>
          <w:rFonts w:hint="eastAsia"/>
          <w:color w:val="auto"/>
          <w:lang w:val="en-US" w:eastAsia="zh-CN"/>
        </w:rPr>
        <w:t xml:space="preserve">第二节 </w:t>
      </w:r>
      <w:r>
        <w:rPr>
          <w:rFonts w:hint="eastAsia"/>
          <w:color w:val="auto"/>
        </w:rPr>
        <w:t>实践层面的形式化与功利化问题</w:t>
      </w:r>
      <w:bookmarkEnd w:id="636"/>
      <w:bookmarkEnd w:id="637"/>
      <w:bookmarkEnd w:id="638"/>
      <w:bookmarkEnd w:id="639"/>
      <w:bookmarkEnd w:id="640"/>
      <w:bookmarkEnd w:id="641"/>
      <w:bookmarkEnd w:id="642"/>
      <w:bookmarkEnd w:id="643"/>
      <w:bookmarkEnd w:id="644"/>
      <w:bookmarkEnd w:id="645"/>
      <w:bookmarkEnd w:id="646"/>
      <w:bookmarkEnd w:id="647"/>
    </w:p>
    <w:p w14:paraId="07C0D58A">
      <w:pPr>
        <w:pStyle w:val="4"/>
        <w:bidi w:val="0"/>
        <w:rPr>
          <w:rFonts w:hint="eastAsia"/>
          <w:color w:val="auto"/>
          <w:lang w:val="en-US" w:eastAsia="zh-CN"/>
        </w:rPr>
      </w:pPr>
      <w:bookmarkStart w:id="648" w:name="_Toc1876471840"/>
      <w:bookmarkStart w:id="649" w:name="_Toc976974375"/>
      <w:bookmarkStart w:id="650" w:name="_Toc394873603"/>
      <w:bookmarkStart w:id="651" w:name="_Toc356126313"/>
      <w:bookmarkStart w:id="652" w:name="_Toc253899207"/>
      <w:bookmarkStart w:id="653" w:name="_Toc2008591815"/>
      <w:bookmarkStart w:id="654" w:name="_Toc1679006951"/>
      <w:bookmarkStart w:id="655" w:name="_Toc1998055473"/>
      <w:bookmarkStart w:id="656" w:name="_Toc1476197074"/>
      <w:bookmarkStart w:id="657" w:name="_Toc924245949"/>
      <w:bookmarkStart w:id="658" w:name="_Toc1220767789"/>
      <w:bookmarkStart w:id="659" w:name="_Toc1403936631"/>
      <w:r>
        <w:rPr>
          <w:rFonts w:hint="eastAsia"/>
          <w:color w:val="auto"/>
          <w:lang w:val="en-US" w:eastAsia="zh-CN"/>
        </w:rPr>
        <w:t>一、</w:t>
      </w:r>
      <w:r>
        <w:rPr>
          <w:rFonts w:hint="eastAsia"/>
          <w:color w:val="auto"/>
        </w:rPr>
        <w:t>融合活动的象征性执行与形式化困境</w:t>
      </w:r>
      <w:bookmarkEnd w:id="648"/>
      <w:bookmarkEnd w:id="649"/>
      <w:bookmarkEnd w:id="650"/>
      <w:bookmarkEnd w:id="651"/>
      <w:bookmarkEnd w:id="652"/>
      <w:bookmarkEnd w:id="653"/>
      <w:bookmarkEnd w:id="654"/>
      <w:bookmarkEnd w:id="655"/>
      <w:bookmarkEnd w:id="656"/>
      <w:bookmarkEnd w:id="657"/>
      <w:bookmarkEnd w:id="658"/>
      <w:bookmarkEnd w:id="659"/>
    </w:p>
    <w:p w14:paraId="498D844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融合工作在实践层面的推进，同样面临诸多现实困境。首先是活动的形式化问题。目前部分基层基督教活动场所推进融合工作，存在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重宣传、轻实效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这种形式化的活动很难让信众真正理解基督教仁爱观念与核心价值观的内在契合性，甚至可能让信众认为张贴宣传标语只是应付管理要求的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表面功夫</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，与自身信仰实践没有关联。当融合活动未结合信众的日常服务需求，也未对接社区的公共服务缺口，只是照搬上级下发的活动模板时，价值引导效果自然微乎其微。</w:t>
      </w:r>
    </w:p>
    <w:p w14:paraId="1B945D9F">
      <w:pPr>
        <w:pStyle w:val="4"/>
        <w:bidi w:val="0"/>
        <w:rPr>
          <w:rFonts w:hint="eastAsia"/>
          <w:color w:val="auto"/>
          <w:lang w:val="en-US" w:eastAsia="zh-CN"/>
        </w:rPr>
      </w:pPr>
      <w:bookmarkStart w:id="660" w:name="_Toc2064858685"/>
      <w:bookmarkStart w:id="661" w:name="_Toc1052446092"/>
      <w:bookmarkStart w:id="662" w:name="_Toc565648927"/>
      <w:bookmarkStart w:id="663" w:name="_Toc233965460"/>
      <w:bookmarkStart w:id="664" w:name="_Toc916176391"/>
      <w:bookmarkStart w:id="665" w:name="_Toc2107187512"/>
      <w:bookmarkStart w:id="666" w:name="_Toc1116546572"/>
      <w:bookmarkStart w:id="667" w:name="_Toc385466285"/>
      <w:bookmarkStart w:id="668" w:name="_Toc348355663"/>
      <w:bookmarkStart w:id="669" w:name="_Toc378018402"/>
      <w:bookmarkStart w:id="670" w:name="_Toc1134703877"/>
      <w:bookmarkStart w:id="671" w:name="_Toc1560127628"/>
      <w:r>
        <w:rPr>
          <w:rFonts w:hint="eastAsia"/>
          <w:color w:val="auto"/>
          <w:lang w:val="en-US" w:eastAsia="zh-CN"/>
        </w:rPr>
        <w:t>二、</w:t>
      </w:r>
      <w:r>
        <w:rPr>
          <w:rFonts w:hint="eastAsia"/>
          <w:color w:val="auto"/>
        </w:rPr>
        <w:t>慈善实践中的功利化倾向与</w:t>
      </w:r>
      <w:r>
        <w:rPr>
          <w:rFonts w:hint="eastAsia"/>
          <w:color w:val="auto"/>
          <w:lang w:eastAsia="zh-CN"/>
        </w:rPr>
        <w:t>“</w:t>
      </w:r>
      <w:r>
        <w:rPr>
          <w:rFonts w:hint="eastAsia"/>
          <w:color w:val="auto"/>
        </w:rPr>
        <w:t>以慈善传教</w:t>
      </w:r>
      <w:r>
        <w:rPr>
          <w:rFonts w:hint="eastAsia"/>
          <w:color w:val="auto"/>
          <w:lang w:eastAsia="zh-CN"/>
        </w:rPr>
        <w:t>”</w:t>
      </w:r>
      <w:r>
        <w:rPr>
          <w:rFonts w:hint="eastAsia"/>
          <w:color w:val="auto"/>
        </w:rPr>
        <w:t>风险</w:t>
      </w:r>
      <w:bookmarkEnd w:id="660"/>
      <w:bookmarkEnd w:id="661"/>
      <w:bookmarkEnd w:id="662"/>
      <w:bookmarkEnd w:id="663"/>
      <w:bookmarkEnd w:id="664"/>
      <w:bookmarkEnd w:id="665"/>
      <w:bookmarkEnd w:id="666"/>
      <w:bookmarkEnd w:id="667"/>
      <w:bookmarkEnd w:id="668"/>
      <w:bookmarkEnd w:id="669"/>
      <w:bookmarkEnd w:id="670"/>
      <w:bookmarkEnd w:id="671"/>
    </w:p>
    <w:p w14:paraId="2E63F0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另有部分团体在开展志愿服务时刻意突出宗教标识，如统一印制带有十字架标识的志愿马甲，在服务过程中主动向居民告知基督教背景甚至宣讲教义。这种做法既存在合规风险，也容易引发非信众的抵触情绪，加剧社会公众对基督教仁爱实践的误解，反而拉大了信众与非信众群体的心理距离。</w:t>
      </w:r>
    </w:p>
    <w:p w14:paraId="3AFA8B66">
      <w:pPr>
        <w:pStyle w:val="4"/>
        <w:bidi w:val="0"/>
        <w:rPr>
          <w:rFonts w:hint="eastAsia"/>
          <w:color w:val="auto"/>
          <w:lang w:val="en-US" w:eastAsia="zh-CN"/>
        </w:rPr>
      </w:pPr>
      <w:bookmarkStart w:id="672" w:name="_Toc2098894467"/>
      <w:bookmarkStart w:id="673" w:name="_Toc718854547"/>
      <w:bookmarkStart w:id="674" w:name="_Toc744183275"/>
      <w:bookmarkStart w:id="675" w:name="_Toc1786151552"/>
      <w:bookmarkStart w:id="676" w:name="_Toc1721172643"/>
      <w:bookmarkStart w:id="677" w:name="_Toc773206319"/>
      <w:bookmarkStart w:id="678" w:name="_Toc214928563"/>
      <w:bookmarkStart w:id="679" w:name="_Toc1098654588"/>
      <w:bookmarkStart w:id="680" w:name="_Toc1313275379"/>
      <w:bookmarkStart w:id="681" w:name="_Toc1086128118"/>
      <w:bookmarkStart w:id="682" w:name="_Toc1347691507"/>
      <w:bookmarkStart w:id="683" w:name="_Toc289713926"/>
      <w:r>
        <w:rPr>
          <w:rFonts w:hint="eastAsia"/>
          <w:color w:val="auto"/>
          <w:lang w:val="en-US" w:eastAsia="zh-CN"/>
        </w:rPr>
        <w:t>三、</w:t>
      </w:r>
      <w:r>
        <w:rPr>
          <w:rFonts w:hint="eastAsia"/>
          <w:color w:val="auto"/>
        </w:rPr>
        <w:t>融合内容与群众真实需求的结构性脱节</w:t>
      </w:r>
      <w:bookmarkEnd w:id="672"/>
      <w:bookmarkEnd w:id="673"/>
      <w:bookmarkEnd w:id="674"/>
      <w:bookmarkEnd w:id="675"/>
      <w:bookmarkEnd w:id="676"/>
      <w:bookmarkEnd w:id="677"/>
      <w:bookmarkEnd w:id="678"/>
      <w:bookmarkEnd w:id="679"/>
      <w:bookmarkEnd w:id="680"/>
      <w:bookmarkEnd w:id="681"/>
      <w:bookmarkEnd w:id="682"/>
      <w:bookmarkEnd w:id="683"/>
    </w:p>
    <w:p w14:paraId="5BC258B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最后是融合内容与群众需求的脱节。部分宣传材料停留在抽象概念的简单叠加，如将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bidi w:val="0"/>
        <w:rPr>
          <w:rFonts w:hint="eastAsia"/>
          <w:color w:val="auto"/>
          <w:lang w:val="en-US" w:eastAsia="zh-CN"/>
        </w:rPr>
      </w:pPr>
      <w:bookmarkStart w:id="684" w:name="_Toc1552921247"/>
      <w:bookmarkStart w:id="685" w:name="_Toc1141133240"/>
      <w:bookmarkStart w:id="686" w:name="_Toc45373407"/>
      <w:bookmarkStart w:id="687" w:name="_Toc944279726"/>
      <w:bookmarkStart w:id="688" w:name="_Toc382370987"/>
      <w:bookmarkStart w:id="689" w:name="_Toc175233051"/>
      <w:bookmarkStart w:id="690" w:name="_Toc236864087"/>
      <w:bookmarkStart w:id="691" w:name="_Toc876526533"/>
      <w:r>
        <w:rPr>
          <w:rFonts w:hint="eastAsia"/>
          <w:color w:val="auto"/>
        </w:rPr>
        <w:t>四、“公正”、“平等”价值在融合实践中的边缘化问题</w:t>
      </w:r>
      <w:bookmarkEnd w:id="684"/>
      <w:bookmarkEnd w:id="685"/>
      <w:bookmarkEnd w:id="686"/>
      <w:bookmarkEnd w:id="687"/>
      <w:bookmarkEnd w:id="688"/>
      <w:bookmarkEnd w:id="689"/>
      <w:bookmarkEnd w:id="690"/>
      <w:bookmarkEnd w:id="691"/>
    </w:p>
    <w:p w14:paraId="3F43D5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值得注意的是，当前基督教界在推进融合工作时，对社会主义核心价值观的理解往往偏重于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等个人道德层面，而对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平等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等社会制度层面的价值关注不足。这种倾向导致融合工作更多停留在慈善公益的道德实践层面，未能充分发挥基督教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行公义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重道德、轻制度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的倾向，不仅限制了融合工作的深度，也使得基督教社会伦理中最具变革潜力的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维度未能得到充分释放。</w:t>
      </w:r>
    </w:p>
    <w:p w14:paraId="51B85303">
      <w:pPr>
        <w:pStyle w:val="3"/>
        <w:bidi w:val="0"/>
        <w:rPr>
          <w:rFonts w:hint="eastAsia"/>
          <w:color w:val="auto"/>
          <w:lang w:val="en-US" w:eastAsia="zh-CN"/>
        </w:rPr>
      </w:pPr>
      <w:bookmarkStart w:id="692" w:name="_Toc1023263610"/>
      <w:bookmarkStart w:id="693" w:name="_Toc855055436"/>
      <w:bookmarkStart w:id="694" w:name="_Toc234156764"/>
      <w:bookmarkStart w:id="695" w:name="_Toc1238106685"/>
      <w:bookmarkStart w:id="696" w:name="_Toc1997396970"/>
      <w:bookmarkStart w:id="697" w:name="_Toc605203552"/>
      <w:bookmarkStart w:id="698" w:name="_Toc1687512318"/>
      <w:bookmarkStart w:id="699" w:name="_Toc543542797"/>
      <w:bookmarkStart w:id="700" w:name="_Toc941808120"/>
      <w:bookmarkStart w:id="701" w:name="_Toc1015217533"/>
      <w:bookmarkStart w:id="702" w:name="_Toc1578636338"/>
      <w:bookmarkStart w:id="703" w:name="_Toc43621711"/>
      <w:r>
        <w:rPr>
          <w:rFonts w:hint="eastAsia"/>
          <w:color w:val="auto"/>
          <w:lang w:val="en-US" w:eastAsia="zh-CN"/>
        </w:rPr>
        <w:t xml:space="preserve">第三节 </w:t>
      </w:r>
      <w:r>
        <w:rPr>
          <w:rFonts w:hint="eastAsia"/>
          <w:color w:val="auto"/>
        </w:rPr>
        <w:t>制度层面的保障缺位</w:t>
      </w:r>
      <w:bookmarkEnd w:id="692"/>
      <w:bookmarkEnd w:id="693"/>
      <w:bookmarkEnd w:id="694"/>
      <w:bookmarkEnd w:id="695"/>
      <w:bookmarkEnd w:id="696"/>
      <w:bookmarkEnd w:id="697"/>
      <w:bookmarkEnd w:id="698"/>
      <w:bookmarkEnd w:id="699"/>
      <w:bookmarkEnd w:id="700"/>
      <w:bookmarkEnd w:id="701"/>
      <w:bookmarkEnd w:id="702"/>
      <w:bookmarkEnd w:id="703"/>
    </w:p>
    <w:p w14:paraId="280B9A6B">
      <w:pPr>
        <w:pStyle w:val="4"/>
        <w:bidi w:val="0"/>
        <w:rPr>
          <w:rFonts w:hint="eastAsia"/>
          <w:color w:val="auto"/>
          <w:lang w:val="en-US" w:eastAsia="zh-CN"/>
        </w:rPr>
      </w:pPr>
      <w:bookmarkStart w:id="704" w:name="_Toc942448094"/>
      <w:bookmarkStart w:id="705" w:name="_Toc2075838488"/>
      <w:bookmarkStart w:id="706" w:name="_Toc1889999012"/>
      <w:bookmarkStart w:id="707" w:name="_Toc2103630775"/>
      <w:bookmarkStart w:id="708" w:name="_Toc786504886"/>
      <w:bookmarkStart w:id="709" w:name="_Toc203002697"/>
      <w:bookmarkStart w:id="710" w:name="_Toc1173546272"/>
      <w:bookmarkStart w:id="711" w:name="_Toc2127957728"/>
      <w:bookmarkStart w:id="712" w:name="_Toc2014594450"/>
      <w:bookmarkStart w:id="713" w:name="_Toc1003501716"/>
      <w:bookmarkStart w:id="714" w:name="_Toc1282691244"/>
      <w:bookmarkStart w:id="715" w:name="_Toc858173150"/>
      <w:r>
        <w:rPr>
          <w:rFonts w:hint="eastAsia"/>
          <w:color w:val="auto"/>
          <w:lang w:val="en-US" w:eastAsia="zh-CN"/>
        </w:rPr>
        <w:t>一、</w:t>
      </w:r>
      <w:r>
        <w:rPr>
          <w:rFonts w:hint="eastAsia"/>
          <w:color w:val="auto"/>
        </w:rPr>
        <w:t>引导机制的不健全与权责模糊</w:t>
      </w:r>
      <w:bookmarkEnd w:id="704"/>
      <w:bookmarkEnd w:id="705"/>
      <w:bookmarkEnd w:id="706"/>
      <w:bookmarkEnd w:id="707"/>
      <w:bookmarkEnd w:id="708"/>
      <w:bookmarkEnd w:id="709"/>
      <w:bookmarkEnd w:id="710"/>
      <w:bookmarkEnd w:id="711"/>
      <w:bookmarkEnd w:id="712"/>
      <w:bookmarkEnd w:id="713"/>
      <w:bookmarkEnd w:id="714"/>
      <w:bookmarkEnd w:id="715"/>
    </w:p>
    <w:p w14:paraId="76805D0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bidi w:val="0"/>
        <w:rPr>
          <w:rFonts w:hint="eastAsia"/>
          <w:color w:val="auto"/>
          <w:lang w:val="en-US" w:eastAsia="zh-CN"/>
        </w:rPr>
      </w:pPr>
      <w:bookmarkStart w:id="716" w:name="_Toc1750889322"/>
      <w:bookmarkStart w:id="717" w:name="_Toc1662297043"/>
      <w:bookmarkStart w:id="718" w:name="_Toc1699154864"/>
      <w:bookmarkStart w:id="719" w:name="_Toc392877358"/>
      <w:bookmarkStart w:id="720" w:name="_Toc1025771717"/>
      <w:bookmarkStart w:id="721" w:name="_Toc2061742548"/>
      <w:bookmarkStart w:id="722" w:name="_Toc1302379456"/>
      <w:bookmarkStart w:id="723" w:name="_Toc2033219233"/>
      <w:bookmarkStart w:id="724" w:name="_Toc598138654"/>
      <w:bookmarkStart w:id="725" w:name="_Toc1664260921"/>
      <w:bookmarkStart w:id="726" w:name="_Toc1782771907"/>
      <w:bookmarkStart w:id="727" w:name="_Toc815958798"/>
      <w:r>
        <w:rPr>
          <w:rFonts w:hint="eastAsia"/>
          <w:color w:val="auto"/>
          <w:lang w:val="en-US" w:eastAsia="zh-CN"/>
        </w:rPr>
        <w:t>二、</w:t>
      </w:r>
      <w:r>
        <w:rPr>
          <w:rFonts w:hint="eastAsia"/>
          <w:color w:val="auto"/>
        </w:rPr>
        <w:t>评估监督体系的缺位与指标虚化</w:t>
      </w:r>
      <w:bookmarkEnd w:id="716"/>
      <w:bookmarkEnd w:id="717"/>
      <w:bookmarkEnd w:id="718"/>
      <w:bookmarkEnd w:id="719"/>
      <w:bookmarkEnd w:id="720"/>
      <w:bookmarkEnd w:id="721"/>
      <w:bookmarkEnd w:id="722"/>
      <w:bookmarkEnd w:id="723"/>
      <w:bookmarkEnd w:id="724"/>
      <w:bookmarkEnd w:id="725"/>
      <w:bookmarkEnd w:id="726"/>
      <w:bookmarkEnd w:id="727"/>
    </w:p>
    <w:p w14:paraId="5BD68E1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对违规开展的融合活动也缺乏有效的监管手段，部分教会打着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融合实践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bidi w:val="0"/>
        <w:rPr>
          <w:rFonts w:hint="eastAsia"/>
          <w:color w:val="auto"/>
          <w:lang w:val="en-US" w:eastAsia="zh-CN"/>
        </w:rPr>
      </w:pPr>
      <w:bookmarkStart w:id="728" w:name="_Toc1725025028"/>
      <w:bookmarkStart w:id="729" w:name="_Toc1938186768"/>
      <w:bookmarkStart w:id="730" w:name="_Toc2058359891"/>
      <w:bookmarkStart w:id="731" w:name="_Toc228420013"/>
      <w:bookmarkStart w:id="732" w:name="_Toc146529503"/>
      <w:bookmarkStart w:id="733" w:name="_Toc1355598005"/>
      <w:bookmarkStart w:id="734" w:name="_Toc458261442"/>
      <w:bookmarkStart w:id="735" w:name="_Toc1611637878"/>
      <w:bookmarkStart w:id="736" w:name="_Toc1555857967"/>
      <w:bookmarkStart w:id="737" w:name="_Toc258797072"/>
      <w:bookmarkStart w:id="738" w:name="_Toc545406171"/>
      <w:bookmarkStart w:id="739" w:name="_Toc2136431891"/>
      <w:r>
        <w:rPr>
          <w:rFonts w:hint="eastAsia"/>
          <w:color w:val="auto"/>
          <w:lang w:val="en-US" w:eastAsia="zh-CN"/>
        </w:rPr>
        <w:t>三、</w:t>
      </w:r>
      <w:r>
        <w:rPr>
          <w:rFonts w:hint="eastAsia"/>
          <w:color w:val="auto"/>
        </w:rPr>
        <w:t>基层宗教工作队伍的能力短板与培训缺失</w:t>
      </w:r>
      <w:bookmarkEnd w:id="728"/>
      <w:bookmarkEnd w:id="729"/>
      <w:bookmarkEnd w:id="730"/>
      <w:bookmarkEnd w:id="731"/>
      <w:bookmarkEnd w:id="732"/>
      <w:bookmarkEnd w:id="733"/>
      <w:bookmarkEnd w:id="734"/>
      <w:bookmarkEnd w:id="735"/>
      <w:bookmarkEnd w:id="736"/>
      <w:bookmarkEnd w:id="737"/>
      <w:bookmarkEnd w:id="738"/>
      <w:bookmarkEnd w:id="739"/>
    </w:p>
    <w:p w14:paraId="35168A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3A7BB8F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因此</w:t>
      </w:r>
      <w:r>
        <w:rPr>
          <w:rFonts w:hint="eastAsia" w:ascii="宋体" w:hAnsi="宋体" w:eastAsia="宋体" w:cs="宋体"/>
          <w:color w:val="auto"/>
          <w:sz w:val="24"/>
          <w:szCs w:val="24"/>
        </w:rPr>
        <w:t>基层宗教工作队伍分层培训</w:t>
      </w:r>
      <w:r>
        <w:rPr>
          <w:rFonts w:hint="eastAsia" w:ascii="宋体" w:hAnsi="宋体" w:eastAsia="宋体" w:cs="宋体"/>
          <w:color w:val="auto"/>
          <w:sz w:val="24"/>
          <w:szCs w:val="24"/>
          <w:lang w:val="en-US" w:eastAsia="zh-CN"/>
        </w:rPr>
        <w:t>就非常的重要，培训的内容可以包括：</w:t>
      </w:r>
      <w:r>
        <w:rPr>
          <w:rFonts w:hint="eastAsia" w:ascii="宋体" w:hAnsi="宋体" w:eastAsia="宋体" w:cs="宋体"/>
          <w:color w:val="auto"/>
          <w:sz w:val="24"/>
          <w:szCs w:val="24"/>
        </w:rPr>
        <w:t>政策理论：中国特色社会主义宗教理论核心要义、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的政策内涵、《宗教事务条例》解读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宗教常识：基督教基本教义概述、仁爱观念的本源与本土化演进、基督教公益慈善的历史传统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价值融合方法：两类价值契合点的梳理技巧、融合活动的策划与实施、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的引导艺术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实操演练：宗教团体公益项目审批流程模拟、讲经内容审核实操、社区融合活动组织演练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最终</w:t>
      </w:r>
      <w:r>
        <w:rPr>
          <w:rFonts w:hint="eastAsia" w:ascii="宋体" w:hAnsi="宋体" w:eastAsia="宋体" w:cs="宋体"/>
          <w:color w:val="auto"/>
          <w:sz w:val="24"/>
          <w:szCs w:val="24"/>
        </w:rPr>
        <w:t>培训评估：采用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理论学习+案例分析+情景模拟+实操考核</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的综合评估方式，确保参训</w:t>
      </w:r>
      <w:r>
        <w:rPr>
          <w:rFonts w:hint="eastAsia" w:ascii="宋体" w:hAnsi="宋体" w:eastAsia="宋体" w:cs="宋体"/>
          <w:color w:val="auto"/>
          <w:sz w:val="24"/>
          <w:szCs w:val="24"/>
          <w:lang w:val="en-US" w:eastAsia="zh-CN"/>
        </w:rPr>
        <w:t>人员</w:t>
      </w:r>
      <w:r>
        <w:rPr>
          <w:rFonts w:hint="eastAsia" w:ascii="宋体" w:hAnsi="宋体" w:eastAsia="宋体" w:cs="宋体"/>
          <w:color w:val="auto"/>
          <w:sz w:val="24"/>
          <w:szCs w:val="24"/>
        </w:rPr>
        <w:t>能够将理论知识转化为实际工作能力。</w:t>
      </w:r>
    </w:p>
    <w:p w14:paraId="1F077CE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不敢管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不愿管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的消极回避，或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简单化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一刀切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的机械执行，使得融合工作难以在基层形成稳定、持续且富有创造性的实践生态。</w:t>
      </w:r>
    </w:p>
    <w:p w14:paraId="3AD24CED">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6BA3EE47">
      <w:pPr>
        <w:pStyle w:val="2"/>
        <w:bidi w:val="0"/>
        <w:rPr>
          <w:rFonts w:hint="eastAsia"/>
          <w:color w:val="auto"/>
          <w:lang w:val="en-US" w:eastAsia="zh-CN"/>
        </w:rPr>
      </w:pPr>
      <w:bookmarkStart w:id="740" w:name="_Toc881659012"/>
      <w:bookmarkStart w:id="741" w:name="_Toc1705097459"/>
      <w:bookmarkStart w:id="742" w:name="_Toc586575935"/>
      <w:bookmarkStart w:id="743" w:name="_Toc1501881302"/>
      <w:bookmarkStart w:id="744" w:name="_Toc948003929"/>
      <w:bookmarkStart w:id="745" w:name="_Toc1543965497"/>
      <w:bookmarkStart w:id="746" w:name="_Toc1123697552"/>
      <w:bookmarkStart w:id="747" w:name="_Toc1040618514"/>
      <w:bookmarkStart w:id="748" w:name="_Toc1466411096"/>
      <w:bookmarkStart w:id="749" w:name="_Toc2073052080"/>
      <w:bookmarkStart w:id="750" w:name="_Toc1181310601"/>
      <w:bookmarkStart w:id="751" w:name="_Toc1084214197"/>
      <w:r>
        <w:rPr>
          <w:rFonts w:hint="eastAsia"/>
          <w:color w:val="auto"/>
          <w:lang w:val="en-US" w:eastAsia="zh-CN"/>
        </w:rPr>
        <w:t>五、</w:t>
      </w:r>
      <w:r>
        <w:rPr>
          <w:rFonts w:hint="eastAsia"/>
          <w:color w:val="auto"/>
        </w:rPr>
        <w:t>基督教仁爱观念与核心价值观的融合途径构建</w:t>
      </w:r>
      <w:bookmarkEnd w:id="740"/>
      <w:bookmarkEnd w:id="741"/>
      <w:bookmarkEnd w:id="742"/>
      <w:bookmarkEnd w:id="743"/>
      <w:bookmarkEnd w:id="744"/>
      <w:bookmarkEnd w:id="745"/>
      <w:bookmarkEnd w:id="746"/>
      <w:bookmarkEnd w:id="747"/>
      <w:bookmarkEnd w:id="748"/>
      <w:bookmarkEnd w:id="749"/>
      <w:bookmarkEnd w:id="750"/>
      <w:bookmarkEnd w:id="751"/>
    </w:p>
    <w:p w14:paraId="746E5CE8">
      <w:pPr>
        <w:pStyle w:val="3"/>
        <w:bidi w:val="0"/>
        <w:rPr>
          <w:rFonts w:hint="eastAsia"/>
          <w:color w:val="auto"/>
          <w:lang w:val="en-US" w:eastAsia="zh-CN"/>
        </w:rPr>
      </w:pPr>
      <w:bookmarkStart w:id="752" w:name="_Toc405850384"/>
      <w:bookmarkStart w:id="753" w:name="_Toc1448957500"/>
      <w:bookmarkStart w:id="754" w:name="_Toc1011619632"/>
      <w:bookmarkStart w:id="755" w:name="_Toc1013564746"/>
      <w:bookmarkStart w:id="756" w:name="_Toc596255876"/>
      <w:bookmarkStart w:id="757" w:name="_Toc1631799815"/>
      <w:bookmarkStart w:id="758" w:name="_Toc568543630"/>
      <w:bookmarkStart w:id="759" w:name="_Toc1551207845"/>
      <w:bookmarkStart w:id="760" w:name="_Toc800954492"/>
      <w:bookmarkStart w:id="761" w:name="_Toc920857610"/>
      <w:bookmarkStart w:id="762" w:name="_Toc1383201378"/>
      <w:bookmarkStart w:id="763" w:name="_Toc989264184"/>
      <w:r>
        <w:rPr>
          <w:rFonts w:hint="eastAsia"/>
          <w:color w:val="auto"/>
          <w:lang w:val="en-US" w:eastAsia="zh-CN"/>
        </w:rPr>
        <w:t xml:space="preserve">第一节 </w:t>
      </w:r>
      <w:r>
        <w:rPr>
          <w:rFonts w:hint="eastAsia"/>
          <w:color w:val="auto"/>
        </w:rPr>
        <w:t>教义阐释维度：构建本土化、时代化的仁爱话语体系</w:t>
      </w:r>
      <w:bookmarkEnd w:id="752"/>
      <w:bookmarkEnd w:id="753"/>
      <w:bookmarkEnd w:id="754"/>
      <w:bookmarkEnd w:id="755"/>
      <w:bookmarkEnd w:id="756"/>
      <w:bookmarkEnd w:id="757"/>
      <w:bookmarkEnd w:id="758"/>
      <w:bookmarkEnd w:id="759"/>
      <w:bookmarkEnd w:id="760"/>
      <w:bookmarkEnd w:id="761"/>
      <w:bookmarkEnd w:id="762"/>
      <w:bookmarkEnd w:id="763"/>
    </w:p>
    <w:p w14:paraId="7907FF9B">
      <w:pPr>
        <w:pStyle w:val="4"/>
        <w:bidi w:val="0"/>
        <w:rPr>
          <w:rFonts w:hint="eastAsia"/>
          <w:color w:val="auto"/>
          <w:lang w:val="en-US" w:eastAsia="zh-CN"/>
        </w:rPr>
      </w:pPr>
      <w:bookmarkStart w:id="764" w:name="_Toc719341016"/>
      <w:bookmarkStart w:id="765" w:name="_Toc1358043907"/>
      <w:bookmarkStart w:id="766" w:name="_Toc164145520"/>
      <w:bookmarkStart w:id="767" w:name="_Toc1214647648"/>
      <w:bookmarkStart w:id="768" w:name="_Toc145834868"/>
      <w:bookmarkStart w:id="769" w:name="_Toc663121725"/>
      <w:bookmarkStart w:id="770" w:name="_Toc2086690988"/>
      <w:bookmarkStart w:id="771" w:name="_Toc698776335"/>
      <w:bookmarkStart w:id="772" w:name="_Toc955081271"/>
      <w:bookmarkStart w:id="773" w:name="_Toc1142398018"/>
      <w:bookmarkStart w:id="774" w:name="_Toc1113811030"/>
      <w:bookmarkStart w:id="775" w:name="_Toc744745414"/>
      <w:r>
        <w:rPr>
          <w:rFonts w:hint="eastAsia"/>
          <w:color w:val="auto"/>
          <w:lang w:val="en-US" w:eastAsia="zh-CN"/>
        </w:rPr>
        <w:t>一、</w:t>
      </w:r>
      <w:r>
        <w:rPr>
          <w:rFonts w:hint="eastAsia"/>
          <w:color w:val="auto"/>
          <w:lang w:eastAsia="zh-CN"/>
        </w:rPr>
        <w:t>“</w:t>
      </w:r>
      <w:r>
        <w:rPr>
          <w:rFonts w:hint="eastAsia"/>
          <w:color w:val="auto"/>
        </w:rPr>
        <w:t>以儒释耶</w:t>
      </w:r>
      <w:r>
        <w:rPr>
          <w:rFonts w:hint="eastAsia"/>
          <w:color w:val="auto"/>
          <w:lang w:eastAsia="zh-CN"/>
        </w:rPr>
        <w:t>”</w:t>
      </w:r>
      <w:r>
        <w:rPr>
          <w:rFonts w:hint="eastAsia"/>
          <w:color w:val="auto"/>
        </w:rPr>
        <w:t>的当代创新：从利玛窦到新时代</w:t>
      </w:r>
      <w:bookmarkEnd w:id="764"/>
      <w:bookmarkEnd w:id="765"/>
      <w:bookmarkEnd w:id="766"/>
      <w:bookmarkEnd w:id="767"/>
      <w:bookmarkEnd w:id="768"/>
      <w:bookmarkEnd w:id="769"/>
      <w:bookmarkEnd w:id="770"/>
      <w:bookmarkEnd w:id="771"/>
      <w:bookmarkEnd w:id="772"/>
      <w:bookmarkEnd w:id="773"/>
      <w:bookmarkEnd w:id="774"/>
      <w:bookmarkEnd w:id="775"/>
    </w:p>
    <w:p w14:paraId="60487D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化解认知层面的壁垒，首先需要从教义阐释入手。基督教仁爱观念在中国社会的传播，历来伴随着与本土文化的对话。明清之际，利玛窦以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上帝</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译</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Deus</w:t>
      </w:r>
      <w:r>
        <w:rPr>
          <w:rFonts w:hint="default" w:ascii="Times New Roman" w:hAnsi="Times New Roman" w:eastAsia="宋体" w:cs="Times New Roman"/>
          <w:color w:val="auto"/>
          <w:sz w:val="24"/>
          <w:szCs w:val="24"/>
          <w:lang w:eastAsia="zh-CN"/>
        </w:rPr>
        <w:t>”</w:t>
      </w:r>
      <w:r>
        <w:rPr>
          <w:rFonts w:hint="eastAsia" w:ascii="宋体" w:hAnsi="宋体" w:eastAsia="宋体" w:cs="宋体"/>
          <w:color w:val="auto"/>
          <w:sz w:val="24"/>
          <w:szCs w:val="24"/>
        </w:rP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当代的教义阐释工作，需要在延续这一传统的基础上，回应当代中国社会的公共伦理语境。具体而言，宗教团体在讲经布道中，可以尝试将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与社会主义核心价值观公民层面的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进行对接。这种对接不是概念替换，而是在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的儒家伦理框架中，重新阐释基督教爱之诫命的实践意涵。</w:t>
      </w:r>
    </w:p>
    <w:p w14:paraId="620E63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人才的培养目标出发，这种教义诠释创新要求宗教界骨干人才具备深厚的中华优秀传统文化素养和扎实的神学功底，能够自觉且主动地从中华优秀传统文化中汲取精华，将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讲仁爱、尚和合、重民本、求大同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等价值理念融入宗教经典教义诠释。</w:t>
      </w:r>
      <w:r>
        <w:rPr>
          <w:rStyle w:val="29"/>
          <w:rFonts w:hint="eastAsia" w:ascii="宋体" w:hAnsi="宋体" w:eastAsia="宋体" w:cs="宋体"/>
          <w:color w:val="auto"/>
          <w:sz w:val="24"/>
          <w:szCs w:val="24"/>
        </w:rPr>
        <w:footnoteReference w:id="82"/>
      </w:r>
      <w:r>
        <w:rPr>
          <w:rFonts w:hint="eastAsia" w:ascii="宋体" w:hAnsi="宋体" w:eastAsia="宋体" w:cs="宋体"/>
          <w:color w:val="auto"/>
          <w:sz w:val="24"/>
          <w:szCs w:val="24"/>
        </w:rPr>
        <w:t xml:space="preserve"> 例如，在阐释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时，可以引入儒家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己欲立而立人，己欲达而达人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（《论语·雍也》）的忠恕之道，说明基督教之爱与儒家之仁在实践伦理层面的相通性；在阐释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爱仇敌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时，可以结合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以德报怨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的中华传统智慧，赋予其更具中国文化气质的表达方式。</w:t>
      </w:r>
    </w:p>
    <w:p w14:paraId="0A990621">
      <w:pPr>
        <w:pStyle w:val="4"/>
        <w:bidi w:val="0"/>
        <w:rPr>
          <w:rFonts w:hint="eastAsia"/>
          <w:color w:val="auto"/>
        </w:rPr>
      </w:pPr>
      <w:bookmarkStart w:id="776" w:name="_Toc1187744633"/>
      <w:bookmarkStart w:id="777" w:name="_Toc1758144019"/>
      <w:bookmarkStart w:id="778" w:name="_Toc1424751892"/>
      <w:bookmarkStart w:id="779" w:name="_Toc1779684346"/>
      <w:bookmarkStart w:id="780" w:name="_Toc459996159"/>
      <w:bookmarkStart w:id="781" w:name="_Toc1779006949"/>
      <w:bookmarkStart w:id="782" w:name="_Toc767785249"/>
      <w:bookmarkStart w:id="783" w:name="_Toc207030311"/>
      <w:bookmarkStart w:id="784" w:name="_Toc603471554"/>
      <w:bookmarkStart w:id="785" w:name="_Toc1893280549"/>
      <w:bookmarkStart w:id="786" w:name="_Toc1794187792"/>
      <w:bookmarkStart w:id="787" w:name="_Toc1401478382"/>
      <w:r>
        <w:rPr>
          <w:rFonts w:hint="eastAsia"/>
          <w:color w:val="auto"/>
          <w:lang w:val="en-US" w:eastAsia="zh-CN"/>
        </w:rPr>
        <w:t>二、</w:t>
      </w:r>
      <w:r>
        <w:rPr>
          <w:rFonts w:hint="eastAsia"/>
          <w:color w:val="auto"/>
        </w:rPr>
        <w:t>Agape与</w:t>
      </w:r>
      <w:r>
        <w:rPr>
          <w:rFonts w:hint="eastAsia"/>
          <w:color w:val="auto"/>
          <w:lang w:eastAsia="zh-CN"/>
        </w:rPr>
        <w:t>“</w:t>
      </w:r>
      <w:r>
        <w:rPr>
          <w:rFonts w:hint="eastAsia"/>
          <w:color w:val="auto"/>
        </w:rPr>
        <w:t>仁</w:t>
      </w:r>
      <w:r>
        <w:rPr>
          <w:rFonts w:hint="eastAsia"/>
          <w:color w:val="auto"/>
          <w:lang w:eastAsia="zh-CN"/>
        </w:rPr>
        <w:t>”</w:t>
      </w:r>
      <w:r>
        <w:rPr>
          <w:rFonts w:hint="eastAsia"/>
          <w:color w:val="auto"/>
        </w:rPr>
        <w:t>的创造性对接：差序与普遍的辩证统一</w:t>
      </w:r>
      <w:bookmarkEnd w:id="776"/>
      <w:bookmarkEnd w:id="777"/>
      <w:bookmarkEnd w:id="778"/>
      <w:bookmarkEnd w:id="779"/>
      <w:bookmarkEnd w:id="780"/>
      <w:bookmarkEnd w:id="781"/>
      <w:bookmarkEnd w:id="782"/>
      <w:bookmarkEnd w:id="783"/>
      <w:bookmarkEnd w:id="784"/>
      <w:bookmarkEnd w:id="785"/>
      <w:bookmarkEnd w:id="786"/>
      <w:bookmarkEnd w:id="787"/>
    </w:p>
    <w:p w14:paraId="377FAB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本文提出</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方案，核心在于将儒家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的普遍主义进行辩证统一，形成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w:t>
      </w:r>
    </w:p>
    <w:p w14:paraId="3EEE96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第一层：家国情怀（爱家爱国）。儒家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孝悌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为根基，由亲亲而仁民，由仁民而爱物。基督教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虽然强调普遍性，但在《圣经》中同样重视家庭伦理（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当孝敬父母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，《出埃及记》20:12）。当代教义阐释可以将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衔接，论证基督徒爱国爱教的一致性：爱上帝要求信徒</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在上有权柄的，人人当顺服他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（罗13:1），而在中国语境中，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顺服权柄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具体化为拥护中国共产党的领导、热爱社会主义祖国。</w:t>
      </w:r>
    </w:p>
    <w:p w14:paraId="0F021C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第二层：社区互助（爱人如己）。这是融合实践的核心层面。儒家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在社区层面表现为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邻里守望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敦亲睦邻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则表现为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式的邻人关爱。二者可以在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社区共同体</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概念中实现对接：基督徒参与社区养老、困境儿童帮扶，既是践行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，也是实现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w:t>
      </w:r>
    </w:p>
    <w:p w14:paraId="70DA617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第三层：人类关怀（博爱大同）。儒家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万人得救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的普世关怀可以在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人类命运共同体</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理念中实现对接。这种诠释既保留了基督教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的终极关怀，又赋予其鲜明的中国气派。</w:t>
      </w:r>
    </w:p>
    <w:p w14:paraId="0BB8AA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这种三层结构不是对基督教教义的篡改，而是“处境化诠释”</w:t>
      </w:r>
      <w:r>
        <w:rPr>
          <w:rFonts w:hint="default" w:ascii="Times New Roman" w:hAnsi="Times New Roman" w:eastAsia="宋体" w:cs="Times New Roman"/>
          <w:color w:val="auto"/>
          <w:sz w:val="24"/>
          <w:szCs w:val="24"/>
        </w:rPr>
        <w:t>（contextual hermeneutics）</w:t>
      </w:r>
      <w:r>
        <w:rPr>
          <w:rFonts w:hint="eastAsia" w:ascii="宋体" w:hAnsi="宋体" w:eastAsia="宋体" w:cs="宋体"/>
          <w:color w:val="auto"/>
          <w:sz w:val="24"/>
          <w:szCs w:val="24"/>
        </w:rPr>
        <w:t>的必然要求。正如</w:t>
      </w:r>
      <w:r>
        <w:rPr>
          <w:rFonts w:hint="default" w:ascii="Times New Roman" w:hAnsi="Times New Roman" w:eastAsia="宋体" w:cs="Times New Roman"/>
          <w:color w:val="auto"/>
          <w:sz w:val="24"/>
          <w:szCs w:val="24"/>
        </w:rPr>
        <w:t>Schreiter</w:t>
      </w:r>
      <w:r>
        <w:rPr>
          <w:rFonts w:hint="eastAsia" w:ascii="宋体" w:hAnsi="宋体" w:eastAsia="宋体" w:cs="宋体"/>
          <w:color w:val="auto"/>
          <w:sz w:val="24"/>
          <w:szCs w:val="24"/>
        </w:rPr>
        <w:t>所言，本土神学建构需要在本土经验中“重新发现”福音的意义，而非将外来意义“强加”于本土经验。 2023年《纲要》明确提出“以社会主义核心价值观为引领，用中华优秀传统文化浸润”，这一政策要求为“</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与‘仁’的创造性对接”提供了制度支撑。</w:t>
      </w:r>
    </w:p>
    <w:p w14:paraId="522CDC5F">
      <w:pPr>
        <w:pStyle w:val="4"/>
        <w:bidi w:val="0"/>
        <w:rPr>
          <w:rFonts w:hint="eastAsia"/>
          <w:color w:val="auto"/>
        </w:rPr>
      </w:pPr>
      <w:bookmarkStart w:id="788" w:name="_Toc1100989444"/>
      <w:bookmarkStart w:id="789" w:name="_Toc2128626944"/>
      <w:bookmarkStart w:id="790" w:name="_Toc2084928767"/>
      <w:bookmarkStart w:id="791" w:name="_Toc1362384794"/>
      <w:bookmarkStart w:id="792" w:name="_Toc214315113"/>
      <w:bookmarkStart w:id="793" w:name="_Toc2096332617"/>
      <w:bookmarkStart w:id="794" w:name="_Toc634928837"/>
      <w:bookmarkStart w:id="795" w:name="_Toc1002567806"/>
      <w:bookmarkStart w:id="796" w:name="_Toc354974662"/>
      <w:bookmarkStart w:id="797" w:name="_Toc1899028260"/>
      <w:bookmarkStart w:id="798" w:name="_Toc1563547966"/>
      <w:bookmarkStart w:id="799" w:name="_Toc1046525978"/>
      <w:r>
        <w:rPr>
          <w:rFonts w:hint="eastAsia"/>
          <w:color w:val="auto"/>
          <w:lang w:val="en-US" w:eastAsia="zh-CN"/>
        </w:rPr>
        <w:t>三、</w:t>
      </w:r>
      <w:r>
        <w:rPr>
          <w:rFonts w:hint="eastAsia"/>
          <w:color w:val="auto"/>
        </w:rPr>
        <w:t>浙江神学院神学思想建设的实践引领</w:t>
      </w:r>
      <w:bookmarkEnd w:id="788"/>
      <w:bookmarkEnd w:id="789"/>
      <w:bookmarkEnd w:id="790"/>
      <w:bookmarkEnd w:id="791"/>
      <w:bookmarkEnd w:id="792"/>
      <w:bookmarkEnd w:id="793"/>
      <w:bookmarkEnd w:id="794"/>
      <w:bookmarkEnd w:id="795"/>
      <w:bookmarkEnd w:id="796"/>
      <w:bookmarkEnd w:id="797"/>
      <w:bookmarkEnd w:id="798"/>
      <w:bookmarkEnd w:id="799"/>
    </w:p>
    <w:p w14:paraId="12B1D3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为谁培养人、培养什么人、怎样培养人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三个基本问题开展教育教学工作，推动特色教育多元融合，实行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爱心培养理念、提倡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五能精品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教学、开展课外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生命操守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教育、创建实习实践基地等。</w:t>
      </w:r>
    </w:p>
    <w:p w14:paraId="72297EE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爱心培养理念将知识传授、品格塑造、能力培养、社会实践融为一体，强调神学教育不仅要培养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宗教上有造诣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的人才，更要培养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政治上靠得住、品德上能服众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的复合型人才。这一理念与社会主义核心价值观的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敬业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等公民层面要求高度契合，为教义诠释创新提供了教育机制保障。</w:t>
      </w:r>
    </w:p>
    <w:p w14:paraId="6C08F0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浙江神学院还定期举办神学思想建设研讨会。2019年12月，浙江省基督教两会在浙江神学院举办</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基督教中国化神学思想建设第十九次研讨会暨浙江神学院三十五周年感恩活动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，研讨会以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基督教促进社会主义经济发展作贡献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为主题，探讨了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马太效应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的积极运用、敬业精神的神学基础、社会主要矛盾变化对基督教的考验等议题。</w:t>
      </w:r>
      <w:r>
        <w:rPr>
          <w:rStyle w:val="29"/>
          <w:rFonts w:hint="eastAsia" w:ascii="宋体" w:hAnsi="宋体" w:eastAsia="宋体" w:cs="宋体"/>
          <w:color w:val="auto"/>
          <w:sz w:val="24"/>
          <w:szCs w:val="24"/>
        </w:rPr>
        <w:footnoteReference w:id="83"/>
      </w:r>
      <w:r>
        <w:rPr>
          <w:rFonts w:hint="eastAsia" w:ascii="宋体" w:hAnsi="宋体" w:eastAsia="宋体" w:cs="宋体"/>
          <w:color w:val="auto"/>
          <w:sz w:val="24"/>
          <w:szCs w:val="24"/>
        </w:rPr>
        <w:t xml:space="preserve"> 潘兴旺牧师在开幕致辞中强调，神学思想建设不能仅停留在研讨会上，而且要带到教会讲台，更要带进信徒的社会生活中去，这样才能真正向社会展现出基督教是和谐、包容、和平、仁爱的宗教。</w:t>
      </w:r>
      <w:r>
        <w:rPr>
          <w:rStyle w:val="29"/>
          <w:rFonts w:hint="eastAsia" w:ascii="宋体" w:hAnsi="宋体" w:eastAsia="宋体" w:cs="宋体"/>
          <w:color w:val="auto"/>
          <w:sz w:val="24"/>
          <w:szCs w:val="24"/>
        </w:rPr>
        <w:footnoteReference w:id="84"/>
      </w:r>
    </w:p>
    <w:p w14:paraId="50BCD33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张忠成牧师在研讨会上以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基督教伦理与社会主义核心价值观之刍议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为题发言，直接论证了基督教伦理与核心价值观的契合性。</w:t>
      </w:r>
      <w:r>
        <w:rPr>
          <w:rStyle w:val="29"/>
          <w:rFonts w:hint="eastAsia" w:ascii="宋体" w:hAnsi="宋体" w:eastAsia="宋体" w:cs="宋体"/>
          <w:color w:val="auto"/>
          <w:sz w:val="24"/>
          <w:szCs w:val="24"/>
        </w:rPr>
        <w:footnoteReference w:id="85"/>
      </w:r>
      <w:r>
        <w:rPr>
          <w:rFonts w:hint="eastAsia" w:ascii="宋体" w:hAnsi="宋体" w:eastAsia="宋体" w:cs="宋体"/>
          <w:color w:val="auto"/>
          <w:sz w:val="24"/>
          <w:szCs w:val="24"/>
        </w:rPr>
        <w:t xml:space="preserve"> 这种由宗教界代表人士主动发起的价值对话，比外部强加的政策宣讲更具说服力，是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转化效果的典型体现。</w:t>
      </w:r>
    </w:p>
    <w:p w14:paraId="1A88C95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的概念从教内兄弟拓展到社区同胞乃至全体人民。</w:t>
      </w:r>
    </w:p>
    <w:p w14:paraId="520AF0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信众反复听到从其信任的牧者口中，用信仰的语言阐述为何要爱国守法、邻里互助、诚实劳动时，这些原本可能被视为“世俗要求”的规范，便更容易获得内在认同感。莫幸福的研究指出，坚持宗教中国化方向是新时代宗教工作的重要任务，要推动宗教更好地适应当代中国社会。 莫幸福在其主编的《浙江宗教史》中系统梳理了浙江基督教的发展历程，指出浙江基督教自传入以来就具有与中国文化相融合的传统，当代推进基督教中国化具有深厚的历史基础。 宗教界代表人士作为“双通”人才的核心力量，应当主动承担起教义阐释创新的责任，在保持基本信仰、核心教义的前提下，促进教义教规、管理制度、礼仪习俗、行为规范等方面逐步形成中国特色。</w:t>
      </w:r>
      <w:r>
        <w:rPr>
          <w:rStyle w:val="29"/>
          <w:rFonts w:hint="eastAsia" w:ascii="宋体" w:hAnsi="宋体" w:eastAsia="宋体" w:cs="宋体"/>
          <w:color w:val="auto"/>
          <w:sz w:val="24"/>
          <w:szCs w:val="24"/>
        </w:rPr>
        <w:footnoteReference w:id="86"/>
      </w:r>
    </w:p>
    <w:p w14:paraId="218A2C2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为增强教义阐释的可操作性，本文提供以下讲经讲道示范框架。以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绵羊与山羊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寓言（太25:31-46）为例，传统讲道侧重于末日审判的神学含义，在社会主义核心价值观引领下的处境化诠释中，可将讲道重心转向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给最小的弟兄做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的实践伦理：</w:t>
      </w:r>
      <w:r>
        <w:rPr>
          <w:rFonts w:hint="eastAsia" w:ascii="宋体" w:hAnsi="宋体" w:eastAsia="宋体" w:cs="宋体"/>
          <w:color w:val="auto"/>
          <w:sz w:val="24"/>
          <w:szCs w:val="24"/>
          <w:lang w:val="en-US" w:eastAsia="zh-CN"/>
        </w:rPr>
        <w:t>如讲道</w:t>
      </w:r>
      <w:r>
        <w:rPr>
          <w:rFonts w:hint="eastAsia" w:ascii="宋体" w:hAnsi="宋体" w:eastAsia="宋体" w:cs="宋体"/>
          <w:color w:val="auto"/>
          <w:sz w:val="24"/>
          <w:szCs w:val="24"/>
        </w:rPr>
        <w:t>主题：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价值的信仰实践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采用</w:t>
      </w:r>
      <w:r>
        <w:rPr>
          <w:rFonts w:hint="eastAsia" w:ascii="宋体" w:hAnsi="宋体" w:eastAsia="宋体" w:cs="宋体"/>
          <w:color w:val="auto"/>
          <w:sz w:val="24"/>
          <w:szCs w:val="24"/>
        </w:rPr>
        <w:t>经文：《马太福音》22:37-39</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最大的诫命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第一点</w:t>
      </w:r>
      <w:r>
        <w:rPr>
          <w:rFonts w:hint="eastAsia" w:ascii="宋体" w:hAnsi="宋体" w:eastAsia="宋体" w:cs="宋体"/>
          <w:color w:val="auto"/>
          <w:sz w:val="24"/>
          <w:szCs w:val="24"/>
        </w:rPr>
        <w:t>：爱神与爱国的统一。引用《罗马书》13:1关于顺服权柄的教导，论证在当代中国语境中爱国爱教的一致性——顺服权柄具体化为拥护党的领导和热爱社会主义祖国。可结合浙江神学院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品格塑造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的要求，说明基督徒的爱国情怀是信仰的自然延伸。</w:t>
      </w:r>
      <w:r>
        <w:rPr>
          <w:rFonts w:hint="eastAsia" w:ascii="宋体" w:hAnsi="宋体" w:eastAsia="宋体" w:cs="宋体"/>
          <w:color w:val="auto"/>
          <w:sz w:val="24"/>
          <w:szCs w:val="24"/>
          <w:lang w:val="en-US" w:eastAsia="zh-CN"/>
        </w:rPr>
        <w:t>第二点：</w:t>
      </w:r>
      <w:r>
        <w:rPr>
          <w:rFonts w:hint="eastAsia" w:ascii="宋体" w:hAnsi="宋体" w:eastAsia="宋体" w:cs="宋体"/>
          <w:color w:val="auto"/>
          <w:sz w:val="24"/>
          <w:szCs w:val="24"/>
        </w:rPr>
        <w:t>爱人如己与友善价值的对接。将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与社会主义核心价值观公民层面的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进行对照。引用《论语》中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的忠恕之道，说明基督教之爱与儒家之仁在实践伦理层面的相通性。结合浙江光盐爱心基金会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光盐助学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项目的具体案例，说明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如何在当代转化为对弱势群体的实际关怀。第三</w:t>
      </w:r>
      <w:r>
        <w:rPr>
          <w:rFonts w:hint="eastAsia" w:ascii="宋体" w:hAnsi="宋体" w:eastAsia="宋体" w:cs="宋体"/>
          <w:color w:val="auto"/>
          <w:sz w:val="24"/>
          <w:szCs w:val="24"/>
          <w:lang w:val="en-US" w:eastAsia="zh-CN"/>
        </w:rPr>
        <w:t>点</w:t>
      </w:r>
      <w:r>
        <w:rPr>
          <w:rFonts w:hint="eastAsia" w:ascii="宋体" w:hAnsi="宋体" w:eastAsia="宋体" w:cs="宋体"/>
          <w:color w:val="auto"/>
          <w:sz w:val="24"/>
          <w:szCs w:val="24"/>
        </w:rPr>
        <w:t>：从社区互助到社会和谐。引用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寓言（路10:25-37），论证基督徒参与社区养老、困境儿童帮扶既是践行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，也是实现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价值。结合杭州圣爱康复医院的社区服务实践，说明信仰如何转化为具体的社会服务行动。</w:t>
      </w:r>
    </w:p>
    <w:p w14:paraId="04283793">
      <w:pPr>
        <w:rPr>
          <w:rFonts w:hint="eastAsia"/>
          <w:color w:val="auto"/>
          <w:lang w:val="en-US" w:eastAsia="zh-CN"/>
        </w:rPr>
      </w:pPr>
      <w:bookmarkStart w:id="800" w:name="_Toc664028172"/>
      <w:bookmarkStart w:id="801" w:name="_Toc1445581237"/>
      <w:bookmarkStart w:id="802" w:name="_Toc1066004106"/>
      <w:bookmarkStart w:id="803" w:name="_Toc1610482756"/>
      <w:bookmarkStart w:id="804" w:name="_Toc402721516"/>
      <w:bookmarkStart w:id="805" w:name="_Toc1940759870"/>
      <w:bookmarkStart w:id="806" w:name="_Toc349572868"/>
      <w:bookmarkStart w:id="807" w:name="_Toc1130588444"/>
      <w:bookmarkStart w:id="808" w:name="_Toc907118870"/>
      <w:bookmarkStart w:id="809" w:name="_Toc1000421080"/>
      <w:bookmarkStart w:id="810" w:name="_Toc902972435"/>
      <w:r>
        <w:rPr>
          <w:rFonts w:hint="eastAsia"/>
          <w:color w:val="auto"/>
          <w:lang w:val="en-US" w:eastAsia="zh-CN"/>
        </w:rPr>
        <w:br w:type="page"/>
      </w:r>
    </w:p>
    <w:p w14:paraId="1E9C7281">
      <w:pPr>
        <w:pStyle w:val="3"/>
        <w:bidi w:val="0"/>
        <w:rPr>
          <w:rFonts w:hint="eastAsia"/>
          <w:color w:val="auto"/>
          <w:lang w:val="en-US" w:eastAsia="zh-CN"/>
        </w:rPr>
      </w:pPr>
      <w:bookmarkStart w:id="811" w:name="_Toc1071043316"/>
      <w:r>
        <w:rPr>
          <w:rFonts w:hint="eastAsia"/>
          <w:color w:val="auto"/>
          <w:lang w:val="en-US" w:eastAsia="zh-CN"/>
        </w:rPr>
        <w:t xml:space="preserve">第二节 </w:t>
      </w:r>
      <w:r>
        <w:rPr>
          <w:rFonts w:hint="eastAsia"/>
          <w:color w:val="auto"/>
        </w:rPr>
        <w:t>教育引导维度：</w:t>
      </w:r>
      <w:r>
        <w:rPr>
          <w:rFonts w:hint="eastAsia"/>
          <w:color w:val="auto"/>
          <w:lang w:eastAsia="zh-CN"/>
        </w:rPr>
        <w:t>“</w:t>
      </w:r>
      <w:r>
        <w:rPr>
          <w:rFonts w:hint="eastAsia"/>
          <w:color w:val="auto"/>
        </w:rPr>
        <w:t>润物细无声</w:t>
      </w:r>
      <w:r>
        <w:rPr>
          <w:rFonts w:hint="eastAsia"/>
          <w:color w:val="auto"/>
          <w:lang w:eastAsia="zh-CN"/>
        </w:rPr>
        <w:t>”</w:t>
      </w:r>
      <w:r>
        <w:rPr>
          <w:rFonts w:hint="eastAsia"/>
          <w:color w:val="auto"/>
        </w:rPr>
        <w:t>的价值浸润机制</w:t>
      </w:r>
      <w:bookmarkEnd w:id="800"/>
      <w:bookmarkEnd w:id="801"/>
      <w:bookmarkEnd w:id="802"/>
      <w:bookmarkEnd w:id="803"/>
      <w:bookmarkEnd w:id="804"/>
      <w:bookmarkEnd w:id="805"/>
      <w:bookmarkEnd w:id="806"/>
      <w:bookmarkEnd w:id="807"/>
      <w:bookmarkEnd w:id="808"/>
      <w:bookmarkEnd w:id="809"/>
      <w:bookmarkEnd w:id="810"/>
      <w:bookmarkEnd w:id="811"/>
    </w:p>
    <w:p w14:paraId="17C94084">
      <w:pPr>
        <w:pStyle w:val="4"/>
        <w:bidi w:val="0"/>
        <w:rPr>
          <w:rFonts w:hint="eastAsia"/>
          <w:color w:val="auto"/>
          <w:lang w:val="en-US" w:eastAsia="zh-CN"/>
        </w:rPr>
      </w:pPr>
      <w:bookmarkStart w:id="812" w:name="_Toc2138265343"/>
      <w:bookmarkStart w:id="813" w:name="_Toc2022426268"/>
      <w:bookmarkStart w:id="814" w:name="_Toc1401351748"/>
      <w:bookmarkStart w:id="815" w:name="_Toc1819547715"/>
      <w:bookmarkStart w:id="816" w:name="_Toc1996456992"/>
      <w:bookmarkStart w:id="817" w:name="_Toc499793304"/>
      <w:bookmarkStart w:id="818" w:name="_Toc1427619197"/>
      <w:bookmarkStart w:id="819" w:name="_Toc864669652"/>
      <w:bookmarkStart w:id="820" w:name="_Toc222020807"/>
      <w:bookmarkStart w:id="821" w:name="_Toc1903417931"/>
      <w:bookmarkStart w:id="822" w:name="_Toc960438037"/>
      <w:bookmarkStart w:id="823" w:name="_Toc817082858"/>
      <w:r>
        <w:rPr>
          <w:rFonts w:hint="eastAsia"/>
          <w:color w:val="auto"/>
          <w:lang w:val="en-US" w:eastAsia="zh-CN"/>
        </w:rPr>
        <w:t>一、</w:t>
      </w:r>
      <w:r>
        <w:rPr>
          <w:rFonts w:hint="eastAsia"/>
          <w:color w:val="auto"/>
        </w:rPr>
        <w:t>分层分类的</w:t>
      </w:r>
      <w:r>
        <w:rPr>
          <w:rFonts w:hint="eastAsia"/>
          <w:color w:val="auto"/>
          <w:lang w:eastAsia="zh-CN"/>
        </w:rPr>
        <w:t>“</w:t>
      </w:r>
      <w:r>
        <w:rPr>
          <w:rFonts w:hint="eastAsia"/>
          <w:color w:val="auto"/>
        </w:rPr>
        <w:t>浸润式</w:t>
      </w:r>
      <w:r>
        <w:rPr>
          <w:rFonts w:hint="eastAsia"/>
          <w:color w:val="auto"/>
          <w:lang w:eastAsia="zh-CN"/>
        </w:rPr>
        <w:t>”</w:t>
      </w:r>
      <w:r>
        <w:rPr>
          <w:rFonts w:hint="eastAsia"/>
          <w:color w:val="auto"/>
        </w:rPr>
        <w:t>教育策略</w:t>
      </w:r>
      <w:bookmarkEnd w:id="812"/>
      <w:bookmarkEnd w:id="813"/>
      <w:bookmarkEnd w:id="814"/>
      <w:bookmarkEnd w:id="815"/>
      <w:bookmarkEnd w:id="816"/>
      <w:bookmarkEnd w:id="817"/>
      <w:bookmarkEnd w:id="818"/>
      <w:bookmarkEnd w:id="819"/>
      <w:bookmarkEnd w:id="820"/>
      <w:bookmarkEnd w:id="821"/>
      <w:bookmarkEnd w:id="822"/>
      <w:bookmarkEnd w:id="823"/>
    </w:p>
    <w:p w14:paraId="592599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教义阐释的深化，需要与教育引导相互配合。有效的价值教育，必须考虑受众的文化背景与接受习惯，避免将官方话语生硬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编码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后强加于信众，导致其采取对抗式解码。</w:t>
      </w:r>
    </w:p>
    <w:p w14:paraId="7A8FA6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互助</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的内涵与基督教仁爱观念的世俗化表达自然结合。</w:t>
      </w:r>
    </w:p>
    <w:p w14:paraId="669C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的价值引领艺术——不是强制灌输，而是根据受众特点精准施教，使核心价值观的接纳成为信众的内在自觉而非外在压力。</w:t>
      </w:r>
    </w:p>
    <w:p w14:paraId="2A5EE90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于教职人员和骨干信众，则应开展系统性的神学思想建设培训，邀请宗教学者、传统文化专家进行专题讲座，帮助他们深入理解“五个认同”的神学基础与文化内涵，使其成为价值融合的“种子”和“桥梁”。浙江神学院的“五能精品”教学（能讲、能写、能唱、能弹、能牧）为培养这种复合型骨干人才提供了模式参考。</w:t>
      </w:r>
    </w:p>
    <w:p w14:paraId="6492DD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为增强教育引导的可操作性，</w:t>
      </w:r>
      <w:r>
        <w:rPr>
          <w:rFonts w:hint="eastAsia" w:ascii="宋体" w:hAnsi="宋体" w:eastAsia="宋体" w:cs="宋体"/>
          <w:color w:val="auto"/>
          <w:sz w:val="24"/>
          <w:szCs w:val="24"/>
          <w:lang w:val="en-US" w:eastAsia="zh-CN"/>
        </w:rPr>
        <w:t>可以</w:t>
      </w:r>
      <w:r>
        <w:rPr>
          <w:rFonts w:hint="eastAsia" w:ascii="宋体" w:hAnsi="宋体" w:eastAsia="宋体" w:cs="宋体"/>
          <w:color w:val="auto"/>
          <w:sz w:val="24"/>
          <w:szCs w:val="24"/>
        </w:rPr>
        <w:t>设计以下的课程方案：《基督教仁爱精神与中国文化的对话》</w:t>
      </w:r>
    </w:p>
    <w:p w14:paraId="0DE2BDA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第一讲：从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——两种仁爱传统的相遇（导论）</w:t>
      </w:r>
    </w:p>
    <w:p w14:paraId="5E5900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第二讲：《圣经》中的慈善传统与中国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扶贫济困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w:t>
      </w:r>
    </w:p>
    <w:p w14:paraId="230305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第三讲：浙江基督教本土化历史——从倪柝声到当代三自</w:t>
      </w:r>
    </w:p>
    <w:p w14:paraId="7167CB7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第四讲：儒家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己所不欲，勿施于人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金规则</w:t>
      </w:r>
      <w:r>
        <w:rPr>
          <w:rFonts w:hint="eastAsia" w:ascii="宋体" w:hAnsi="宋体" w:eastAsia="宋体" w:cs="宋体"/>
          <w:color w:val="auto"/>
          <w:sz w:val="24"/>
          <w:szCs w:val="24"/>
          <w:lang w:eastAsia="zh-CN"/>
        </w:rPr>
        <w:t>”</w:t>
      </w:r>
    </w:p>
    <w:p w14:paraId="00262B1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第五讲：公益慈善中的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去标识化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原则——以光盐爱心基金会为例</w:t>
      </w:r>
    </w:p>
    <w:p w14:paraId="3003016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第六讲：基督徒的公民责任与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p>
    <w:p w14:paraId="1728C7D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第七讲：社区服务实践——走进圣爱康复医院</w:t>
      </w:r>
    </w:p>
    <w:p w14:paraId="0D925928">
      <w:pPr>
        <w:pageBreakBefore w:val="0"/>
        <w:kinsoku/>
        <w:wordWrap/>
        <w:overflowPunct/>
        <w:topLinePunct w:val="0"/>
        <w:autoSpaceDE/>
        <w:autoSpaceDN/>
        <w:bidi w:val="0"/>
        <w:adjustRightInd w:val="0"/>
        <w:snapToGrid w:val="0"/>
        <w:spacing w:after="120" w:line="360" w:lineRule="auto"/>
        <w:ind w:left="240" w:leftChars="100" w:firstLine="240" w:firstLineChars="1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第八讲：总结与分享——我如何在日常生活中践行仁爱</w:t>
      </w:r>
    </w:p>
    <w:p w14:paraId="49F5A8E7">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教学方法：采用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经典阅读+案例讨论+实践体验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三位一体模式。每讲安排经典文本细读（《圣经》段落与儒家经典对照），案例分析（浙江本地实践），小组讨论，总结分享。课后安排一次社区服务实践，将课堂所学转化为具体行动。</w:t>
      </w:r>
    </w:p>
    <w:p w14:paraId="0A7D416F">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评估方式：采用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学习心得+实践报告+同伴互评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的综合评估方式，避免考试式的知识检测，注重价值内化与行为转化。</w:t>
      </w:r>
    </w:p>
    <w:p w14:paraId="032EEBCC">
      <w:pPr>
        <w:pStyle w:val="4"/>
        <w:bidi w:val="0"/>
        <w:rPr>
          <w:rFonts w:hint="eastAsia"/>
          <w:color w:val="auto"/>
          <w:lang w:val="en-US" w:eastAsia="zh-CN"/>
        </w:rPr>
      </w:pPr>
      <w:bookmarkStart w:id="824" w:name="_Toc1834270903"/>
      <w:bookmarkStart w:id="825" w:name="_Toc1324608410"/>
      <w:bookmarkStart w:id="826" w:name="_Toc971312725"/>
      <w:bookmarkStart w:id="827" w:name="_Toc1065671987"/>
      <w:bookmarkStart w:id="828" w:name="_Toc1217516911"/>
      <w:bookmarkStart w:id="829" w:name="_Toc1594997007"/>
      <w:bookmarkStart w:id="830" w:name="_Toc161056048"/>
      <w:bookmarkStart w:id="831" w:name="_Toc481001915"/>
      <w:bookmarkStart w:id="832" w:name="_Toc547121560"/>
      <w:bookmarkStart w:id="833" w:name="_Toc20680169"/>
      <w:bookmarkStart w:id="834" w:name="_Toc1828760605"/>
      <w:bookmarkStart w:id="835" w:name="_Toc1701155488"/>
      <w:r>
        <w:rPr>
          <w:rFonts w:hint="eastAsia"/>
          <w:color w:val="auto"/>
          <w:lang w:val="en-US" w:eastAsia="zh-CN"/>
        </w:rPr>
        <w:t>二、</w:t>
      </w:r>
      <w:r>
        <w:rPr>
          <w:rFonts w:hint="eastAsia"/>
          <w:color w:val="auto"/>
        </w:rPr>
        <w:t>面向普通群众的认知科普与话语转换</w:t>
      </w:r>
      <w:bookmarkEnd w:id="824"/>
      <w:bookmarkEnd w:id="825"/>
      <w:bookmarkEnd w:id="826"/>
      <w:bookmarkEnd w:id="827"/>
      <w:bookmarkEnd w:id="828"/>
      <w:bookmarkEnd w:id="829"/>
      <w:bookmarkEnd w:id="830"/>
      <w:bookmarkEnd w:id="831"/>
      <w:bookmarkEnd w:id="832"/>
      <w:bookmarkEnd w:id="833"/>
      <w:bookmarkEnd w:id="834"/>
      <w:bookmarkEnd w:id="835"/>
    </w:p>
    <w:p w14:paraId="489A03B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bidi w:val="0"/>
        <w:rPr>
          <w:rFonts w:hint="eastAsia"/>
          <w:color w:val="auto"/>
          <w:lang w:val="en-US" w:eastAsia="zh-CN"/>
        </w:rPr>
      </w:pPr>
      <w:bookmarkStart w:id="836" w:name="_Toc76331148"/>
      <w:bookmarkStart w:id="837" w:name="_Toc1463314036"/>
      <w:bookmarkStart w:id="838" w:name="_Toc1826733216"/>
      <w:bookmarkStart w:id="839" w:name="_Toc1070738097"/>
      <w:bookmarkStart w:id="840" w:name="_Toc1829768228"/>
      <w:bookmarkStart w:id="841" w:name="_Toc2094566113"/>
      <w:bookmarkStart w:id="842" w:name="_Toc1193532371"/>
      <w:bookmarkStart w:id="843" w:name="_Toc735469529"/>
      <w:bookmarkStart w:id="844" w:name="_Toc1039603516"/>
      <w:bookmarkStart w:id="845" w:name="_Toc1878062068"/>
      <w:bookmarkStart w:id="846" w:name="_Toc1582534561"/>
      <w:bookmarkStart w:id="847" w:name="_Toc1870494305"/>
      <w:r>
        <w:rPr>
          <w:rFonts w:hint="eastAsia"/>
          <w:color w:val="auto"/>
          <w:lang w:val="en-US" w:eastAsia="zh-CN"/>
        </w:rPr>
        <w:t>三、</w:t>
      </w:r>
      <w:r>
        <w:rPr>
          <w:rFonts w:hint="eastAsia"/>
          <w:color w:val="auto"/>
        </w:rPr>
        <w:t>融合型文化载体的创新设计</w:t>
      </w:r>
      <w:bookmarkEnd w:id="836"/>
      <w:bookmarkEnd w:id="837"/>
      <w:bookmarkEnd w:id="838"/>
      <w:bookmarkEnd w:id="839"/>
      <w:bookmarkEnd w:id="840"/>
      <w:bookmarkEnd w:id="841"/>
      <w:bookmarkEnd w:id="842"/>
      <w:bookmarkEnd w:id="843"/>
      <w:bookmarkEnd w:id="844"/>
      <w:bookmarkEnd w:id="845"/>
      <w:bookmarkEnd w:id="846"/>
      <w:bookmarkEnd w:id="847"/>
    </w:p>
    <w:p w14:paraId="46D0C2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融合型文化宣传载体的打造，是连接两个价值体系的有效桥梁。可以策划制作主题公益短片，聚焦社区互助、敬老爱幼等日常生活场景，在展现人物之间的无私关爱时，自然融合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的仁爱精神与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的价值理念，避免教条式说教。</w:t>
      </w:r>
    </w:p>
    <w:p w14:paraId="7C8AEF1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48F59EAC">
      <w:pPr>
        <w:rPr>
          <w:rFonts w:hint="eastAsia"/>
          <w:color w:val="auto"/>
          <w:lang w:val="en-US" w:eastAsia="zh-CN"/>
        </w:rPr>
      </w:pPr>
      <w:bookmarkStart w:id="848" w:name="_Toc936277608"/>
      <w:bookmarkStart w:id="849" w:name="_Toc120501771"/>
      <w:bookmarkStart w:id="850" w:name="_Toc689341420"/>
      <w:bookmarkStart w:id="851" w:name="_Toc2129718066"/>
      <w:bookmarkStart w:id="852" w:name="_Toc1820719567"/>
      <w:bookmarkStart w:id="853" w:name="_Toc849867177"/>
      <w:bookmarkStart w:id="854" w:name="_Toc1478943800"/>
      <w:bookmarkStart w:id="855" w:name="_Toc948782956"/>
      <w:bookmarkStart w:id="856" w:name="_Toc53812770"/>
      <w:bookmarkStart w:id="857" w:name="_Toc1073398632"/>
      <w:bookmarkStart w:id="858" w:name="_Toc874533270"/>
      <w:r>
        <w:rPr>
          <w:rFonts w:hint="eastAsia"/>
          <w:color w:val="auto"/>
          <w:lang w:val="en-US" w:eastAsia="zh-CN"/>
        </w:rPr>
        <w:br w:type="page"/>
      </w:r>
    </w:p>
    <w:p w14:paraId="29651BA0">
      <w:pPr>
        <w:pStyle w:val="3"/>
        <w:bidi w:val="0"/>
        <w:rPr>
          <w:rFonts w:hint="eastAsia"/>
          <w:color w:val="auto"/>
          <w:lang w:val="en-US" w:eastAsia="zh-CN"/>
        </w:rPr>
      </w:pPr>
      <w:bookmarkStart w:id="859" w:name="_Toc384675702"/>
      <w:r>
        <w:rPr>
          <w:rFonts w:hint="eastAsia"/>
          <w:color w:val="auto"/>
          <w:lang w:val="en-US" w:eastAsia="zh-CN"/>
        </w:rPr>
        <w:t xml:space="preserve">第三节 </w:t>
      </w:r>
      <w:r>
        <w:rPr>
          <w:rFonts w:hint="eastAsia"/>
          <w:color w:val="auto"/>
        </w:rPr>
        <w:t>实践转化维度：搭建多元化的仁爱践行平台</w:t>
      </w:r>
      <w:bookmarkEnd w:id="848"/>
      <w:bookmarkEnd w:id="849"/>
      <w:bookmarkEnd w:id="850"/>
      <w:bookmarkEnd w:id="851"/>
      <w:bookmarkEnd w:id="852"/>
      <w:bookmarkEnd w:id="853"/>
      <w:bookmarkEnd w:id="854"/>
      <w:bookmarkEnd w:id="855"/>
      <w:bookmarkEnd w:id="856"/>
      <w:bookmarkEnd w:id="857"/>
      <w:bookmarkEnd w:id="858"/>
      <w:bookmarkEnd w:id="859"/>
    </w:p>
    <w:p w14:paraId="1C546349">
      <w:pPr>
        <w:pStyle w:val="4"/>
        <w:bidi w:val="0"/>
        <w:rPr>
          <w:rFonts w:hint="eastAsia"/>
          <w:color w:val="auto"/>
          <w:lang w:val="en-US" w:eastAsia="zh-CN"/>
        </w:rPr>
      </w:pPr>
      <w:bookmarkStart w:id="860" w:name="_Toc196186076"/>
      <w:bookmarkStart w:id="861" w:name="_Toc1405076087"/>
      <w:bookmarkStart w:id="862" w:name="_Toc2061590713"/>
      <w:bookmarkStart w:id="863" w:name="_Toc803907642"/>
      <w:bookmarkStart w:id="864" w:name="_Toc902588822"/>
      <w:bookmarkStart w:id="865" w:name="_Toc340610003"/>
      <w:bookmarkStart w:id="866" w:name="_Toc1748173224"/>
      <w:bookmarkStart w:id="867" w:name="_Toc1129062517"/>
      <w:bookmarkStart w:id="868" w:name="_Toc1632716222"/>
      <w:bookmarkStart w:id="869" w:name="_Toc86970375"/>
      <w:bookmarkStart w:id="870" w:name="_Toc1339276466"/>
      <w:bookmarkStart w:id="871" w:name="_Toc1318746044"/>
      <w:r>
        <w:rPr>
          <w:rFonts w:hint="eastAsia"/>
          <w:color w:val="auto"/>
          <w:lang w:val="en-US" w:eastAsia="zh-CN"/>
        </w:rPr>
        <w:t>一、</w:t>
      </w:r>
      <w:r>
        <w:rPr>
          <w:rFonts w:hint="eastAsia"/>
          <w:color w:val="auto"/>
        </w:rPr>
        <w:t>浙江光盐爱心基金会的</w:t>
      </w:r>
      <w:r>
        <w:rPr>
          <w:rFonts w:hint="eastAsia"/>
          <w:color w:val="auto"/>
          <w:lang w:eastAsia="zh-CN"/>
        </w:rPr>
        <w:t>“</w:t>
      </w:r>
      <w:r>
        <w:rPr>
          <w:rFonts w:hint="eastAsia"/>
          <w:color w:val="auto"/>
        </w:rPr>
        <w:t>去标识化</w:t>
      </w:r>
      <w:r>
        <w:rPr>
          <w:rFonts w:hint="eastAsia"/>
          <w:color w:val="auto"/>
          <w:lang w:eastAsia="zh-CN"/>
        </w:rPr>
        <w:t>”</w:t>
      </w:r>
      <w:r>
        <w:rPr>
          <w:rFonts w:hint="eastAsia"/>
          <w:color w:val="auto"/>
        </w:rPr>
        <w:t>公益实践</w:t>
      </w:r>
      <w:bookmarkEnd w:id="860"/>
      <w:bookmarkEnd w:id="861"/>
      <w:bookmarkEnd w:id="862"/>
      <w:bookmarkEnd w:id="863"/>
      <w:bookmarkEnd w:id="864"/>
      <w:bookmarkEnd w:id="865"/>
      <w:bookmarkEnd w:id="866"/>
      <w:bookmarkEnd w:id="867"/>
      <w:bookmarkEnd w:id="868"/>
      <w:bookmarkEnd w:id="869"/>
      <w:bookmarkEnd w:id="870"/>
      <w:bookmarkEnd w:id="871"/>
    </w:p>
    <w:p w14:paraId="3E0FE1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Fonts w:hint="eastAsia" w:ascii="宋体" w:hAnsi="宋体" w:eastAsia="宋体" w:cs="宋体"/>
          <w:color w:val="auto"/>
          <w:sz w:val="24"/>
          <w:szCs w:val="24"/>
        </w:rPr>
        <w:footnoteReference w:id="87"/>
      </w:r>
      <w:r>
        <w:rPr>
          <w:rFonts w:hint="eastAsia" w:ascii="宋体" w:hAnsi="宋体" w:eastAsia="宋体" w:cs="宋体"/>
          <w:color w:val="auto"/>
          <w:sz w:val="24"/>
          <w:szCs w:val="24"/>
        </w:rPr>
        <w:t xml:space="preserve"> 基金会的使命是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热爱生命、扶贫济困，同蒙福祉、共享主恩、荣神益人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，其运作方式完全遵循社会公益组织的规范，在对外宣传中不突出宗教标识，而是以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光盐爱心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这一具有中华文化意蕴的品牌名称开展活动。</w:t>
      </w:r>
    </w:p>
    <w:p w14:paraId="77685DD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各地已有经验来看，基督教团体参与公益慈善最可持续的方式，是将其纳入地方公益服务的整体统筹，而非作为独立宗教活动开展。本人所在的台州市椒江基督教堂以普通社会组织身份参与社区养老、助学服务，且不在活动现场展示宗教标识时，其服务更容易获得社区认可，也避免了“以慈善传教”的合规风险。</w:t>
      </w:r>
    </w:p>
    <w:p w14:paraId="336CEDE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光盐爱心基金会的运作模式体现了“去标识化”与“价值化”的有机统一。基金会开展的“光盐助学”项目，资助贫困地区学生完成学业，在资助过程中不询问受助者宗教信仰，不附加任何宗教条件，纯粹以公益慈善为唯一目标。这种模式既践行了基督教“爱人如己”的仁爱精神，又体现了社会主义核心价值观“友善”“公正”的价值导向，实现了宗教信仰与公民责任的有机统一。</w:t>
      </w:r>
    </w:p>
    <w:p w14:paraId="47C9D6AA">
      <w:pPr>
        <w:pStyle w:val="4"/>
        <w:bidi w:val="0"/>
        <w:rPr>
          <w:rFonts w:hint="eastAsia"/>
          <w:color w:val="auto"/>
          <w:lang w:val="en-US" w:eastAsia="zh-CN"/>
        </w:rPr>
      </w:pPr>
      <w:bookmarkStart w:id="872" w:name="_Toc1383611797"/>
      <w:bookmarkStart w:id="873" w:name="_Toc1456115817"/>
      <w:bookmarkStart w:id="874" w:name="_Toc1653952693"/>
      <w:bookmarkStart w:id="875" w:name="_Toc515501788"/>
      <w:bookmarkStart w:id="876" w:name="_Toc911981187"/>
      <w:bookmarkStart w:id="877" w:name="_Toc1443459855"/>
      <w:bookmarkStart w:id="878" w:name="_Toc2133332593"/>
      <w:bookmarkStart w:id="879" w:name="_Toc988218327"/>
      <w:bookmarkStart w:id="880" w:name="_Toc1588401166"/>
      <w:bookmarkStart w:id="881" w:name="_Toc1823601161"/>
      <w:bookmarkStart w:id="882" w:name="_Toc1422212665"/>
      <w:bookmarkStart w:id="883" w:name="_Toc2133524468"/>
      <w:r>
        <w:rPr>
          <w:rFonts w:hint="eastAsia"/>
          <w:color w:val="auto"/>
          <w:lang w:val="en-US" w:eastAsia="zh-CN"/>
        </w:rPr>
        <w:t>二、</w:t>
      </w:r>
      <w:r>
        <w:rPr>
          <w:rFonts w:hint="eastAsia"/>
          <w:color w:val="auto"/>
        </w:rPr>
        <w:t>杭州圣爱康复医院的社区服务融入模式</w:t>
      </w:r>
      <w:bookmarkEnd w:id="872"/>
      <w:bookmarkEnd w:id="873"/>
      <w:bookmarkEnd w:id="874"/>
      <w:bookmarkEnd w:id="875"/>
      <w:bookmarkEnd w:id="876"/>
      <w:bookmarkEnd w:id="877"/>
      <w:bookmarkEnd w:id="878"/>
      <w:bookmarkEnd w:id="879"/>
      <w:bookmarkEnd w:id="880"/>
      <w:bookmarkEnd w:id="881"/>
      <w:bookmarkEnd w:id="882"/>
      <w:bookmarkEnd w:id="883"/>
    </w:p>
    <w:p w14:paraId="2B22601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杭州圣爱康复医院成立于2006年，是杭州市基督教协会为回应社会需求、践行仁爱精神而创办的非营利性医疗机构。医院以“圣爱”命名，既体现基督教“神圣之爱”的神学内涵，又契合中华文化“医者仁心”的传统美德，在品牌命名上实现了“第三空间”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这种模式下，信众在日常的公共服务参与中完成价值融合的落地，不需要刻意设计特殊的融合活动。运行一段时间后，信众往往能够切实感受到核心价值观中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的要求与自身信仰追求的一致性，社区非信众的认可度也会逐步提升。这种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去宗教化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呈现与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内核的实践模式，正是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转化效果的生动体现——信众在不知不觉中完成了从宗教慈善到公共服务的逻辑转换，实现了宗教信仰与公民责任的有机统一。</w:t>
      </w:r>
    </w:p>
    <w:p w14:paraId="7CB428E5">
      <w:pPr>
        <w:pStyle w:val="4"/>
        <w:bidi w:val="0"/>
        <w:rPr>
          <w:rFonts w:hint="eastAsia"/>
          <w:color w:val="auto"/>
          <w:lang w:val="en-US" w:eastAsia="zh-CN"/>
        </w:rPr>
      </w:pPr>
      <w:bookmarkStart w:id="884" w:name="_Toc107022826"/>
      <w:bookmarkStart w:id="885" w:name="_Toc1089518918"/>
      <w:bookmarkStart w:id="886" w:name="_Toc1410542463"/>
      <w:bookmarkStart w:id="887" w:name="_Toc346895991"/>
      <w:bookmarkStart w:id="888" w:name="_Toc889181105"/>
      <w:bookmarkStart w:id="889" w:name="_Toc1077021270"/>
      <w:bookmarkStart w:id="890" w:name="_Toc378102943"/>
      <w:bookmarkStart w:id="891" w:name="_Toc1635269545"/>
      <w:bookmarkStart w:id="892" w:name="_Toc533920239"/>
      <w:bookmarkStart w:id="893" w:name="_Toc954584483"/>
      <w:bookmarkStart w:id="894" w:name="_Toc214895107"/>
      <w:bookmarkStart w:id="895" w:name="_Toc1611279717"/>
      <w:r>
        <w:rPr>
          <w:rFonts w:hint="eastAsia"/>
          <w:color w:val="auto"/>
          <w:lang w:val="en-US" w:eastAsia="zh-CN"/>
        </w:rPr>
        <w:t>三、</w:t>
      </w:r>
      <w:r>
        <w:rPr>
          <w:rFonts w:hint="eastAsia"/>
          <w:color w:val="auto"/>
        </w:rPr>
        <w:t>融合型文化活动品牌的打造与</w:t>
      </w:r>
      <w:r>
        <w:rPr>
          <w:rFonts w:hint="eastAsia"/>
          <w:color w:val="auto"/>
          <w:lang w:eastAsia="zh-CN"/>
        </w:rPr>
        <w:t>“</w:t>
      </w:r>
      <w:r>
        <w:rPr>
          <w:rFonts w:hint="eastAsia"/>
          <w:color w:val="auto"/>
        </w:rPr>
        <w:t>价值化</w:t>
      </w:r>
      <w:r>
        <w:rPr>
          <w:rFonts w:hint="eastAsia"/>
          <w:color w:val="auto"/>
          <w:lang w:eastAsia="zh-CN"/>
        </w:rPr>
        <w:t>”</w:t>
      </w:r>
      <w:r>
        <w:rPr>
          <w:rFonts w:hint="eastAsia"/>
          <w:color w:val="auto"/>
        </w:rPr>
        <w:t>内核</w:t>
      </w:r>
      <w:bookmarkEnd w:id="884"/>
      <w:bookmarkEnd w:id="885"/>
      <w:bookmarkEnd w:id="886"/>
      <w:bookmarkEnd w:id="887"/>
      <w:bookmarkEnd w:id="888"/>
      <w:bookmarkEnd w:id="889"/>
      <w:bookmarkEnd w:id="890"/>
      <w:bookmarkEnd w:id="891"/>
      <w:bookmarkEnd w:id="892"/>
      <w:bookmarkEnd w:id="893"/>
      <w:bookmarkEnd w:id="894"/>
      <w:bookmarkEnd w:id="895"/>
    </w:p>
    <w:p w14:paraId="41CE2F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文化活动层面，支持宗教界与基层政府、社区联合举办各类融合型文化活动，有助于在宽松日常化的场景中促进群体互动。例如举办“邻里节”活动，围绕社区环境美化、敬老爱幼、家庭联谊等主题展开，基督教信众将其教义中倡导的“爱人如己”具体化为帮助邻居、探望老人、参与社区清洁等行动，与核心价值观倡导的“友善”“和谐”高度契合。</w:t>
      </w:r>
    </w:p>
    <w:p w14:paraId="2FF6DD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去宗教化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呈现与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的要求看，这类文化活动特别有助于增进对中华文化的认同。习近平总书记强调，要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植根中华五千年文明，推动我国宗教同中华优秀传统文化相融合，引导宗教界人士和信教群众增强中华文化认同感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8"/>
      </w:r>
      <w:r>
        <w:rPr>
          <w:rFonts w:hint="eastAsia" w:ascii="宋体" w:hAnsi="宋体" w:eastAsia="宋体" w:cs="宋体"/>
          <w:color w:val="auto"/>
          <w:sz w:val="24"/>
          <w:szCs w:val="24"/>
        </w:rPr>
        <w:t xml:space="preserve"> 通过让信众在文化体验中感受中华文化的博大精深，能够自然生发出对中华文化的认同与热爱，进而深化对伟大祖国、中华民族的认同。</w:t>
      </w:r>
    </w:p>
    <w:p w14:paraId="53302280">
      <w:pPr>
        <w:rPr>
          <w:rFonts w:hint="eastAsia"/>
          <w:color w:val="auto"/>
          <w:lang w:val="en-US" w:eastAsia="zh-CN"/>
        </w:rPr>
      </w:pPr>
      <w:bookmarkStart w:id="896" w:name="_Toc1998562691"/>
      <w:bookmarkStart w:id="897" w:name="_Toc1288824043"/>
      <w:bookmarkStart w:id="898" w:name="_Toc2010302779"/>
      <w:bookmarkStart w:id="899" w:name="_Toc1822052742"/>
      <w:bookmarkStart w:id="900" w:name="_Toc479528509"/>
      <w:bookmarkStart w:id="901" w:name="_Toc2098880504"/>
      <w:bookmarkStart w:id="902" w:name="_Toc356824327"/>
      <w:bookmarkStart w:id="903" w:name="_Toc372051528"/>
      <w:bookmarkStart w:id="904" w:name="_Toc1410779707"/>
      <w:bookmarkStart w:id="905" w:name="_Toc128132262"/>
      <w:bookmarkStart w:id="906" w:name="_Toc915196408"/>
      <w:r>
        <w:rPr>
          <w:rFonts w:hint="eastAsia"/>
          <w:color w:val="auto"/>
          <w:lang w:val="en-US" w:eastAsia="zh-CN"/>
        </w:rPr>
        <w:br w:type="page"/>
      </w:r>
    </w:p>
    <w:p w14:paraId="58F5760C">
      <w:pPr>
        <w:pStyle w:val="3"/>
        <w:bidi w:val="0"/>
        <w:rPr>
          <w:rFonts w:hint="eastAsia"/>
          <w:color w:val="auto"/>
          <w:lang w:val="en-US" w:eastAsia="zh-CN"/>
        </w:rPr>
      </w:pPr>
      <w:bookmarkStart w:id="907" w:name="_Toc1009414949"/>
      <w:r>
        <w:rPr>
          <w:rFonts w:hint="eastAsia"/>
          <w:color w:val="auto"/>
          <w:lang w:val="en-US" w:eastAsia="zh-CN"/>
        </w:rPr>
        <w:t xml:space="preserve">第四节 </w:t>
      </w:r>
      <w:r>
        <w:rPr>
          <w:rFonts w:hint="eastAsia"/>
          <w:color w:val="auto"/>
        </w:rPr>
        <w:t>制度保障维度：完善融合的政策支持与监管机制</w:t>
      </w:r>
      <w:bookmarkEnd w:id="896"/>
      <w:bookmarkEnd w:id="897"/>
      <w:bookmarkEnd w:id="898"/>
      <w:bookmarkEnd w:id="899"/>
      <w:bookmarkEnd w:id="900"/>
      <w:bookmarkEnd w:id="901"/>
      <w:bookmarkEnd w:id="902"/>
      <w:bookmarkEnd w:id="903"/>
      <w:bookmarkEnd w:id="904"/>
      <w:bookmarkEnd w:id="905"/>
      <w:bookmarkEnd w:id="906"/>
      <w:bookmarkEnd w:id="907"/>
    </w:p>
    <w:p w14:paraId="49D3A763">
      <w:pPr>
        <w:pStyle w:val="4"/>
        <w:bidi w:val="0"/>
        <w:rPr>
          <w:rFonts w:hint="eastAsia"/>
          <w:color w:val="auto"/>
          <w:lang w:val="en-US" w:eastAsia="zh-CN"/>
        </w:rPr>
      </w:pPr>
      <w:bookmarkStart w:id="908" w:name="_Toc123628574"/>
      <w:bookmarkStart w:id="909" w:name="_Toc607589022"/>
      <w:bookmarkStart w:id="910" w:name="_Toc1745134679"/>
      <w:bookmarkStart w:id="911" w:name="_Toc2077007219"/>
      <w:bookmarkStart w:id="912" w:name="_Toc1051424910"/>
      <w:bookmarkStart w:id="913" w:name="_Toc1318245106"/>
      <w:bookmarkStart w:id="914" w:name="_Toc1372121465"/>
      <w:bookmarkStart w:id="915" w:name="_Toc1428149442"/>
      <w:bookmarkStart w:id="916" w:name="_Toc1745627059"/>
      <w:bookmarkStart w:id="917" w:name="_Toc1740313140"/>
      <w:bookmarkStart w:id="918" w:name="_Toc798588402"/>
      <w:bookmarkStart w:id="919" w:name="_Toc116236543"/>
      <w:r>
        <w:rPr>
          <w:rFonts w:hint="eastAsia"/>
          <w:color w:val="auto"/>
          <w:lang w:val="en-US" w:eastAsia="zh-CN"/>
        </w:rPr>
        <w:t>一、</w:t>
      </w:r>
      <w:r>
        <w:rPr>
          <w:rFonts w:hint="eastAsia"/>
          <w:color w:val="auto"/>
        </w:rPr>
        <w:t>专项政策文件的制定与边界划定</w:t>
      </w:r>
      <w:bookmarkEnd w:id="908"/>
      <w:bookmarkEnd w:id="909"/>
      <w:bookmarkEnd w:id="910"/>
      <w:bookmarkEnd w:id="911"/>
      <w:bookmarkEnd w:id="912"/>
      <w:bookmarkEnd w:id="913"/>
      <w:bookmarkEnd w:id="914"/>
      <w:bookmarkEnd w:id="915"/>
      <w:bookmarkEnd w:id="916"/>
      <w:bookmarkEnd w:id="917"/>
      <w:bookmarkEnd w:id="918"/>
      <w:bookmarkEnd w:id="919"/>
    </w:p>
    <w:p w14:paraId="0934C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此外，应配套相应的支持政策，对符合评估标准的基督教公益慈善项目，给予与其他社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bidi w:val="0"/>
        <w:rPr>
          <w:rFonts w:hint="eastAsia"/>
          <w:color w:val="auto"/>
          <w:lang w:val="en-US" w:eastAsia="zh-CN"/>
        </w:rPr>
      </w:pPr>
      <w:bookmarkStart w:id="920" w:name="_Toc1208756569"/>
      <w:bookmarkStart w:id="921" w:name="_Toc102478664"/>
      <w:bookmarkStart w:id="922" w:name="_Toc715671840"/>
      <w:bookmarkStart w:id="923" w:name="_Toc482949175"/>
      <w:bookmarkStart w:id="924" w:name="_Toc156710443"/>
      <w:bookmarkStart w:id="925" w:name="_Toc146899227"/>
      <w:bookmarkStart w:id="926" w:name="_Toc1803014854"/>
      <w:bookmarkStart w:id="927" w:name="_Toc463951269"/>
      <w:bookmarkStart w:id="928" w:name="_Toc1979878946"/>
      <w:bookmarkStart w:id="929" w:name="_Toc913647748"/>
      <w:bookmarkStart w:id="930" w:name="_Toc1566060769"/>
      <w:bookmarkStart w:id="931" w:name="_Toc1524943078"/>
      <w:r>
        <w:rPr>
          <w:rFonts w:hint="eastAsia"/>
          <w:color w:val="auto"/>
          <w:lang w:val="en-US" w:eastAsia="zh-CN"/>
        </w:rPr>
        <w:t>二、</w:t>
      </w:r>
      <w:r>
        <w:rPr>
          <w:rFonts w:hint="eastAsia"/>
          <w:color w:val="auto"/>
        </w:rPr>
        <w:t>全流程监督评估机制的建立</w:t>
      </w:r>
      <w:bookmarkEnd w:id="920"/>
      <w:bookmarkEnd w:id="921"/>
      <w:bookmarkEnd w:id="922"/>
      <w:bookmarkEnd w:id="923"/>
      <w:bookmarkEnd w:id="924"/>
      <w:bookmarkEnd w:id="925"/>
      <w:bookmarkEnd w:id="926"/>
      <w:bookmarkEnd w:id="927"/>
      <w:bookmarkEnd w:id="928"/>
      <w:bookmarkEnd w:id="929"/>
      <w:bookmarkEnd w:id="930"/>
      <w:bookmarkEnd w:id="931"/>
    </w:p>
    <w:p w14:paraId="72404E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评估报告应向社会公开关键结论，接受社会监督。对于评估中发现的问题，如打着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融合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旗号进行违规传教、刻意强化宗教边界、追求商业噱头的功利化活动，应建立明确的纠正与处置程序，与现有宗教事务管理法规有效衔接，通过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评估—反馈—纠正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的闭环管理，防止融合工作跑偏变质。</w:t>
      </w:r>
    </w:p>
    <w:p w14:paraId="46105E8E">
      <w:pPr>
        <w:rPr>
          <w:color w:val="auto"/>
        </w:rPr>
      </w:pPr>
      <w:r>
        <w:rPr>
          <w:color w:val="auto"/>
        </w:rPr>
        <w:t>为增强融合实践效果的可测量性，本文建议构建以下量化评估指标体系：</w:t>
      </w:r>
    </w:p>
    <w:p w14:paraId="0610778B">
      <w:pPr>
        <w:pStyle w:val="5"/>
        <w:keepNext/>
        <w:keepLines/>
        <w:pageBreakBefore w:val="0"/>
        <w:widowControl w:val="0"/>
        <w:numPr>
          <w:ilvl w:val="0"/>
          <w:numId w:val="1"/>
        </w:numPr>
        <w:kinsoku/>
        <w:wordWrap/>
        <w:overflowPunct/>
        <w:topLinePunct w:val="0"/>
        <w:autoSpaceDE/>
        <w:autoSpaceDN/>
        <w:bidi w:val="0"/>
        <w:adjustRightInd w:val="0"/>
        <w:snapToGrid w:val="0"/>
        <w:textAlignment w:val="auto"/>
        <w:rPr>
          <w:b/>
          <w:bCs w:val="0"/>
          <w:color w:val="auto"/>
        </w:rPr>
      </w:pPr>
      <w:bookmarkStart w:id="932" w:name="_Toc128908361"/>
      <w:bookmarkStart w:id="933" w:name="_Toc1476597786"/>
      <w:bookmarkStart w:id="934" w:name="_Toc1223766951"/>
      <w:bookmarkStart w:id="935" w:name="_Toc1648468648"/>
      <w:r>
        <w:rPr>
          <w:b/>
          <w:bCs w:val="0"/>
          <w:color w:val="auto"/>
        </w:rPr>
        <w:t>信众价值认同度评估。</w:t>
      </w:r>
      <w:bookmarkEnd w:id="932"/>
      <w:bookmarkEnd w:id="933"/>
      <w:bookmarkEnd w:id="934"/>
      <w:bookmarkEnd w:id="935"/>
    </w:p>
    <w:p w14:paraId="0EA58985">
      <w:pPr>
        <w:numPr>
          <w:ilvl w:val="0"/>
          <w:numId w:val="0"/>
        </w:numPr>
        <w:ind w:firstLine="480" w:firstLineChars="200"/>
        <w:rPr>
          <w:color w:val="auto"/>
        </w:rPr>
      </w:pPr>
      <w:r>
        <w:rPr>
          <w:color w:val="auto"/>
        </w:rPr>
        <w:t>采用问卷调查法，围绕</w:t>
      </w:r>
      <w:r>
        <w:rPr>
          <w:rFonts w:hint="eastAsia"/>
          <w:color w:val="auto"/>
          <w:lang w:eastAsia="zh-CN"/>
        </w:rPr>
        <w:t>“</w:t>
      </w:r>
      <w:r>
        <w:rPr>
          <w:color w:val="auto"/>
        </w:rPr>
        <w:t>五个认同</w:t>
      </w:r>
      <w:r>
        <w:rPr>
          <w:rFonts w:hint="eastAsia"/>
          <w:color w:val="auto"/>
          <w:lang w:eastAsia="zh-CN"/>
        </w:rPr>
        <w:t>”</w:t>
      </w:r>
      <w:r>
        <w:rPr>
          <w:color w:val="auto"/>
        </w:rPr>
        <w:t>设计20个题项（Likert五级量表），每年度对参与融合活动的信众进行前后测对比。核心指标包括：对社会主义核心价值观公民层面内容的知晓率（目标≥85%）、对</w:t>
      </w:r>
      <w:r>
        <w:rPr>
          <w:rFonts w:hint="eastAsia"/>
          <w:color w:val="auto"/>
          <w:lang w:eastAsia="zh-CN"/>
        </w:rPr>
        <w:t>“</w:t>
      </w:r>
      <w:r>
        <w:rPr>
          <w:color w:val="auto"/>
        </w:rPr>
        <w:t>五个认同</w:t>
      </w:r>
      <w:r>
        <w:rPr>
          <w:rFonts w:hint="eastAsia"/>
          <w:color w:val="auto"/>
          <w:lang w:eastAsia="zh-CN"/>
        </w:rPr>
        <w:t>”</w:t>
      </w:r>
      <w:r>
        <w:rPr>
          <w:color w:val="auto"/>
        </w:rPr>
        <w:t>内涵的理解度评分（目标均值≥4.0/5.0）、参与社区志愿服务的意愿提升幅度（目标提升≥15%）。</w:t>
      </w:r>
    </w:p>
    <w:p w14:paraId="072815B8">
      <w:pPr>
        <w:pStyle w:val="5"/>
        <w:numPr>
          <w:ilvl w:val="0"/>
          <w:numId w:val="1"/>
        </w:numPr>
        <w:bidi w:val="0"/>
        <w:rPr>
          <w:b/>
          <w:bCs w:val="0"/>
          <w:color w:val="auto"/>
        </w:rPr>
      </w:pPr>
      <w:bookmarkStart w:id="936" w:name="_Toc1400258138"/>
      <w:bookmarkStart w:id="937" w:name="_Toc857964570"/>
      <w:bookmarkStart w:id="938" w:name="_Toc1899307151"/>
      <w:bookmarkStart w:id="939" w:name="_Toc1126036989"/>
      <w:r>
        <w:rPr>
          <w:b/>
          <w:bCs w:val="0"/>
          <w:color w:val="auto"/>
        </w:rPr>
        <w:t>公益活动社会影响评估。</w:t>
      </w:r>
      <w:bookmarkEnd w:id="936"/>
      <w:bookmarkEnd w:id="937"/>
      <w:bookmarkEnd w:id="938"/>
      <w:bookmarkEnd w:id="939"/>
    </w:p>
    <w:p w14:paraId="7AF96804">
      <w:pPr>
        <w:numPr>
          <w:ilvl w:val="0"/>
          <w:numId w:val="0"/>
        </w:numPr>
        <w:ind w:firstLine="480" w:firstLineChars="200"/>
        <w:rPr>
          <w:color w:val="auto"/>
        </w:rPr>
      </w:pPr>
      <w:r>
        <w:rPr>
          <w:color w:val="auto"/>
        </w:rPr>
        <w:t>采用第三方评估方式，从三个维度进行量化考核：覆盖群众数量（年度目标≥500人次）、受助者满意度评分（目标均值≥4.2/5.0）、社区非信众接受度调查（目标正面评价占比≥70%）。</w:t>
      </w:r>
    </w:p>
    <w:p w14:paraId="59F94603">
      <w:pPr>
        <w:pStyle w:val="5"/>
        <w:numPr>
          <w:ilvl w:val="0"/>
          <w:numId w:val="1"/>
        </w:numPr>
        <w:bidi w:val="0"/>
        <w:rPr>
          <w:b/>
          <w:bCs w:val="0"/>
          <w:color w:val="auto"/>
        </w:rPr>
      </w:pPr>
      <w:bookmarkStart w:id="940" w:name="_Toc2012721540"/>
      <w:bookmarkStart w:id="941" w:name="_Toc1605322032"/>
      <w:bookmarkStart w:id="942" w:name="_Toc1458357849"/>
      <w:bookmarkStart w:id="943" w:name="_Toc1677776759"/>
      <w:r>
        <w:rPr>
          <w:b/>
          <w:bCs w:val="0"/>
          <w:color w:val="auto"/>
        </w:rPr>
        <w:t>教义阐释质量评估。</w:t>
      </w:r>
      <w:bookmarkEnd w:id="940"/>
      <w:bookmarkEnd w:id="941"/>
      <w:bookmarkEnd w:id="942"/>
      <w:bookmarkEnd w:id="943"/>
    </w:p>
    <w:p w14:paraId="1C16535C">
      <w:pPr>
        <w:numPr>
          <w:ilvl w:val="0"/>
          <w:numId w:val="0"/>
        </w:numPr>
        <w:ind w:firstLine="480" w:firstLineChars="200"/>
        <w:rPr>
          <w:color w:val="auto"/>
        </w:rPr>
      </w:pPr>
      <w:r>
        <w:rPr>
          <w:color w:val="auto"/>
        </w:rPr>
        <w:t>由宗教事务管理部门牵头，联合宗教学者组成专家评审组，对讲经讲道内容进行年度抽检评估。评估标准包括：社会主义核心价值观融入的自然度（是否避免生硬说教）、中华优秀传统文化引用准确度、信众反馈积极性。抽检合格率目标≥90%。</w:t>
      </w:r>
    </w:p>
    <w:p w14:paraId="15F594B1">
      <w:pPr>
        <w:pStyle w:val="4"/>
        <w:bidi w:val="0"/>
        <w:rPr>
          <w:rFonts w:hint="eastAsia"/>
          <w:color w:val="auto"/>
          <w:lang w:val="en-US" w:eastAsia="zh-CN"/>
        </w:rPr>
      </w:pPr>
      <w:bookmarkStart w:id="944" w:name="_Toc1017464279"/>
      <w:bookmarkStart w:id="945" w:name="_Toc115855826"/>
      <w:bookmarkStart w:id="946" w:name="_Toc77020954"/>
      <w:bookmarkStart w:id="947" w:name="_Toc376354563"/>
      <w:bookmarkStart w:id="948" w:name="_Toc566335157"/>
      <w:bookmarkStart w:id="949" w:name="_Toc1389504932"/>
      <w:bookmarkStart w:id="950" w:name="_Toc1169624586"/>
      <w:bookmarkStart w:id="951" w:name="_Toc1810334563"/>
      <w:bookmarkStart w:id="952" w:name="_Toc1586082212"/>
      <w:bookmarkStart w:id="953" w:name="_Toc240708033"/>
      <w:bookmarkStart w:id="954" w:name="_Toc648515236"/>
      <w:bookmarkStart w:id="955" w:name="_Toc1933703403"/>
      <w:r>
        <w:rPr>
          <w:rFonts w:hint="eastAsia"/>
          <w:color w:val="auto"/>
          <w:lang w:val="en-US" w:eastAsia="zh-CN"/>
        </w:rPr>
        <w:t>三、</w:t>
      </w:r>
      <w:r>
        <w:rPr>
          <w:rFonts w:hint="eastAsia"/>
          <w:color w:val="auto"/>
        </w:rPr>
        <w:t>基层宗教工作队伍的分层培训体系</w:t>
      </w:r>
      <w:bookmarkEnd w:id="944"/>
      <w:bookmarkEnd w:id="945"/>
      <w:bookmarkEnd w:id="946"/>
      <w:bookmarkEnd w:id="947"/>
      <w:bookmarkEnd w:id="948"/>
      <w:bookmarkEnd w:id="949"/>
      <w:bookmarkEnd w:id="950"/>
      <w:bookmarkEnd w:id="951"/>
      <w:bookmarkEnd w:id="952"/>
      <w:bookmarkEnd w:id="953"/>
      <w:bookmarkEnd w:id="954"/>
      <w:bookmarkEnd w:id="955"/>
    </w:p>
    <w:p w14:paraId="0DEBA52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习近平总书记强调，要培养一支政治上靠得住、宗教上有造诣、品德上能服众、关键时起作用的宗教界代表人士队伍，把新时代信教群众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联系好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9"/>
      </w:r>
      <w:r>
        <w:rPr>
          <w:rFonts w:hint="eastAsia" w:ascii="宋体" w:hAnsi="宋体" w:eastAsia="宋体" w:cs="宋体"/>
          <w:color w:val="auto"/>
          <w:sz w:val="24"/>
          <w:szCs w:val="24"/>
        </w:rPr>
        <w:t xml:space="preserve"> 同时，也要培养一支精通马克思主义宗教观、熟悉宗教工作、善于做信教群众工作的党政干部队伍。</w:t>
      </w:r>
      <w:r>
        <w:rPr>
          <w:rStyle w:val="29"/>
          <w:rFonts w:hint="eastAsia" w:ascii="宋体" w:hAnsi="宋体" w:eastAsia="宋体" w:cs="宋体"/>
          <w:color w:val="auto"/>
          <w:sz w:val="24"/>
          <w:szCs w:val="24"/>
        </w:rPr>
        <w:footnoteReference w:id="90"/>
      </w:r>
      <w:r>
        <w:rPr>
          <w:rFonts w:hint="eastAsia" w:ascii="宋体" w:hAnsi="宋体" w:eastAsia="宋体" w:cs="宋体"/>
          <w:color w:val="auto"/>
          <w:sz w:val="24"/>
          <w:szCs w:val="24"/>
        </w:rPr>
        <w:t xml:space="preserve"> 这两支队伍的协同建设，是融合工作取得实效的组织保障。</w:t>
      </w:r>
    </w:p>
    <w:p w14:paraId="144A0FBF">
      <w:pPr>
        <w:pStyle w:val="4"/>
        <w:bidi w:val="0"/>
        <w:rPr>
          <w:color w:val="auto"/>
        </w:rPr>
      </w:pPr>
      <w:bookmarkStart w:id="956" w:name="_Toc1116062927"/>
      <w:bookmarkStart w:id="957" w:name="_Toc1672214646"/>
      <w:bookmarkStart w:id="958" w:name="_Toc1568683400"/>
      <w:bookmarkStart w:id="959" w:name="_Toc744689645"/>
      <w:bookmarkStart w:id="960" w:name="_Toc1883064170"/>
      <w:r>
        <w:rPr>
          <w:color w:val="auto"/>
        </w:rPr>
        <w:t>四、</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价值的制度性融入路径</w:t>
      </w:r>
      <w:bookmarkEnd w:id="956"/>
      <w:bookmarkEnd w:id="957"/>
      <w:bookmarkEnd w:id="958"/>
      <w:bookmarkEnd w:id="959"/>
      <w:bookmarkEnd w:id="960"/>
    </w:p>
    <w:p w14:paraId="3AE34192">
      <w:pPr>
        <w:rPr>
          <w:color w:val="auto"/>
        </w:rPr>
      </w:pPr>
      <w:r>
        <w:rPr>
          <w:color w:val="auto"/>
        </w:rPr>
        <w:t>针对前文梳理的</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价值在融合实践中被边缘化的问题，本文提出以下制度性融入路径：</w:t>
      </w:r>
    </w:p>
    <w:p w14:paraId="756B1FEA">
      <w:pPr>
        <w:pStyle w:val="5"/>
        <w:numPr>
          <w:ilvl w:val="0"/>
          <w:numId w:val="2"/>
        </w:numPr>
        <w:bidi w:val="0"/>
        <w:rPr>
          <w:color w:val="auto"/>
        </w:rPr>
      </w:pPr>
      <w:bookmarkStart w:id="961" w:name="_Toc793067033"/>
      <w:bookmarkStart w:id="962" w:name="_Toc464168799"/>
      <w:bookmarkStart w:id="963" w:name="_Toc1547441191"/>
      <w:bookmarkStart w:id="964" w:name="_Toc1192999351"/>
      <w:r>
        <w:rPr>
          <w:color w:val="auto"/>
        </w:rPr>
        <w:t>推动基督教团体参与社会公平正义建设。</w:t>
      </w:r>
      <w:bookmarkEnd w:id="961"/>
      <w:bookmarkEnd w:id="962"/>
      <w:bookmarkEnd w:id="963"/>
      <w:bookmarkEnd w:id="964"/>
    </w:p>
    <w:p w14:paraId="4BF9EDBA">
      <w:pPr>
        <w:numPr>
          <w:ilvl w:val="0"/>
          <w:numId w:val="0"/>
        </w:numPr>
        <w:ind w:firstLine="480" w:firstLineChars="200"/>
        <w:rPr>
          <w:color w:val="auto"/>
        </w:rPr>
      </w:pPr>
      <w:r>
        <w:rPr>
          <w:color w:val="auto"/>
        </w:rPr>
        <w:t>引导基督教界从单纯的</w:t>
      </w:r>
      <w:r>
        <w:rPr>
          <w:rFonts w:hint="eastAsia"/>
          <w:color w:val="auto"/>
          <w:lang w:eastAsia="zh-CN"/>
        </w:rPr>
        <w:t>“</w:t>
      </w:r>
      <w:r>
        <w:rPr>
          <w:color w:val="auto"/>
        </w:rPr>
        <w:t>慈善救济</w:t>
      </w:r>
      <w:r>
        <w:rPr>
          <w:rFonts w:hint="eastAsia"/>
          <w:color w:val="auto"/>
          <w:lang w:eastAsia="zh-CN"/>
        </w:rPr>
        <w:t>”</w:t>
      </w:r>
      <w:r>
        <w:rPr>
          <w:color w:val="auto"/>
        </w:rPr>
        <w:t>模式转向</w:t>
      </w:r>
      <w:r>
        <w:rPr>
          <w:rFonts w:hint="eastAsia"/>
          <w:color w:val="auto"/>
          <w:lang w:eastAsia="zh-CN"/>
        </w:rPr>
        <w:t>“</w:t>
      </w:r>
      <w:r>
        <w:rPr>
          <w:color w:val="auto"/>
        </w:rPr>
        <w:t>制度关怀</w:t>
      </w:r>
      <w:r>
        <w:rPr>
          <w:rFonts w:hint="eastAsia"/>
          <w:color w:val="auto"/>
          <w:lang w:eastAsia="zh-CN"/>
        </w:rPr>
        <w:t>”</w:t>
      </w:r>
      <w:r>
        <w:rPr>
          <w:color w:val="auto"/>
        </w:rPr>
        <w:t>模式，鼓励教会组织信众参与法律援助、权益维护、反歧视倡导等结构性公益行动。例如，可联合司法行政机关设立</w:t>
      </w:r>
      <w:r>
        <w:rPr>
          <w:rFonts w:hint="eastAsia"/>
          <w:color w:val="auto"/>
          <w:lang w:eastAsia="zh-CN"/>
        </w:rPr>
        <w:t>“</w:t>
      </w:r>
      <w:r>
        <w:rPr>
          <w:color w:val="auto"/>
        </w:rPr>
        <w:t>基督教法律援助志愿服务站</w:t>
      </w:r>
      <w:r>
        <w:rPr>
          <w:rFonts w:hint="eastAsia"/>
          <w:color w:val="auto"/>
          <w:lang w:eastAsia="zh-CN"/>
        </w:rPr>
        <w:t>”</w:t>
      </w:r>
      <w:r>
        <w:rPr>
          <w:color w:val="auto"/>
        </w:rPr>
        <w:t>，为弱势群体提供免费法律咨询和权益保障服务，体现基督教</w:t>
      </w:r>
      <w:r>
        <w:rPr>
          <w:rFonts w:hint="eastAsia"/>
          <w:color w:val="auto"/>
          <w:lang w:eastAsia="zh-CN"/>
        </w:rPr>
        <w:t>“</w:t>
      </w:r>
      <w:r>
        <w:rPr>
          <w:color w:val="auto"/>
        </w:rPr>
        <w:t>行公义</w:t>
      </w:r>
      <w:r>
        <w:rPr>
          <w:rFonts w:hint="eastAsia"/>
          <w:color w:val="auto"/>
          <w:lang w:eastAsia="zh-CN"/>
        </w:rPr>
        <w:t>”</w:t>
      </w:r>
      <w:r>
        <w:rPr>
          <w:color w:val="auto"/>
        </w:rPr>
        <w:t>传统与社会主义核心价值观</w:t>
      </w:r>
      <w:r>
        <w:rPr>
          <w:rFonts w:hint="eastAsia"/>
          <w:color w:val="auto"/>
          <w:lang w:eastAsia="zh-CN"/>
        </w:rPr>
        <w:t>“</w:t>
      </w:r>
      <w:r>
        <w:rPr>
          <w:color w:val="auto"/>
        </w:rPr>
        <w:t>公正</w:t>
      </w:r>
      <w:r>
        <w:rPr>
          <w:rFonts w:hint="eastAsia"/>
          <w:color w:val="auto"/>
          <w:lang w:eastAsia="zh-CN"/>
        </w:rPr>
        <w:t>”</w:t>
      </w:r>
      <w:r>
        <w:rPr>
          <w:color w:val="auto"/>
        </w:rPr>
        <w:t>理念的制度性对接。</w:t>
      </w:r>
    </w:p>
    <w:p w14:paraId="08315985">
      <w:pPr>
        <w:pStyle w:val="5"/>
        <w:numPr>
          <w:ilvl w:val="0"/>
          <w:numId w:val="2"/>
        </w:numPr>
        <w:bidi w:val="0"/>
        <w:rPr>
          <w:color w:val="auto"/>
        </w:rPr>
      </w:pPr>
      <w:bookmarkStart w:id="965" w:name="_Toc1794110349"/>
      <w:bookmarkStart w:id="966" w:name="_Toc1624398889"/>
      <w:bookmarkStart w:id="967" w:name="_Toc1817131967"/>
      <w:bookmarkStart w:id="968" w:name="_Toc1832763865"/>
      <w:r>
        <w:rPr>
          <w:color w:val="auto"/>
        </w:rPr>
        <w:t>建立公益项目的机会平等评估机制。</w:t>
      </w:r>
      <w:bookmarkEnd w:id="965"/>
      <w:bookmarkEnd w:id="966"/>
      <w:bookmarkEnd w:id="967"/>
      <w:bookmarkEnd w:id="968"/>
    </w:p>
    <w:p w14:paraId="0FDD201E">
      <w:pPr>
        <w:numPr>
          <w:ilvl w:val="0"/>
          <w:numId w:val="0"/>
        </w:numPr>
        <w:ind w:firstLine="480" w:firstLineChars="200"/>
        <w:rPr>
          <w:color w:val="auto"/>
        </w:rPr>
      </w:pPr>
      <w:r>
        <w:rPr>
          <w:color w:val="auto"/>
        </w:rPr>
        <w:t>在公益项目时，增加</w:t>
      </w:r>
      <w:r>
        <w:rPr>
          <w:rFonts w:hint="eastAsia"/>
          <w:color w:val="auto"/>
          <w:lang w:eastAsia="zh-CN"/>
        </w:rPr>
        <w:t>“</w:t>
      </w:r>
      <w:r>
        <w:rPr>
          <w:color w:val="auto"/>
        </w:rPr>
        <w:t>机会平等</w:t>
      </w:r>
      <w:r>
        <w:rPr>
          <w:rFonts w:hint="eastAsia"/>
          <w:color w:val="auto"/>
          <w:lang w:eastAsia="zh-CN"/>
        </w:rPr>
        <w:t>”</w:t>
      </w:r>
      <w:r>
        <w:rPr>
          <w:color w:val="auto"/>
        </w:rPr>
        <w:t>维度的评估指标：受助对象的选择是否排除了身份、地域、信仰等歧视性条件；项目执行是否保障了受助者的知情权和参与权；项目成果是否促进了受助者的能力建设而非单纯的物质救济。通过这一机制，将基督教</w:t>
      </w:r>
      <w:r>
        <w:rPr>
          <w:rFonts w:hint="eastAsia"/>
          <w:color w:val="auto"/>
          <w:lang w:eastAsia="zh-CN"/>
        </w:rPr>
        <w:t>“</w:t>
      </w:r>
      <w:r>
        <w:rPr>
          <w:color w:val="auto"/>
        </w:rPr>
        <w:t>人人平等</w:t>
      </w:r>
      <w:r>
        <w:rPr>
          <w:rFonts w:hint="eastAsia"/>
          <w:color w:val="auto"/>
          <w:lang w:eastAsia="zh-CN"/>
        </w:rPr>
        <w:t>”</w:t>
      </w:r>
      <w:r>
        <w:rPr>
          <w:color w:val="auto"/>
        </w:rPr>
        <w:t>的神学人类学转化为可操作的制度安排。</w:t>
      </w:r>
    </w:p>
    <w:p w14:paraId="1393B5AE">
      <w:pPr>
        <w:pStyle w:val="5"/>
        <w:numPr>
          <w:ilvl w:val="0"/>
          <w:numId w:val="2"/>
        </w:numPr>
        <w:bidi w:val="0"/>
        <w:rPr>
          <w:color w:val="auto"/>
        </w:rPr>
      </w:pPr>
      <w:bookmarkStart w:id="969" w:name="_Toc1172025382"/>
      <w:bookmarkStart w:id="970" w:name="_Toc312523112"/>
      <w:bookmarkStart w:id="971" w:name="_Toc794748116"/>
      <w:bookmarkStart w:id="972" w:name="_Toc1904330134"/>
      <w:r>
        <w:rPr>
          <w:color w:val="auto"/>
        </w:rPr>
        <w:t>强化基层宗教工作队伍的</w:t>
      </w:r>
      <w:r>
        <w:rPr>
          <w:rFonts w:hint="eastAsia"/>
          <w:color w:val="auto"/>
          <w:lang w:eastAsia="zh-CN"/>
        </w:rPr>
        <w:t>“</w:t>
      </w:r>
      <w:r>
        <w:rPr>
          <w:color w:val="auto"/>
        </w:rPr>
        <w:t>公正</w:t>
      </w:r>
      <w:r>
        <w:rPr>
          <w:rFonts w:hint="eastAsia"/>
          <w:color w:val="auto"/>
          <w:lang w:eastAsia="zh-CN"/>
        </w:rPr>
        <w:t>”</w:t>
      </w:r>
      <w:r>
        <w:rPr>
          <w:color w:val="auto"/>
        </w:rPr>
        <w:t>意识培训。</w:t>
      </w:r>
      <w:bookmarkEnd w:id="969"/>
      <w:bookmarkEnd w:id="970"/>
      <w:bookmarkEnd w:id="971"/>
      <w:bookmarkEnd w:id="972"/>
    </w:p>
    <w:p w14:paraId="4C0958D8">
      <w:pPr>
        <w:numPr>
          <w:ilvl w:val="0"/>
          <w:numId w:val="0"/>
        </w:numPr>
        <w:ind w:firstLine="480" w:firstLineChars="200"/>
        <w:rPr>
          <w:color w:val="auto"/>
        </w:rPr>
      </w:pPr>
      <w:r>
        <w:rPr>
          <w:color w:val="auto"/>
        </w:rPr>
        <w:t>在前文所述分层培训体系中，增加</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价值专题模块，帮助基层宗教工作干部理解：基督教仁爱实践不仅限于个人道德层面的</w:t>
      </w:r>
      <w:r>
        <w:rPr>
          <w:rFonts w:hint="eastAsia"/>
          <w:color w:val="auto"/>
          <w:lang w:eastAsia="zh-CN"/>
        </w:rPr>
        <w:t>“</w:t>
      </w:r>
      <w:r>
        <w:rPr>
          <w:color w:val="auto"/>
        </w:rPr>
        <w:t>友善</w:t>
      </w:r>
      <w:r>
        <w:rPr>
          <w:rFonts w:hint="eastAsia"/>
          <w:color w:val="auto"/>
          <w:lang w:eastAsia="zh-CN"/>
        </w:rPr>
        <w:t>”</w:t>
      </w:r>
      <w:r>
        <w:rPr>
          <w:color w:val="auto"/>
        </w:rPr>
        <w:t>，更应上升到社会制度层面的</w:t>
      </w:r>
      <w:r>
        <w:rPr>
          <w:rFonts w:hint="eastAsia"/>
          <w:color w:val="auto"/>
          <w:lang w:eastAsia="zh-CN"/>
        </w:rPr>
        <w:t>“</w:t>
      </w:r>
      <w:r>
        <w:rPr>
          <w:color w:val="auto"/>
        </w:rPr>
        <w:t>公正</w:t>
      </w:r>
      <w:r>
        <w:rPr>
          <w:rFonts w:hint="eastAsia"/>
          <w:color w:val="auto"/>
          <w:lang w:eastAsia="zh-CN"/>
        </w:rPr>
        <w:t>”</w:t>
      </w:r>
      <w:r>
        <w:rPr>
          <w:color w:val="auto"/>
        </w:rPr>
        <w:t>；宗教中国化不仅是文化适应，更是基督教在社会主义制度框架内发挥促进社会公平正义的积极作用。</w:t>
      </w:r>
    </w:p>
    <w:p w14:paraId="578AC93B">
      <w:pPr>
        <w:rPr>
          <w:color w:val="auto"/>
        </w:rPr>
      </w:pPr>
      <w:r>
        <w:rPr>
          <w:color w:val="auto"/>
        </w:rPr>
        <w:br w:type="page"/>
      </w:r>
    </w:p>
    <w:p w14:paraId="30A8E5F8">
      <w:pPr>
        <w:pStyle w:val="2"/>
        <w:bidi w:val="0"/>
        <w:rPr>
          <w:rFonts w:hint="eastAsia"/>
          <w:color w:val="auto"/>
          <w:lang w:val="en-US" w:eastAsia="zh-CN"/>
        </w:rPr>
      </w:pPr>
      <w:bookmarkStart w:id="973" w:name="_Toc109856092"/>
      <w:bookmarkStart w:id="974" w:name="_Toc1962595911"/>
      <w:bookmarkStart w:id="975" w:name="_Toc2130784919"/>
      <w:bookmarkStart w:id="976" w:name="_Toc569226873"/>
      <w:bookmarkStart w:id="977" w:name="_Toc1051799926"/>
      <w:bookmarkStart w:id="978" w:name="_Toc1706018384"/>
      <w:bookmarkStart w:id="979" w:name="_Toc1868203330"/>
      <w:bookmarkStart w:id="980" w:name="_Toc1978426469"/>
      <w:bookmarkStart w:id="981" w:name="_Toc1510584990"/>
      <w:bookmarkStart w:id="982" w:name="_Toc205169581"/>
      <w:bookmarkStart w:id="983" w:name="_Toc747460195"/>
      <w:bookmarkStart w:id="984" w:name="_Toc2127770897"/>
      <w:r>
        <w:rPr>
          <w:rFonts w:hint="eastAsia"/>
          <w:color w:val="auto"/>
          <w:lang w:val="en-US" w:eastAsia="zh-CN"/>
        </w:rPr>
        <w:t>六、</w:t>
      </w:r>
      <w:r>
        <w:rPr>
          <w:rFonts w:hint="eastAsia"/>
          <w:color w:val="auto"/>
        </w:rPr>
        <w:t>结论与展望</w:t>
      </w:r>
      <w:bookmarkEnd w:id="973"/>
      <w:bookmarkEnd w:id="974"/>
      <w:bookmarkEnd w:id="975"/>
      <w:bookmarkEnd w:id="976"/>
      <w:bookmarkEnd w:id="977"/>
      <w:bookmarkEnd w:id="978"/>
      <w:bookmarkEnd w:id="979"/>
      <w:bookmarkEnd w:id="980"/>
      <w:bookmarkEnd w:id="981"/>
      <w:bookmarkEnd w:id="982"/>
      <w:bookmarkEnd w:id="983"/>
      <w:bookmarkEnd w:id="984"/>
    </w:p>
    <w:p w14:paraId="4167AA10">
      <w:pPr>
        <w:pStyle w:val="3"/>
        <w:bidi w:val="0"/>
        <w:rPr>
          <w:rFonts w:hint="eastAsia"/>
          <w:color w:val="auto"/>
          <w:lang w:val="en-US" w:eastAsia="zh-CN"/>
        </w:rPr>
      </w:pPr>
      <w:bookmarkStart w:id="985" w:name="_Toc658257"/>
      <w:bookmarkStart w:id="986" w:name="_Toc664836261"/>
      <w:bookmarkStart w:id="987" w:name="_Toc1931646062"/>
      <w:bookmarkStart w:id="988" w:name="_Toc850252096"/>
      <w:bookmarkStart w:id="989" w:name="_Toc1996808791"/>
      <w:bookmarkStart w:id="990" w:name="_Toc1663457825"/>
      <w:bookmarkStart w:id="991" w:name="_Toc1924357982"/>
      <w:bookmarkStart w:id="992" w:name="_Toc1662885471"/>
      <w:bookmarkStart w:id="993" w:name="_Toc2103890773"/>
      <w:bookmarkStart w:id="994" w:name="_Toc1573894432"/>
      <w:bookmarkStart w:id="995" w:name="_Toc534964523"/>
      <w:bookmarkStart w:id="996" w:name="_Toc1547776035"/>
      <w:r>
        <w:rPr>
          <w:rFonts w:hint="eastAsia"/>
          <w:color w:val="auto"/>
          <w:lang w:val="en-US" w:eastAsia="zh-CN"/>
        </w:rPr>
        <w:t xml:space="preserve">第一节 </w:t>
      </w:r>
      <w:r>
        <w:rPr>
          <w:rFonts w:hint="eastAsia"/>
          <w:color w:val="auto"/>
        </w:rPr>
        <w:t>研究结论</w:t>
      </w:r>
      <w:bookmarkEnd w:id="985"/>
      <w:bookmarkEnd w:id="986"/>
      <w:bookmarkEnd w:id="987"/>
      <w:bookmarkEnd w:id="988"/>
      <w:bookmarkEnd w:id="989"/>
      <w:bookmarkEnd w:id="990"/>
      <w:bookmarkEnd w:id="991"/>
      <w:bookmarkEnd w:id="992"/>
      <w:bookmarkEnd w:id="993"/>
      <w:bookmarkEnd w:id="994"/>
      <w:bookmarkEnd w:id="995"/>
      <w:bookmarkEnd w:id="996"/>
    </w:p>
    <w:p w14:paraId="2A703418">
      <w:pPr>
        <w:pStyle w:val="4"/>
        <w:bidi w:val="0"/>
        <w:rPr>
          <w:rFonts w:hint="eastAsia"/>
          <w:color w:val="auto"/>
          <w:lang w:val="en-US" w:eastAsia="zh-CN"/>
        </w:rPr>
      </w:pPr>
      <w:bookmarkStart w:id="997" w:name="_Toc1665072335"/>
      <w:bookmarkStart w:id="998" w:name="_Toc763929039"/>
      <w:bookmarkStart w:id="999" w:name="_Toc1638398668"/>
      <w:bookmarkStart w:id="1000" w:name="_Toc1773973956"/>
      <w:bookmarkStart w:id="1001" w:name="_Toc1793548129"/>
      <w:bookmarkStart w:id="1002" w:name="_Toc325907164"/>
      <w:bookmarkStart w:id="1003" w:name="_Toc545623286"/>
      <w:bookmarkStart w:id="1004" w:name="_Toc1580879654"/>
      <w:bookmarkStart w:id="1005" w:name="_Toc830790334"/>
      <w:bookmarkStart w:id="1006" w:name="_Toc1887638525"/>
      <w:bookmarkStart w:id="1007" w:name="_Toc1782191719"/>
      <w:bookmarkStart w:id="1008" w:name="_Toc1002404134"/>
      <w:r>
        <w:rPr>
          <w:rFonts w:hint="eastAsia"/>
          <w:color w:val="auto"/>
          <w:lang w:val="en-US" w:eastAsia="zh-CN"/>
        </w:rPr>
        <w:t>一、</w:t>
      </w:r>
      <w:r>
        <w:rPr>
          <w:rFonts w:hint="eastAsia"/>
          <w:color w:val="auto"/>
        </w:rPr>
        <w:t>融合的核心论断梳理</w:t>
      </w:r>
      <w:bookmarkEnd w:id="997"/>
      <w:bookmarkEnd w:id="998"/>
      <w:bookmarkEnd w:id="999"/>
      <w:bookmarkEnd w:id="1000"/>
      <w:bookmarkEnd w:id="1001"/>
      <w:bookmarkEnd w:id="1002"/>
      <w:bookmarkEnd w:id="1003"/>
      <w:bookmarkEnd w:id="1004"/>
      <w:bookmarkEnd w:id="1005"/>
      <w:bookmarkEnd w:id="1006"/>
      <w:bookmarkEnd w:id="1007"/>
      <w:bookmarkEnd w:id="1008"/>
    </w:p>
    <w:p w14:paraId="3BB0235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本文通过系统的文献梳理、历史比较与案例分析，以中国特色社会主义宗教理论中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坚持宗教中国化方向、引导宗教与社会主义社会相适应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的核心论断为理论基础，以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为政治框架，以文化翻译理论、交叠共识理论与处境化神学理论为分析工具，梳理得出三个层面的核心判断。</w:t>
      </w:r>
    </w:p>
    <w:p w14:paraId="105C5F6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的核心逻辑、公民层面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的价值准则不存在本质冲突。多地基督教信众自发参与的助学、养老帮扶等实践，就是这一共通性的直观体现。</w:t>
      </w:r>
    </w:p>
    <w:p w14:paraId="144709C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最后在文化内核层面，基督教中国化进程中已经主动吸纳了儒家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bidi w:val="0"/>
        <w:rPr>
          <w:rFonts w:hint="eastAsia"/>
          <w:color w:val="auto"/>
          <w:lang w:val="en-US" w:eastAsia="zh-CN"/>
        </w:rPr>
      </w:pPr>
      <w:bookmarkStart w:id="1009" w:name="_Toc1176664094"/>
      <w:bookmarkStart w:id="1010" w:name="_Toc764772544"/>
      <w:bookmarkStart w:id="1011" w:name="_Toc194312877"/>
      <w:bookmarkStart w:id="1012" w:name="_Toc1664807191"/>
      <w:bookmarkStart w:id="1013" w:name="_Toc1698116707"/>
      <w:bookmarkStart w:id="1014" w:name="_Toc1531091242"/>
      <w:bookmarkStart w:id="1015" w:name="_Toc535395112"/>
      <w:bookmarkStart w:id="1016" w:name="_Toc1011330288"/>
      <w:bookmarkStart w:id="1017" w:name="_Toc1438405498"/>
      <w:bookmarkStart w:id="1018" w:name="_Toc2082934811"/>
      <w:bookmarkStart w:id="1019" w:name="_Toc154470744"/>
      <w:bookmarkStart w:id="1020" w:name="_Toc397069423"/>
      <w:r>
        <w:rPr>
          <w:rFonts w:hint="eastAsia"/>
          <w:color w:val="auto"/>
          <w:lang w:val="en-US" w:eastAsia="zh-CN"/>
        </w:rPr>
        <w:t>二、</w:t>
      </w:r>
      <w:r>
        <w:rPr>
          <w:rFonts w:hint="eastAsia"/>
          <w:color w:val="auto"/>
        </w:rPr>
        <w:t>融合路径的核心创新点</w:t>
      </w:r>
      <w:bookmarkEnd w:id="1009"/>
      <w:bookmarkEnd w:id="1010"/>
      <w:bookmarkEnd w:id="1011"/>
      <w:bookmarkEnd w:id="1012"/>
      <w:bookmarkEnd w:id="1013"/>
      <w:bookmarkEnd w:id="1014"/>
      <w:bookmarkEnd w:id="1015"/>
      <w:bookmarkEnd w:id="1016"/>
      <w:bookmarkEnd w:id="1017"/>
      <w:bookmarkEnd w:id="1018"/>
      <w:bookmarkEnd w:id="1019"/>
      <w:bookmarkEnd w:id="1020"/>
    </w:p>
    <w:p w14:paraId="643CE3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本文提出的融合路径，核心在于从教义阐释、教育引导、实践转化与制度保障四个层面协同推进，而非依赖单一维度的突破。</w:t>
      </w:r>
    </w:p>
    <w:p w14:paraId="1C1F3E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在教义阐释维度，本文创新性地提出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方案，构建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的差序推扩逻辑与基督教Agape的普遍主义进行辩证统一。基于浙江神学院神学思想建设的实践，本文论证了宗教界代表人士主动发起价值对话的重要性，这种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的阐释方式比外部强加的政策宣讲更具说服力。</w:t>
      </w:r>
    </w:p>
    <w:p w14:paraId="76B519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在教育引导方面，本文注重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的分层分类方法，针对不同年龄、文化程度的信众设计差异化的教育内容。对中老年信众，通过身边的道德模范案例讲解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实践转化维度的关键在于搭建多元化的践行平台，将基督教的仁爱实践与社区服务、公益慈善等具体活动结合起来。本文基于浙江光盐爱心基金会、杭州圣爱康复医院等真实案例，论证了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去标识化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公益实践与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社区融入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模式的可行性与有效性。支持教会以普通社会组织身份参与社会服务，在践行仁爱精神的同时直观感受核心价值观的现实意义。</w:t>
      </w:r>
    </w:p>
    <w:p w14:paraId="0057C3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制度保障方面，本文强调构建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评估—反馈—纠正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的闭环管理机制，包括制定融合工作的具体标准，建立活动成效的评估体系，同时加强基层宗教工作队伍的培训，提升其引导能力。这种系统化的制度设计，为融合工作的有序推进提供了可靠保障。</w:t>
      </w:r>
    </w:p>
    <w:p w14:paraId="5202C9AD">
      <w:pPr>
        <w:rPr>
          <w:rFonts w:hint="eastAsia"/>
          <w:color w:val="auto"/>
          <w:lang w:val="en-US" w:eastAsia="zh-CN"/>
        </w:rPr>
      </w:pPr>
      <w:bookmarkStart w:id="1021" w:name="_Toc1057790607"/>
      <w:bookmarkStart w:id="1022" w:name="_Toc1901445940"/>
      <w:bookmarkStart w:id="1023" w:name="_Toc2029548832"/>
      <w:bookmarkStart w:id="1024" w:name="_Toc842519713"/>
      <w:bookmarkStart w:id="1025" w:name="_Toc1641380299"/>
      <w:bookmarkStart w:id="1026" w:name="_Toc1754438730"/>
      <w:bookmarkStart w:id="1027" w:name="_Toc850022374"/>
      <w:bookmarkStart w:id="1028" w:name="_Toc189825919"/>
      <w:bookmarkStart w:id="1029" w:name="_Toc95084411"/>
      <w:bookmarkStart w:id="1030" w:name="_Toc16522635"/>
      <w:bookmarkStart w:id="1031" w:name="_Toc429166454"/>
      <w:r>
        <w:rPr>
          <w:rFonts w:hint="eastAsia"/>
          <w:color w:val="auto"/>
          <w:lang w:val="en-US" w:eastAsia="zh-CN"/>
        </w:rPr>
        <w:br w:type="page"/>
      </w:r>
    </w:p>
    <w:p w14:paraId="53D1C915">
      <w:pPr>
        <w:pStyle w:val="3"/>
        <w:bidi w:val="0"/>
        <w:rPr>
          <w:rFonts w:hint="eastAsia"/>
          <w:color w:val="auto"/>
          <w:lang w:val="en-US" w:eastAsia="zh-CN"/>
        </w:rPr>
      </w:pPr>
      <w:bookmarkStart w:id="1032" w:name="_Toc1314101132"/>
      <w:r>
        <w:rPr>
          <w:rFonts w:hint="eastAsia"/>
          <w:color w:val="auto"/>
          <w:lang w:val="en-US" w:eastAsia="zh-CN"/>
        </w:rPr>
        <w:t xml:space="preserve">第二节 </w:t>
      </w:r>
      <w:r>
        <w:rPr>
          <w:rFonts w:hint="eastAsia"/>
          <w:color w:val="auto"/>
        </w:rPr>
        <w:t>研究不足与展望</w:t>
      </w:r>
      <w:bookmarkEnd w:id="1021"/>
      <w:bookmarkEnd w:id="1022"/>
      <w:bookmarkEnd w:id="1023"/>
      <w:bookmarkEnd w:id="1024"/>
      <w:bookmarkEnd w:id="1025"/>
      <w:bookmarkEnd w:id="1026"/>
      <w:bookmarkEnd w:id="1027"/>
      <w:bookmarkEnd w:id="1028"/>
      <w:bookmarkEnd w:id="1029"/>
      <w:bookmarkEnd w:id="1030"/>
      <w:bookmarkEnd w:id="1031"/>
      <w:bookmarkEnd w:id="1032"/>
    </w:p>
    <w:p w14:paraId="0DDB00A0">
      <w:pPr>
        <w:pStyle w:val="4"/>
        <w:bidi w:val="0"/>
        <w:rPr>
          <w:rFonts w:hint="eastAsia"/>
          <w:color w:val="auto"/>
          <w:lang w:val="en-US" w:eastAsia="zh-CN"/>
        </w:rPr>
      </w:pPr>
      <w:bookmarkStart w:id="1033" w:name="_Toc1869131720"/>
      <w:bookmarkStart w:id="1034" w:name="_Toc355862309"/>
      <w:bookmarkStart w:id="1035" w:name="_Toc2144454123"/>
      <w:bookmarkStart w:id="1036" w:name="_Toc1264819974"/>
      <w:bookmarkStart w:id="1037" w:name="_Toc1391004838"/>
      <w:bookmarkStart w:id="1038" w:name="_Toc1417101983"/>
      <w:bookmarkStart w:id="1039" w:name="_Toc670535982"/>
      <w:bookmarkStart w:id="1040" w:name="_Toc897762573"/>
      <w:bookmarkStart w:id="1041" w:name="_Toc103755931"/>
      <w:bookmarkStart w:id="1042" w:name="_Toc1901261800"/>
      <w:bookmarkStart w:id="1043" w:name="_Toc1750505752"/>
      <w:bookmarkStart w:id="1044" w:name="_Toc1375899776"/>
      <w:r>
        <w:rPr>
          <w:rFonts w:hint="eastAsia"/>
          <w:color w:val="auto"/>
          <w:lang w:val="en-US" w:eastAsia="zh-CN"/>
        </w:rPr>
        <w:t>一、</w:t>
      </w:r>
      <w:r>
        <w:rPr>
          <w:rFonts w:hint="eastAsia"/>
          <w:color w:val="auto"/>
        </w:rPr>
        <w:t>当前研究的局限性分析</w:t>
      </w:r>
      <w:bookmarkEnd w:id="1033"/>
      <w:bookmarkEnd w:id="1034"/>
      <w:bookmarkEnd w:id="1035"/>
      <w:bookmarkEnd w:id="1036"/>
      <w:bookmarkEnd w:id="1037"/>
      <w:bookmarkEnd w:id="1038"/>
      <w:bookmarkEnd w:id="1039"/>
      <w:bookmarkEnd w:id="1040"/>
      <w:bookmarkEnd w:id="1041"/>
      <w:bookmarkEnd w:id="1042"/>
      <w:bookmarkEnd w:id="1043"/>
      <w:bookmarkEnd w:id="1044"/>
    </w:p>
    <w:p w14:paraId="5DED91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本文在探讨基督教仁爱观念与社会主义核心价值观的融合途径时，虽然力求系统与深入，但不可避免地存在一些局限性。</w:t>
      </w:r>
    </w:p>
    <w:p w14:paraId="72187BF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5925AE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上述局限，修改已在以下方面做出改进：第一，在教义阐释部分补充了《圣经》原典与儒家经典的对照细读，增强了理论论证的文本基础；第二，在实践路径部分增加了讲经讲道示范框架、课程方案和基层宗教工作队伍培训方案，提升了可操作性；第三，在制度保障部分补充了融合实践操作方案汇总表。未来研究仍需在田野调查、量化数据收集和跨区域比较方面进一步深化。</w:t>
      </w:r>
    </w:p>
    <w:p w14:paraId="719D01F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bidi w:val="0"/>
        <w:rPr>
          <w:rFonts w:hint="eastAsia"/>
          <w:color w:val="auto"/>
          <w:lang w:val="en-US" w:eastAsia="zh-CN"/>
        </w:rPr>
      </w:pPr>
      <w:bookmarkStart w:id="1045" w:name="_Toc1851553665"/>
      <w:bookmarkStart w:id="1046" w:name="_Toc1639383051"/>
      <w:bookmarkStart w:id="1047" w:name="_Toc69210953"/>
      <w:bookmarkStart w:id="1048" w:name="_Toc622397660"/>
      <w:bookmarkStart w:id="1049" w:name="_Toc475460589"/>
      <w:bookmarkStart w:id="1050" w:name="_Toc1111331024"/>
      <w:bookmarkStart w:id="1051" w:name="_Toc2036165012"/>
      <w:bookmarkStart w:id="1052" w:name="_Toc2097888887"/>
      <w:bookmarkStart w:id="1053" w:name="_Toc235870468"/>
      <w:bookmarkStart w:id="1054" w:name="_Toc224209964"/>
      <w:bookmarkStart w:id="1055" w:name="_Toc1106029724"/>
      <w:bookmarkStart w:id="1056" w:name="_Toc643624336"/>
      <w:r>
        <w:rPr>
          <w:rFonts w:hint="eastAsia"/>
          <w:color w:val="auto"/>
          <w:lang w:val="en-US" w:eastAsia="zh-CN"/>
        </w:rPr>
        <w:t>二、</w:t>
      </w:r>
      <w:r>
        <w:rPr>
          <w:rFonts w:hint="eastAsia"/>
          <w:color w:val="auto"/>
        </w:rPr>
        <w:t>未来研究与实践的发展方向</w:t>
      </w:r>
      <w:bookmarkEnd w:id="1045"/>
      <w:bookmarkEnd w:id="1046"/>
      <w:bookmarkEnd w:id="1047"/>
      <w:bookmarkEnd w:id="1048"/>
      <w:bookmarkEnd w:id="1049"/>
      <w:bookmarkEnd w:id="1050"/>
      <w:bookmarkEnd w:id="1051"/>
      <w:bookmarkEnd w:id="1052"/>
      <w:bookmarkEnd w:id="1053"/>
      <w:bookmarkEnd w:id="1054"/>
      <w:bookmarkEnd w:id="1055"/>
      <w:bookmarkEnd w:id="1056"/>
    </w:p>
    <w:p w14:paraId="75F0C1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val="0"/>
          <w:bCs w:val="0"/>
          <w:color w:val="auto"/>
          <w:sz w:val="24"/>
          <w:szCs w:val="24"/>
          <w:highlight w:val="none"/>
          <w:lang w:val="en-US"/>
        </w:rPr>
      </w:pPr>
      <w:r>
        <w:rPr>
          <w:rFonts w:hint="eastAsia" w:ascii="宋体" w:hAnsi="宋体" w:eastAsia="宋体" w:cs="宋体"/>
          <w:color w:val="auto"/>
          <w:sz w:val="24"/>
          <w:szCs w:val="24"/>
          <w:lang w:val="en-US" w:eastAsia="zh-CN"/>
        </w:rPr>
        <w:br w:type="page"/>
      </w:r>
    </w:p>
    <w:p w14:paraId="41A22F36">
      <w:pPr>
        <w:pStyle w:val="2"/>
        <w:bidi w:val="0"/>
        <w:rPr>
          <w:rFonts w:hint="eastAsia"/>
          <w:color w:val="auto"/>
        </w:rPr>
      </w:pPr>
      <w:bookmarkStart w:id="1057" w:name="_Toc10448"/>
      <w:bookmarkStart w:id="1058" w:name="_Toc244627083"/>
      <w:bookmarkStart w:id="1059" w:name="_Toc1475242409"/>
      <w:bookmarkStart w:id="1060" w:name="_Toc1673441739"/>
      <w:bookmarkStart w:id="1061" w:name="_Toc32489"/>
      <w:bookmarkStart w:id="1062" w:name="_Toc423122836"/>
      <w:bookmarkStart w:id="1063" w:name="_Toc2024402625"/>
      <w:bookmarkStart w:id="1064" w:name="_Toc895747147"/>
      <w:bookmarkStart w:id="1065" w:name="_Toc279468836"/>
      <w:bookmarkStart w:id="1066" w:name="_Toc1439834044"/>
      <w:bookmarkStart w:id="1067" w:name="_Toc25043"/>
      <w:bookmarkStart w:id="1068" w:name="_Toc21053"/>
      <w:bookmarkStart w:id="1069" w:name="_Toc1610548110"/>
      <w:bookmarkStart w:id="1070" w:name="_Toc1832007363"/>
      <w:bookmarkStart w:id="1071" w:name="_Toc17158"/>
      <w:bookmarkStart w:id="1072" w:name="_Toc30555"/>
      <w:bookmarkStart w:id="1073" w:name="_Toc20143314"/>
      <w:bookmarkStart w:id="1074" w:name="_Toc11062"/>
      <w:bookmarkStart w:id="1075" w:name="_Toc519085213"/>
      <w:r>
        <w:rPr>
          <w:rFonts w:hint="eastAsia"/>
          <w:color w:val="auto"/>
          <w:lang w:val="en-US" w:eastAsia="zh-CN"/>
        </w:rPr>
        <w:t>参考文献</w:t>
      </w:r>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p>
    <w:p w14:paraId="7E36AD28">
      <w:pPr>
        <w:pStyle w:val="4"/>
        <w:bidi w:val="0"/>
        <w:rPr>
          <w:rFonts w:hint="eastAsia"/>
          <w:color w:val="auto"/>
        </w:rPr>
      </w:pPr>
      <w:bookmarkStart w:id="1076" w:name="_Toc2074702902"/>
      <w:bookmarkStart w:id="1077" w:name="_Toc1163683623"/>
      <w:bookmarkStart w:id="1078" w:name="_Toc1107149435"/>
      <w:bookmarkStart w:id="1079" w:name="_Toc485990663"/>
      <w:bookmarkStart w:id="1080" w:name="_Toc1598197982"/>
      <w:bookmarkStart w:id="1081" w:name="_Toc1551498954"/>
      <w:bookmarkStart w:id="1082" w:name="_Toc1445043112"/>
      <w:bookmarkStart w:id="1083" w:name="_Toc1186600777"/>
      <w:r>
        <w:rPr>
          <w:rFonts w:hint="eastAsia"/>
          <w:color w:val="auto"/>
          <w:lang w:val="en-US" w:eastAsia="zh-CN"/>
        </w:rPr>
        <w:t>一、经典著作与外文文献</w:t>
      </w:r>
      <w:bookmarkEnd w:id="1076"/>
      <w:bookmarkEnd w:id="1077"/>
      <w:bookmarkEnd w:id="1078"/>
      <w:bookmarkEnd w:id="1079"/>
      <w:bookmarkEnd w:id="1080"/>
      <w:bookmarkEnd w:id="1081"/>
      <w:bookmarkEnd w:id="1082"/>
      <w:bookmarkEnd w:id="1083"/>
    </w:p>
    <w:p w14:paraId="37A5868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 xml:space="preserve">[1] </w:t>
      </w:r>
      <w:r>
        <w:rPr>
          <w:rFonts w:hint="eastAsia" w:ascii="宋体" w:hAnsi="宋体" w:eastAsia="宋体" w:cs="宋体"/>
          <w:color w:val="auto"/>
          <w:sz w:val="21"/>
          <w:szCs w:val="21"/>
          <w:lang w:val="en-US" w:eastAsia="zh-CN"/>
        </w:rPr>
        <w:t>杜维明. 儒家思想：以创造转化为自我认同[M]. 北京：生活·读书·新知三联书店，2013.</w:t>
      </w:r>
    </w:p>
    <w:p w14:paraId="7614693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[3] </w:t>
      </w:r>
      <w:r>
        <w:rPr>
          <w:rFonts w:hint="default" w:ascii="Times New Roman" w:hAnsi="Times New Roman" w:eastAsia="宋体" w:cs="Times New Roman"/>
          <w:color w:val="auto"/>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[4] </w:t>
      </w:r>
      <w:r>
        <w:rPr>
          <w:rFonts w:hint="default" w:ascii="Times New Roman" w:hAnsi="Times New Roman" w:eastAsia="宋体" w:cs="Times New Roman"/>
          <w:color w:val="auto"/>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[5] </w:t>
      </w:r>
      <w:r>
        <w:rPr>
          <w:rFonts w:hint="default" w:ascii="Times New Roman" w:hAnsi="Times New Roman" w:eastAsia="宋体" w:cs="Times New Roman"/>
          <w:color w:val="auto"/>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[6] </w:t>
      </w:r>
      <w:r>
        <w:rPr>
          <w:rFonts w:hint="default" w:ascii="Times New Roman" w:hAnsi="Times New Roman" w:eastAsia="宋体" w:cs="Times New Roman"/>
          <w:color w:val="auto"/>
          <w:sz w:val="21"/>
          <w:szCs w:val="21"/>
          <w:lang w:val="en-US" w:eastAsia="zh-CN"/>
        </w:rPr>
        <w:t>Bellah, Robert N. Habits of the Heart: Individualism and Commitment in American Life. Berkeley: University of California Press, 1985.</w:t>
      </w:r>
    </w:p>
    <w:p w14:paraId="0BB180C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[7] </w:t>
      </w:r>
      <w:r>
        <w:rPr>
          <w:color w:val="auto"/>
          <w:sz w:val="21"/>
          <w:szCs w:val="21"/>
        </w:rPr>
        <w:t>Bevans, Stephen B. Models of Contextual Theology. Maryknoll: Orbis Books, 2002., pp. 28-45.</w:t>
      </w:r>
    </w:p>
    <w:p w14:paraId="7E6982A5">
      <w:pPr>
        <w:keepNext w:val="0"/>
        <w:keepLines w:val="0"/>
        <w:widowControl/>
        <w:suppressLineNumbers w:val="0"/>
        <w:jc w:val="left"/>
        <w:rPr>
          <w:rFonts w:hint="default" w:ascii="Times New Roman" w:hAnsi="Times New Roman" w:eastAsia="宋体" w:cs="Times New Roman"/>
          <w:color w:val="auto"/>
          <w:sz w:val="21"/>
          <w:szCs w:val="21"/>
          <w:lang w:val="en-US" w:eastAsia="zh-CN"/>
        </w:rPr>
      </w:pPr>
      <w:r>
        <w:rPr>
          <w:rFonts w:hint="eastAsia" w:ascii="宋体" w:hAnsi="宋体" w:eastAsia="宋体" w:cs="宋体"/>
          <w:snapToGrid/>
          <w:color w:val="auto"/>
          <w:kern w:val="2"/>
          <w:sz w:val="21"/>
          <w:szCs w:val="21"/>
          <w:lang w:val="en-US" w:eastAsia="zh-CN" w:bidi="ar"/>
        </w:rPr>
        <w:t xml:space="preserve">[8] </w:t>
      </w:r>
      <w:r>
        <w:rPr>
          <w:color w:val="auto"/>
          <w:sz w:val="21"/>
          <w:szCs w:val="21"/>
        </w:rPr>
        <w:t>Bhabha, Homi K. The Location of Culture. London: Routledge, 1994., pp. 102-122.</w:t>
      </w:r>
    </w:p>
    <w:p w14:paraId="22A80B5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[9] </w:t>
      </w:r>
      <w:r>
        <w:rPr>
          <w:rFonts w:hint="default" w:ascii="Times New Roman" w:hAnsi="Times New Roman" w:eastAsia="宋体" w:cs="Times New Roman"/>
          <w:color w:val="auto"/>
          <w:sz w:val="21"/>
          <w:szCs w:val="21"/>
        </w:rPr>
        <w:t>Casanova, José. Public Religions in the Modern World. Chicago: University of Chicago Press, 1994.</w:t>
      </w:r>
    </w:p>
    <w:p w14:paraId="2C37925A">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[10] </w:t>
      </w:r>
      <w:r>
        <w:rPr>
          <w:rFonts w:hint="default" w:ascii="Times New Roman" w:hAnsi="Times New Roman" w:eastAsia="宋体" w:cs="Times New Roman"/>
          <w:color w:val="auto"/>
          <w:sz w:val="21"/>
          <w:szCs w:val="21"/>
        </w:rPr>
        <w:t>Hauerwas, Stanley. A Community of Character: Toward a Constructive Christian Social Ethic. Notre Dame: University of Notre Dame Press, 1981.</w:t>
      </w:r>
    </w:p>
    <w:p w14:paraId="14B819F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[11] </w:t>
      </w:r>
      <w:r>
        <w:rPr>
          <w:rFonts w:hint="default" w:ascii="Times New Roman" w:hAnsi="Times New Roman" w:eastAsia="宋体" w:cs="Times New Roman"/>
          <w:color w:val="auto"/>
          <w:sz w:val="21"/>
          <w:szCs w:val="21"/>
        </w:rPr>
        <w:t>Küng, Hans, and Julia Ching. Christianity and Chinese Religions. New York: Doubleday, 1989.</w:t>
      </w:r>
    </w:p>
    <w:p w14:paraId="7826D2CF">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[12] </w:t>
      </w:r>
      <w:r>
        <w:rPr>
          <w:rFonts w:hint="default" w:ascii="Times New Roman" w:hAnsi="Times New Roman" w:eastAsia="宋体" w:cs="Times New Roman"/>
          <w:color w:val="auto"/>
          <w:sz w:val="21"/>
          <w:szCs w:val="21"/>
        </w:rPr>
        <w:t>Lian Xi. The Conversion of Missionaries: Liberalism in American Protestant Missions in China, 1907-1932. University Park: Pennsylvania State University Press, 1997.</w:t>
      </w:r>
    </w:p>
    <w:p w14:paraId="644BA8F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[13] </w:t>
      </w:r>
      <w:r>
        <w:rPr>
          <w:rFonts w:hint="default" w:ascii="Times New Roman" w:hAnsi="Times New Roman" w:eastAsia="宋体" w:cs="Times New Roman"/>
          <w:color w:val="auto"/>
          <w:sz w:val="21"/>
          <w:szCs w:val="21"/>
        </w:rPr>
        <w:t>Madsen, Richard. China's Catholics: Tragedy and Hope in an Emerging Civil Society. Berkeley: University of California Press, 1998.</w:t>
      </w:r>
    </w:p>
    <w:p w14:paraId="50068F8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[14] </w:t>
      </w:r>
      <w:r>
        <w:rPr>
          <w:rFonts w:hint="default" w:ascii="Times New Roman" w:hAnsi="Times New Roman" w:eastAsia="宋体" w:cs="Times New Roman"/>
          <w:color w:val="auto"/>
          <w:sz w:val="21"/>
          <w:szCs w:val="21"/>
        </w:rPr>
        <w:t>Niebuhr, H. Richard. Christ and Culture. New York: Harper &amp; Row, 1951.</w:t>
      </w:r>
    </w:p>
    <w:p w14:paraId="0551E4A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[1</w:t>
      </w: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 xml:space="preserve">] </w:t>
      </w:r>
      <w:r>
        <w:rPr>
          <w:color w:val="auto"/>
          <w:sz w:val="21"/>
          <w:szCs w:val="21"/>
        </w:rPr>
        <w:t>Nygren, Anders. Agape and Eros: The Christian Idea of Love. Chicago: University of Chicago Press, 1982., pp. 45-67.</w:t>
      </w:r>
    </w:p>
    <w:p w14:paraId="546EAA7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[16] </w:t>
      </w:r>
      <w:r>
        <w:rPr>
          <w:rFonts w:hint="default" w:ascii="Times New Roman" w:hAnsi="Times New Roman" w:eastAsia="宋体" w:cs="Times New Roman"/>
          <w:color w:val="auto"/>
          <w:sz w:val="21"/>
          <w:szCs w:val="21"/>
        </w:rPr>
        <w:t>Pope Benedict XVI. Deus Caritas Est (Encyclical Letter). Vatican: Libreria Editrice Vaticana, 2005.</w:t>
      </w:r>
    </w:p>
    <w:p w14:paraId="69FE14F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[1</w:t>
      </w:r>
      <w:r>
        <w:rPr>
          <w:rFonts w:hint="eastAsia" w:ascii="宋体" w:hAnsi="宋体" w:eastAsia="宋体" w:cs="宋体"/>
          <w:color w:val="auto"/>
          <w:sz w:val="21"/>
          <w:szCs w:val="21"/>
          <w:lang w:val="en-US" w:eastAsia="zh-CN"/>
        </w:rPr>
        <w:t>7</w:t>
      </w:r>
      <w:r>
        <w:rPr>
          <w:rFonts w:hint="eastAsia" w:ascii="宋体" w:hAnsi="宋体" w:eastAsia="宋体" w:cs="宋体"/>
          <w:color w:val="auto"/>
          <w:sz w:val="21"/>
          <w:szCs w:val="21"/>
        </w:rPr>
        <w:t xml:space="preserve">] </w:t>
      </w:r>
      <w:r>
        <w:rPr>
          <w:color w:val="auto"/>
          <w:sz w:val="21"/>
          <w:szCs w:val="21"/>
        </w:rPr>
        <w:t>Rawls, John. Political Liberalism. New York: Columbia University Press, 1993., pp. 133-172.</w:t>
      </w:r>
    </w:p>
    <w:p w14:paraId="7EBA3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[18] </w:t>
      </w:r>
      <w:r>
        <w:rPr>
          <w:rFonts w:hint="default" w:ascii="Times New Roman" w:hAnsi="Times New Roman" w:eastAsia="宋体" w:cs="Times New Roman"/>
          <w:color w:val="auto"/>
          <w:sz w:val="21"/>
          <w:szCs w:val="21"/>
        </w:rPr>
        <w:t>Stark, Rodney, and Roger Finke. Acts of Faith: Explaining the Human Side of Religion. Berkeley: University of California Press, 2000.</w:t>
      </w:r>
    </w:p>
    <w:p w14:paraId="5F3EC2D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[19] </w:t>
      </w:r>
      <w:r>
        <w:rPr>
          <w:rFonts w:hint="default" w:ascii="Times New Roman" w:hAnsi="Times New Roman" w:eastAsia="宋体" w:cs="Times New Roman"/>
          <w:color w:val="auto"/>
          <w:sz w:val="21"/>
          <w:szCs w:val="21"/>
        </w:rPr>
        <w:t>Tillich, Paul. Systematic Theology, Vol. 1. Translated by Gong Shusen et al. Taipei: Taiwan Southeast Asia Seminary, 1993.</w:t>
      </w:r>
    </w:p>
    <w:p w14:paraId="26F53E6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[20] </w:t>
      </w:r>
      <w:r>
        <w:rPr>
          <w:rFonts w:hint="default" w:ascii="Times New Roman" w:hAnsi="Times New Roman" w:eastAsia="宋体" w:cs="Times New Roman"/>
          <w:color w:val="auto"/>
          <w:sz w:val="21"/>
          <w:szCs w:val="21"/>
        </w:rPr>
        <w:t>Tracy, David. The Analogical Imagination: Christian Theology and the Culture of Pluralism. New York: Crossroad, 1981.</w:t>
      </w:r>
    </w:p>
    <w:p w14:paraId="2531589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[21] </w:t>
      </w:r>
      <w:r>
        <w:rPr>
          <w:rFonts w:hint="default" w:ascii="Times New Roman" w:hAnsi="Times New Roman" w:eastAsia="宋体" w:cs="Times New Roman"/>
          <w:color w:val="auto"/>
          <w:sz w:val="21"/>
          <w:szCs w:val="21"/>
        </w:rPr>
        <w:t>Troeltsch, Ernst. The Social Teaching of the Christian Churches. Translated by Olive Wyon. New York: Macmillan, 1931.</w:t>
      </w:r>
    </w:p>
    <w:p w14:paraId="6F19E20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[22] </w:t>
      </w:r>
      <w:r>
        <w:rPr>
          <w:rFonts w:hint="default" w:ascii="Times New Roman" w:hAnsi="Times New Roman" w:eastAsia="宋体" w:cs="Times New Roman"/>
          <w:color w:val="auto"/>
          <w:sz w:val="21"/>
          <w:szCs w:val="21"/>
        </w:rPr>
        <w:t>Tu Weiming. Confucian Thought: Selfhood as Creative Transformation. Albany: State University of New York Press, 1985.</w:t>
      </w:r>
    </w:p>
    <w:p w14:paraId="5B3298DE">
      <w:pPr>
        <w:keepNext w:val="0"/>
        <w:keepLines w:val="0"/>
        <w:widowControl/>
        <w:suppressLineNumbers w:val="0"/>
        <w:jc w:val="left"/>
        <w:rPr>
          <w:rFonts w:hint="default" w:ascii="Times New Roman" w:hAnsi="Times New Roman" w:eastAsia="宋体" w:cs="Times New Roman"/>
          <w:color w:val="auto"/>
          <w:sz w:val="21"/>
          <w:szCs w:val="21"/>
          <w:lang w:val="en-US" w:eastAsia="zh-CN"/>
        </w:rPr>
      </w:pPr>
      <w:r>
        <w:rPr>
          <w:rFonts w:hint="eastAsia" w:ascii="宋体" w:hAnsi="宋体" w:eastAsia="宋体" w:cs="宋体"/>
          <w:snapToGrid/>
          <w:color w:val="auto"/>
          <w:kern w:val="2"/>
          <w:sz w:val="21"/>
          <w:szCs w:val="21"/>
          <w:lang w:val="en-US" w:eastAsia="zh-CN" w:bidi="ar"/>
        </w:rPr>
        <w:t xml:space="preserve">[23] </w:t>
      </w:r>
      <w:r>
        <w:rPr>
          <w:color w:val="auto"/>
          <w:sz w:val="21"/>
          <w:szCs w:val="21"/>
        </w:rPr>
        <w:t>Weber, Max. The Protestant Ethic and the Spirit of Capitalism. Translated by Talcott Parsons. New York: Charles Scribner's Sons, 1958., pp. 90-110.</w:t>
      </w:r>
    </w:p>
    <w:p w14:paraId="39B35033">
      <w:pPr>
        <w:pStyle w:val="4"/>
        <w:bidi w:val="0"/>
        <w:rPr>
          <w:rFonts w:hint="eastAsia"/>
          <w:color w:val="auto"/>
        </w:rPr>
      </w:pPr>
      <w:bookmarkStart w:id="1084" w:name="_Toc897078532"/>
      <w:bookmarkStart w:id="1085" w:name="_Toc947019461"/>
      <w:bookmarkStart w:id="1086" w:name="_Toc2062236437"/>
      <w:bookmarkStart w:id="1087" w:name="_Toc1296478004"/>
      <w:bookmarkStart w:id="1088" w:name="_Toc839697575"/>
      <w:bookmarkStart w:id="1089" w:name="_Toc188026798"/>
      <w:bookmarkStart w:id="1090" w:name="_Toc1164763500"/>
      <w:bookmarkStart w:id="1091" w:name="_Toc1666112997"/>
      <w:r>
        <w:rPr>
          <w:rFonts w:hint="eastAsia"/>
          <w:color w:val="auto"/>
          <w:lang w:val="en-US" w:eastAsia="zh-CN"/>
        </w:rPr>
        <w:t>二、中文专著</w:t>
      </w:r>
      <w:bookmarkEnd w:id="1084"/>
      <w:bookmarkEnd w:id="1085"/>
      <w:bookmarkEnd w:id="1086"/>
      <w:bookmarkEnd w:id="1087"/>
      <w:bookmarkEnd w:id="1088"/>
      <w:bookmarkEnd w:id="1089"/>
      <w:bookmarkEnd w:id="1090"/>
      <w:bookmarkEnd w:id="1091"/>
    </w:p>
    <w:p w14:paraId="0B3D203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[24] 安乐哲. 儒家角色伦理学：一套特色伦理学词汇[M]. 杭州：浙江人民出版社，2020.</w:t>
      </w:r>
    </w:p>
    <w:p w14:paraId="73FB8B7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[25] 陈来. 中华文明的核心价值：国学流变与传统价值观[M]. 北京：生活·读书·新知三联书店，2015.</w:t>
      </w:r>
    </w:p>
    <w:p w14:paraId="341C117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[26] 陈先达. 马克思主义宗教观研究[M]. 北京：中国人民大学出版社，2018.</w:t>
      </w:r>
    </w:p>
    <w:p w14:paraId="71BF49C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[27] 陈宗皋. 宗教工作概论[M]. 北京：宗教文化出版社，2015.</w:t>
      </w:r>
    </w:p>
    <w:p w14:paraId="2B1672E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[28] 段琦. 奋进的历程：中国基督教的本色化[M]. 北京：商务印书馆，2004.</w:t>
      </w:r>
    </w:p>
    <w:p w14:paraId="74BDDB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[29] 冯今源. 中国伊斯兰教史[M]. 银川：宁夏人民出版社，2012.</w:t>
      </w:r>
    </w:p>
    <w:p w14:paraId="65AEC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[30] 龚学增. 社会主义与宗教[M]. 北京：宗教文化出版社，2003.</w:t>
      </w:r>
    </w:p>
    <w:p w14:paraId="57A1D38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[31] 李平晔. 基督教中国化研究[M]. 北京：宗教文化出版社，2016.</w:t>
      </w:r>
    </w:p>
    <w:p w14:paraId="094322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[32] 马桦. 宗教与社会主义社会相适应研究[M]. 北京：民族出版社，2017.</w:t>
      </w:r>
    </w:p>
    <w:p w14:paraId="104F84A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[33] 莫幸福. 浙江宗教史[M]. 杭州：浙江人民出版社，2011.</w:t>
      </w:r>
    </w:p>
    <w:p w14:paraId="1B1E114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[34] 牟钟鉴. 宗教中国化研究[M]. 北京：宗教文化出版社，2018.</w:t>
      </w:r>
    </w:p>
    <w:p w14:paraId="137193CD">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[35] 唐晓峰. 中国基督教本土化研究[M]. 北京：宗教文化出版社，2017.</w:t>
      </w:r>
    </w:p>
    <w:p w14:paraId="68D8F2D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[36] 万俊人. 寻求普世伦理[M]. 北京：商务印书馆，2001.</w:t>
      </w:r>
    </w:p>
    <w:p w14:paraId="29D0E90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[37] 王晓朝. 基督教与帝国文化[M]. 北京：东方出版社，1997.</w:t>
      </w:r>
    </w:p>
    <w:p w14:paraId="265B1BB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[38] 王作安. 宗教中国化研究[M]. 北京：宗教文化出版社，2019.</w:t>
      </w:r>
    </w:p>
    <w:p w14:paraId="448FA2C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[39] 徐以骅. 宗教与美国社会[M]. 北京：时事出版社，2004.</w:t>
      </w:r>
    </w:p>
    <w:p w14:paraId="362BB2E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[40] 游斌. 基督教与中国文化[M]. 北京：宗教文化出版社，2018.</w:t>
      </w:r>
    </w:p>
    <w:p w14:paraId="59F9DC4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[41] 余纪元. 德性之镜：孔子与亚里士多德的伦理学[M]. 北京：中国人民大学出版社，2009.</w:t>
      </w:r>
    </w:p>
    <w:p w14:paraId="25B5DD7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[42] 张志刚. 宗教研究指要[M]. 北京：北京大学出版社，2020.</w:t>
      </w:r>
    </w:p>
    <w:p w14:paraId="1BBC4AB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[43] 赵敦华. 基督教哲学1500年[M]. 北京：人民出版社，1994.</w:t>
      </w:r>
    </w:p>
    <w:p w14:paraId="2EAB7BA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[44] 中央统战部. 新时代统一战线知识简明读本[M]. 北京：华文出版社，2020.</w:t>
      </w:r>
    </w:p>
    <w:p w14:paraId="37378B6A">
      <w:pPr>
        <w:pStyle w:val="4"/>
        <w:bidi w:val="0"/>
        <w:rPr>
          <w:rFonts w:hint="eastAsia"/>
          <w:color w:val="auto"/>
        </w:rPr>
      </w:pPr>
      <w:bookmarkStart w:id="1092" w:name="_Toc1682098588"/>
      <w:bookmarkStart w:id="1093" w:name="_Toc1863685384"/>
      <w:bookmarkStart w:id="1094" w:name="_Toc1769217726"/>
      <w:bookmarkStart w:id="1095" w:name="_Toc1554773110"/>
      <w:bookmarkStart w:id="1096" w:name="_Toc1866702095"/>
      <w:bookmarkStart w:id="1097" w:name="_Toc1536730766"/>
      <w:bookmarkStart w:id="1098" w:name="_Toc1217949249"/>
      <w:bookmarkStart w:id="1099" w:name="_Toc1321867346"/>
      <w:r>
        <w:rPr>
          <w:rFonts w:hint="eastAsia"/>
          <w:color w:val="auto"/>
          <w:lang w:val="en-US" w:eastAsia="zh-CN"/>
        </w:rPr>
        <w:t>三、中文期刊论文与学位论文</w:t>
      </w:r>
      <w:bookmarkEnd w:id="1092"/>
      <w:bookmarkEnd w:id="1093"/>
      <w:bookmarkEnd w:id="1094"/>
      <w:bookmarkEnd w:id="1095"/>
      <w:bookmarkEnd w:id="1096"/>
      <w:bookmarkEnd w:id="1097"/>
      <w:bookmarkEnd w:id="1098"/>
      <w:bookmarkEnd w:id="1099"/>
    </w:p>
    <w:p w14:paraId="38038323">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[45] 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[46] 陈金羽. Q教会服务队与社会工作融合研究[D]. 福州：福建师范大学，2020.</w:t>
      </w:r>
    </w:p>
    <w:p w14:paraId="430B1E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[47] 陈琳. 儒家“仁爱”与基督教“圣爱”思想的比较研究[J]. 咸阳师范学院学报，2012，27（10）：167-168.</w:t>
      </w:r>
    </w:p>
    <w:p w14:paraId="21F52693">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48</w:t>
      </w:r>
      <w:r>
        <w:rPr>
          <w:rFonts w:hint="eastAsia" w:ascii="宋体" w:hAnsi="宋体" w:eastAsia="宋体" w:cs="宋体"/>
          <w:color w:val="auto"/>
          <w:sz w:val="21"/>
          <w:szCs w:val="21"/>
        </w:rPr>
        <w:t>] 陈宗皋. 基督教公益慈善"去标识化"路径探析[J]. 中国宗教, 2025(1): 18-24.</w:t>
      </w:r>
    </w:p>
    <w:p w14:paraId="112892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50</w:t>
      </w:r>
      <w:r>
        <w:rPr>
          <w:rFonts w:hint="eastAsia" w:ascii="宋体" w:hAnsi="宋体" w:eastAsia="宋体" w:cs="宋体"/>
          <w:color w:val="auto"/>
          <w:sz w:val="21"/>
          <w:szCs w:val="21"/>
        </w:rPr>
        <w:t>] 何虎生，胡竞方. 新中国·新时期·新时代坚持我国宗教中国化的发展历程研究[J]. 世界宗教研究，2020（1）：1-12.</w:t>
      </w:r>
    </w:p>
    <w:p w14:paraId="312C546B">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51</w:t>
      </w:r>
      <w:r>
        <w:rPr>
          <w:rFonts w:hint="eastAsia" w:ascii="宋体" w:hAnsi="宋体" w:eastAsia="宋体" w:cs="宋体"/>
          <w:color w:val="auto"/>
          <w:sz w:val="21"/>
          <w:szCs w:val="21"/>
        </w:rPr>
        <w:t>] 何明. 社会主义核心价值观融入宗教教育的实践研究[J]. 宗教学研究, 2024(3): 56-63.</w:t>
      </w:r>
    </w:p>
    <w:p w14:paraId="5C8D9B3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2</w:t>
      </w:r>
      <w:r>
        <w:rPr>
          <w:rFonts w:hint="eastAsia" w:ascii="宋体" w:hAnsi="宋体" w:eastAsia="宋体" w:cs="宋体"/>
          <w:color w:val="auto"/>
          <w:sz w:val="21"/>
          <w:szCs w:val="21"/>
        </w:rPr>
        <w:t>]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3</w:t>
      </w:r>
      <w:r>
        <w:rPr>
          <w:rFonts w:hint="eastAsia" w:ascii="宋体" w:hAnsi="宋体" w:eastAsia="宋体" w:cs="宋体"/>
          <w:color w:val="auto"/>
          <w:sz w:val="21"/>
          <w:szCs w:val="21"/>
        </w:rPr>
        <w:t>] 吕臻雨. 泸州教会社会服务实践研究[D]. 成都：四川大学，2019.</w:t>
      </w:r>
    </w:p>
    <w:p w14:paraId="652DF8A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4</w:t>
      </w:r>
      <w:r>
        <w:rPr>
          <w:rFonts w:hint="eastAsia" w:ascii="宋体" w:hAnsi="宋体" w:eastAsia="宋体" w:cs="宋体"/>
          <w:color w:val="auto"/>
          <w:sz w:val="21"/>
          <w:szCs w:val="21"/>
        </w:rPr>
        <w:t>] 牟钟鉴. 如何深入理解“坚持中国化方向”——学习习总书记讲话的体会[J]. 世界宗教研究，2016（3）：13-18.</w:t>
      </w:r>
    </w:p>
    <w:p w14:paraId="34C4EFF3">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55</w:t>
      </w:r>
      <w:r>
        <w:rPr>
          <w:rFonts w:hint="eastAsia" w:ascii="宋体" w:hAnsi="宋体" w:eastAsia="宋体" w:cs="宋体"/>
          <w:color w:val="auto"/>
          <w:sz w:val="21"/>
          <w:szCs w:val="21"/>
        </w:rPr>
        <w:t>] 唐晓峰. 新时代基督教中国化的实践探索与理论反思[J]. 世界宗教文化, 2024(2): 34-41.</w:t>
      </w:r>
    </w:p>
    <w:p w14:paraId="70ED18A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6</w:t>
      </w:r>
      <w:r>
        <w:rPr>
          <w:rFonts w:hint="eastAsia" w:ascii="宋体" w:hAnsi="宋体" w:eastAsia="宋体" w:cs="宋体"/>
          <w:color w:val="auto"/>
          <w:sz w:val="21"/>
          <w:szCs w:val="21"/>
        </w:rPr>
        <w:t>] 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7</w:t>
      </w:r>
      <w:r>
        <w:rPr>
          <w:rFonts w:hint="eastAsia" w:ascii="宋体" w:hAnsi="宋体" w:eastAsia="宋体" w:cs="宋体"/>
          <w:color w:val="auto"/>
          <w:sz w:val="21"/>
          <w:szCs w:val="21"/>
        </w:rPr>
        <w:t>] 王作安. 宗教与社会主义社会相适应的理论与实践[J]. 中国宗教，2018（5）：4-7.</w:t>
      </w:r>
    </w:p>
    <w:p w14:paraId="48B0C4E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习近平. 在全国宗教工作会议上的讲话[N]. 人民日报，2016-04-24（002）.</w:t>
      </w:r>
    </w:p>
    <w:p w14:paraId="50E3B9A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习近平. 在全国宗教工作会议上的讲话[N]. 人民日报，2021-12-05（002）.</w:t>
      </w:r>
    </w:p>
    <w:p w14:paraId="154FE3A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60</w:t>
      </w:r>
      <w:r>
        <w:rPr>
          <w:rFonts w:hint="eastAsia" w:ascii="宋体" w:hAnsi="宋体" w:eastAsia="宋体" w:cs="宋体"/>
          <w:color w:val="auto"/>
          <w:sz w:val="21"/>
          <w:szCs w:val="21"/>
        </w:rPr>
        <w:t>] 杨宝安. 儒家仁爱与基督教博爱思想比较研究[D]. 兰州：西北师范大学，2011.</w:t>
      </w:r>
    </w:p>
    <w:p w14:paraId="645EDA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61</w:t>
      </w:r>
      <w:r>
        <w:rPr>
          <w:rFonts w:hint="eastAsia" w:ascii="宋体" w:hAnsi="宋体" w:eastAsia="宋体" w:cs="宋体"/>
          <w:color w:val="auto"/>
          <w:sz w:val="21"/>
          <w:szCs w:val="21"/>
        </w:rPr>
        <w:t>] 杨凤岗. 中国基督徒的社会认同与“叠合身份”困境[J]. 社会，2012，32（4）：1-22.</w:t>
      </w:r>
    </w:p>
    <w:p w14:paraId="1F56E62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t>[62] 游斌. 深入推进我国宗教中国化，增进“五个认同”[N]. 中国民族报，2022-04-08（005）.</w:t>
      </w:r>
    </w:p>
    <w:p w14:paraId="552B8C3C">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63</w:t>
      </w:r>
      <w:r>
        <w:rPr>
          <w:rFonts w:hint="eastAsia" w:ascii="宋体" w:hAnsi="宋体" w:eastAsia="宋体" w:cs="宋体"/>
          <w:color w:val="auto"/>
          <w:sz w:val="21"/>
          <w:szCs w:val="21"/>
        </w:rPr>
        <w:t>] 游斌. 基督教中国化的神学建构与话语创新[J]. 中国宗教, 2024(5): 22-28.</w:t>
      </w:r>
    </w:p>
    <w:p w14:paraId="479201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4</w:t>
      </w:r>
      <w:r>
        <w:rPr>
          <w:rFonts w:hint="eastAsia" w:ascii="宋体" w:hAnsi="宋体" w:eastAsia="宋体" w:cs="宋体"/>
          <w:color w:val="auto"/>
          <w:sz w:val="21"/>
          <w:szCs w:val="21"/>
        </w:rPr>
        <w:t>] 张志刚. “宗教中国化”义理沉思[J]. 世界宗教研究，2016（3）：1-12.</w:t>
      </w:r>
    </w:p>
    <w:p w14:paraId="52CF5AF6">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5</w:t>
      </w:r>
      <w:r>
        <w:rPr>
          <w:rFonts w:hint="eastAsia" w:ascii="宋体" w:hAnsi="宋体" w:eastAsia="宋体" w:cs="宋体"/>
          <w:color w:val="auto"/>
          <w:sz w:val="21"/>
          <w:szCs w:val="21"/>
        </w:rPr>
        <w:t>] 张忠成. 基督教伦理与社会主义核心价值观之刍议[C]//基督教中国化神学思想建设第十九次研讨会论文集. 杭州：浙江省基督教两会，2019.</w:t>
      </w:r>
    </w:p>
    <w:p w14:paraId="246E89FA">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66</w:t>
      </w:r>
      <w:r>
        <w:rPr>
          <w:rFonts w:hint="eastAsia" w:ascii="宋体" w:hAnsi="宋体" w:eastAsia="宋体" w:cs="宋体"/>
          <w:color w:val="auto"/>
          <w:sz w:val="21"/>
          <w:szCs w:val="21"/>
        </w:rPr>
        <w:t>] 张志刚. 深入推进我国宗教中国化的学理基础与实践路径[J]. 世界宗教研究, 2024(1): 1-15.</w:t>
      </w:r>
    </w:p>
    <w:p w14:paraId="6C826D0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67</w:t>
      </w:r>
      <w:r>
        <w:rPr>
          <w:rFonts w:hint="eastAsia" w:ascii="宋体" w:hAnsi="宋体" w:eastAsia="宋体" w:cs="宋体"/>
          <w:color w:val="auto"/>
          <w:sz w:val="21"/>
          <w:szCs w:val="21"/>
        </w:rPr>
        <w:t>] 赵天恩. 中国教会史研究[M]//基督教学术（第1辑）. 上海：上海古籍出版社，2002.</w:t>
      </w:r>
    </w:p>
    <w:p w14:paraId="7E9284A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70</w:t>
      </w:r>
      <w:r>
        <w:rPr>
          <w:rFonts w:hint="eastAsia" w:ascii="宋体" w:hAnsi="宋体" w:eastAsia="宋体" w:cs="宋体"/>
          <w:color w:val="auto"/>
          <w:sz w:val="21"/>
          <w:szCs w:val="21"/>
        </w:rPr>
        <w:t>] 中国基督教全国两会. 2024年工作要点[Z]. 2024.</w:t>
      </w:r>
    </w:p>
    <w:p w14:paraId="2016DF9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71</w:t>
      </w:r>
      <w:r>
        <w:rPr>
          <w:rFonts w:hint="eastAsia" w:ascii="宋体" w:hAnsi="宋体" w:eastAsia="宋体" w:cs="宋体"/>
          <w:color w:val="auto"/>
          <w:sz w:val="21"/>
          <w:szCs w:val="21"/>
        </w:rPr>
        <w:t>] 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72</w:t>
      </w:r>
      <w:r>
        <w:rPr>
          <w:rFonts w:hint="eastAsia" w:ascii="宋体" w:hAnsi="宋体" w:eastAsia="宋体" w:cs="宋体"/>
          <w:color w:val="auto"/>
          <w:sz w:val="21"/>
          <w:szCs w:val="21"/>
        </w:rPr>
        <w:t>] 朱全红，张苹英. 儒家“仁爱”伦理与基督教“博爱”伦理思想比较研究[J]. 吉首大学学报（社会科学版），2002，23（4）：53-58.</w:t>
      </w:r>
    </w:p>
    <w:p w14:paraId="5CCAA138">
      <w:pPr>
        <w:pStyle w:val="4"/>
        <w:bidi w:val="0"/>
        <w:rPr>
          <w:rFonts w:hint="eastAsia"/>
          <w:color w:val="auto"/>
          <w:lang w:val="en-US" w:eastAsia="zh-CN"/>
        </w:rPr>
      </w:pPr>
      <w:bookmarkStart w:id="1100" w:name="_Toc1183744520"/>
      <w:bookmarkStart w:id="1101" w:name="_Toc1911257393"/>
      <w:bookmarkStart w:id="1102" w:name="_Toc1073511642"/>
      <w:bookmarkStart w:id="1103" w:name="_Toc48161693"/>
      <w:bookmarkStart w:id="1104" w:name="_Toc1556239408"/>
      <w:bookmarkStart w:id="1105" w:name="_Toc490643074"/>
      <w:bookmarkStart w:id="1106" w:name="_Toc258904739"/>
      <w:bookmarkStart w:id="1107" w:name="_Toc906156007"/>
      <w:r>
        <w:rPr>
          <w:rFonts w:hint="eastAsia"/>
          <w:color w:val="auto"/>
          <w:lang w:val="en-US" w:eastAsia="zh-CN"/>
        </w:rPr>
        <w:t>四、政策文件与法规</w:t>
      </w:r>
      <w:bookmarkEnd w:id="1100"/>
      <w:bookmarkEnd w:id="1101"/>
      <w:bookmarkEnd w:id="1102"/>
      <w:bookmarkEnd w:id="1103"/>
      <w:bookmarkEnd w:id="1104"/>
      <w:bookmarkEnd w:id="1105"/>
      <w:bookmarkEnd w:id="1106"/>
      <w:bookmarkEnd w:id="1107"/>
    </w:p>
    <w:p w14:paraId="6153320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73</w:t>
      </w:r>
      <w:r>
        <w:rPr>
          <w:rFonts w:hint="eastAsia" w:ascii="宋体" w:hAnsi="宋体" w:eastAsia="宋体" w:cs="宋体"/>
          <w:color w:val="auto"/>
          <w:sz w:val="21"/>
          <w:szCs w:val="21"/>
        </w:rPr>
        <w:t>] 国家宗教事务局. 关于支持宗教界开展公益慈善活动的意见[Z]. 2012.</w:t>
      </w:r>
    </w:p>
    <w:p w14:paraId="12D593B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74</w:t>
      </w:r>
      <w:r>
        <w:rPr>
          <w:rFonts w:hint="eastAsia" w:ascii="宋体" w:hAnsi="宋体" w:eastAsia="宋体" w:cs="宋体"/>
          <w:color w:val="auto"/>
          <w:sz w:val="21"/>
          <w:szCs w:val="21"/>
        </w:rPr>
        <w:t>] 国家宗教事务局. 宗教团体管理办法[Z]. 2020-01-01.</w:t>
      </w:r>
    </w:p>
    <w:p w14:paraId="3879B1F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5</w:t>
      </w:r>
      <w:r>
        <w:rPr>
          <w:rFonts w:hint="eastAsia" w:ascii="宋体" w:hAnsi="宋体" w:eastAsia="宋体" w:cs="宋体"/>
          <w:color w:val="auto"/>
          <w:sz w:val="21"/>
          <w:szCs w:val="21"/>
        </w:rPr>
        <w:t>] 国务院. 宗教事务条例[Z]. 2017-08-26.</w:t>
      </w:r>
    </w:p>
    <w:p w14:paraId="6AF7C5C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6</w:t>
      </w:r>
      <w:r>
        <w:rPr>
          <w:rFonts w:hint="eastAsia" w:ascii="宋体" w:hAnsi="宋体" w:eastAsia="宋体" w:cs="宋体"/>
          <w:color w:val="auto"/>
          <w:sz w:val="21"/>
          <w:szCs w:val="21"/>
        </w:rPr>
        <w:t>]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7</w:t>
      </w:r>
      <w:r>
        <w:rPr>
          <w:rFonts w:hint="eastAsia" w:ascii="宋体" w:hAnsi="宋体" w:eastAsia="宋体" w:cs="宋体"/>
          <w:color w:val="auto"/>
          <w:sz w:val="21"/>
          <w:szCs w:val="21"/>
        </w:rPr>
        <w:t>] 中共中央、国务院. 关于坚持我国宗教中国化方向的意见[Z]. 2021.</w:t>
      </w:r>
    </w:p>
    <w:p w14:paraId="2F25BFC0">
      <w:pPr>
        <w:pStyle w:val="4"/>
        <w:bidi w:val="0"/>
        <w:rPr>
          <w:rFonts w:hint="eastAsia"/>
          <w:color w:val="auto"/>
          <w:lang w:val="en-US" w:eastAsia="zh-CN"/>
        </w:rPr>
      </w:pPr>
      <w:bookmarkStart w:id="1108" w:name="_Toc442612325"/>
      <w:bookmarkStart w:id="1109" w:name="_Toc2048423885"/>
      <w:bookmarkStart w:id="1110" w:name="_Toc1999722979"/>
      <w:bookmarkStart w:id="1111" w:name="_Toc1500048647"/>
      <w:bookmarkStart w:id="1112" w:name="_Toc905641832"/>
      <w:bookmarkStart w:id="1113" w:name="_Toc1512393443"/>
      <w:bookmarkStart w:id="1114" w:name="_Toc610079551"/>
      <w:bookmarkStart w:id="1115" w:name="_Toc1957468772"/>
      <w:r>
        <w:rPr>
          <w:rFonts w:hint="eastAsia"/>
          <w:color w:val="auto"/>
          <w:lang w:val="en-US" w:eastAsia="zh-CN"/>
        </w:rPr>
        <w:t>五、网络资源与新闻报道</w:t>
      </w:r>
      <w:bookmarkEnd w:id="1108"/>
      <w:bookmarkEnd w:id="1109"/>
      <w:bookmarkEnd w:id="1110"/>
      <w:bookmarkEnd w:id="1111"/>
      <w:bookmarkEnd w:id="1112"/>
      <w:bookmarkEnd w:id="1113"/>
      <w:bookmarkEnd w:id="1114"/>
      <w:bookmarkEnd w:id="1115"/>
    </w:p>
    <w:p w14:paraId="0C5F734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杭州圣爱康复医院官网. 医院介绍与服务项目[EB/OL]. https://www.hzsa.org.</w:t>
      </w:r>
    </w:p>
    <w:p w14:paraId="7CD1176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浙江工商大学马克思主义学院. 省宗教院校思想政治教育指导中心召开马克思主义宗教学基地建设座谈会[EB/OL]. 2022-01-19.</w:t>
      </w:r>
    </w:p>
    <w:p w14:paraId="5B4436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80</w:t>
      </w:r>
      <w:r>
        <w:rPr>
          <w:rFonts w:hint="eastAsia" w:ascii="宋体" w:hAnsi="宋体" w:eastAsia="宋体" w:cs="宋体"/>
          <w:color w:val="auto"/>
          <w:sz w:val="21"/>
          <w:szCs w:val="21"/>
        </w:rPr>
        <w:t>] 浙江光盐爱心基金会官网. 基金会章程与项目介绍[EB/OL]. https://www.zjgy.org.</w:t>
      </w:r>
    </w:p>
    <w:p w14:paraId="17F8CA4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81</w:t>
      </w:r>
      <w:r>
        <w:rPr>
          <w:rFonts w:hint="eastAsia" w:ascii="宋体" w:hAnsi="宋体" w:eastAsia="宋体" w:cs="宋体"/>
          <w:color w:val="auto"/>
          <w:sz w:val="21"/>
          <w:szCs w:val="21"/>
        </w:rPr>
        <w:t xml:space="preserve">] 浙江神学院官网. 学院简介与办学理念[EB/OL]. </w:t>
      </w:r>
      <w:r>
        <w:rPr>
          <w:rFonts w:hint="eastAsia" w:ascii="宋体" w:hAnsi="宋体" w:eastAsia="宋体" w:cs="宋体"/>
          <w:color w:val="auto"/>
          <w:sz w:val="21"/>
          <w:szCs w:val="21"/>
        </w:rPr>
        <w:fldChar w:fldCharType="begin"/>
      </w:r>
      <w:r>
        <w:rPr>
          <w:rFonts w:hint="eastAsia" w:ascii="宋体" w:hAnsi="宋体" w:eastAsia="宋体" w:cs="宋体"/>
          <w:color w:val="auto"/>
          <w:sz w:val="21"/>
          <w:szCs w:val="21"/>
        </w:rPr>
        <w:instrText xml:space="preserve"> HYPERLINK "https://www.zjtsxy.org." </w:instrText>
      </w:r>
      <w:r>
        <w:rPr>
          <w:rFonts w:hint="eastAsia" w:ascii="宋体" w:hAnsi="宋体" w:eastAsia="宋体" w:cs="宋体"/>
          <w:color w:val="auto"/>
          <w:sz w:val="21"/>
          <w:szCs w:val="21"/>
        </w:rPr>
        <w:fldChar w:fldCharType="separate"/>
      </w:r>
      <w:r>
        <w:rPr>
          <w:rStyle w:val="27"/>
          <w:rFonts w:hint="eastAsia" w:ascii="宋体" w:hAnsi="宋体" w:eastAsia="宋体" w:cs="宋体"/>
          <w:color w:val="auto"/>
          <w:sz w:val="21"/>
          <w:szCs w:val="21"/>
        </w:rPr>
        <w:t>https://www.zjtsxy.org.</w:t>
      </w:r>
      <w:r>
        <w:rPr>
          <w:rStyle w:val="27"/>
          <w:rFonts w:hint="eastAsia" w:ascii="宋体" w:hAnsi="宋体" w:eastAsia="宋体" w:cs="宋体"/>
          <w:color w:val="auto"/>
          <w:sz w:val="21"/>
          <w:szCs w:val="21"/>
        </w:rPr>
        <w:br w:type="page"/>
      </w:r>
      <w:r>
        <w:rPr>
          <w:rFonts w:hint="eastAsia" w:ascii="宋体" w:hAnsi="宋体" w:eastAsia="宋体" w:cs="宋体"/>
          <w:color w:val="auto"/>
          <w:sz w:val="21"/>
          <w:szCs w:val="21"/>
        </w:rPr>
        <w:fldChar w:fldCharType="end"/>
      </w:r>
    </w:p>
    <w:p w14:paraId="679E75FB">
      <w:pPr>
        <w:pStyle w:val="2"/>
        <w:bidi w:val="0"/>
        <w:rPr>
          <w:rFonts w:hint="eastAsia"/>
          <w:color w:val="auto"/>
          <w:lang w:val="en-US" w:eastAsia="zh-CN"/>
        </w:rPr>
      </w:pPr>
      <w:bookmarkStart w:id="1116" w:name="_Toc1700463448"/>
      <w:bookmarkStart w:id="1117" w:name="_Toc2007077996"/>
      <w:bookmarkStart w:id="1118" w:name="_Toc1180150609"/>
      <w:bookmarkStart w:id="1119" w:name="_Toc101993067"/>
      <w:bookmarkStart w:id="1120" w:name="_Toc1520082879"/>
      <w:bookmarkStart w:id="1121" w:name="_Toc961934159"/>
      <w:bookmarkStart w:id="1122" w:name="_Toc1905664135"/>
      <w:bookmarkStart w:id="1123" w:name="_Toc5919"/>
      <w:bookmarkStart w:id="1124" w:name="_Toc1549890138"/>
      <w:bookmarkStart w:id="1125" w:name="_Toc1393745819"/>
      <w:bookmarkStart w:id="1126" w:name="_Toc14918"/>
      <w:bookmarkStart w:id="1127" w:name="_Toc2089466261"/>
      <w:bookmarkStart w:id="1128" w:name="_Toc760"/>
      <w:bookmarkStart w:id="1129" w:name="_Toc1225032503"/>
      <w:bookmarkStart w:id="1130" w:name="_Toc5632"/>
      <w:bookmarkStart w:id="1131" w:name="_Toc22685"/>
      <w:bookmarkStart w:id="1132" w:name="_Toc1875662611"/>
      <w:bookmarkStart w:id="1133" w:name="_Toc16346"/>
      <w:bookmarkStart w:id="1134" w:name="_Toc30436"/>
      <w:r>
        <w:rPr>
          <w:rFonts w:hint="eastAsia"/>
          <w:color w:val="auto"/>
        </w:rPr>
        <w:t>附 录</w:t>
      </w:r>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p>
    <w:p w14:paraId="29BD481E">
      <w:pPr>
        <w:pStyle w:val="4"/>
        <w:bidi w:val="0"/>
        <w:rPr>
          <w:rFonts w:hint="eastAsia"/>
          <w:color w:val="auto"/>
          <w:lang w:val="en-US" w:eastAsia="zh-CN"/>
        </w:rPr>
      </w:pPr>
      <w:bookmarkStart w:id="1135" w:name="_Toc26911256"/>
      <w:bookmarkStart w:id="1136" w:name="_Toc17303"/>
      <w:bookmarkStart w:id="1137" w:name="_Toc1195554132"/>
      <w:bookmarkStart w:id="1138" w:name="_Toc20637"/>
      <w:bookmarkStart w:id="1139" w:name="_Toc926005587"/>
      <w:bookmarkStart w:id="1140" w:name="_Toc1567482641"/>
      <w:bookmarkStart w:id="1141" w:name="_Toc286751696"/>
      <w:bookmarkStart w:id="1142" w:name="_Toc505526763"/>
      <w:bookmarkStart w:id="1143" w:name="_Toc13564"/>
      <w:bookmarkStart w:id="1144" w:name="_Toc18174"/>
      <w:bookmarkStart w:id="1145" w:name="_Toc32470"/>
      <w:bookmarkStart w:id="1146" w:name="_Toc632321771"/>
      <w:bookmarkStart w:id="1147" w:name="_Toc13764"/>
      <w:bookmarkStart w:id="1148" w:name="_Toc1349048764"/>
      <w:r>
        <w:rPr>
          <w:rFonts w:hint="eastAsia"/>
          <w:color w:val="auto"/>
          <w:lang w:val="en-US" w:eastAsia="zh-CN"/>
        </w:rPr>
        <w:t>一、致 谢</w:t>
      </w:r>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人才，学术研究必须始终坚持正确的政治方向，将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内化于心、外化于行，在教义诠释中自觉融入中华优秀传统文化，以社会主义核心价值观引领信众，做到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政治上靠得住、宗教上有造诣、品德上能服众、关键时起作用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要感激浙江工商大学给予的良好研究环境与资源。学校图书馆中有诸多藏书，存有海量电子资源，为文献调研与论文写作提供了充分保障。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我还要感谢我的家人，他们给予我无尽的爱与支持，这成为我持续前行的动力源泉。在我投身于研究和写作期间，他们怀着极大的耐心来包容我、体谅我，从而使得我得以专心从事学术探究活动。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bCs/>
          <w:color w:val="auto"/>
          <w:sz w:val="24"/>
          <w:szCs w:val="24"/>
        </w:rPr>
        <w:sectPr>
          <w:headerReference r:id="rId11" w:type="default"/>
          <w:footerReference r:id="rId12"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Style w:val="4"/>
        <w:bidi w:val="0"/>
        <w:rPr>
          <w:rFonts w:hint="eastAsia"/>
          <w:color w:val="auto"/>
          <w:lang w:val="en-US" w:eastAsia="zh-CN"/>
        </w:rPr>
      </w:pPr>
      <w:bookmarkStart w:id="1149" w:name="_Toc561910900"/>
      <w:bookmarkStart w:id="1150" w:name="_Toc482450804"/>
      <w:bookmarkStart w:id="1151" w:name="_Toc1682919841"/>
      <w:bookmarkStart w:id="1152" w:name="_Toc1821295192"/>
      <w:bookmarkStart w:id="1153" w:name="_Toc1325913722"/>
      <w:bookmarkStart w:id="1154" w:name="_Toc9970"/>
      <w:bookmarkStart w:id="1155" w:name="_Toc942998209"/>
      <w:bookmarkStart w:id="1156" w:name="_Toc21851"/>
      <w:bookmarkStart w:id="1157" w:name="_Toc12901"/>
      <w:bookmarkStart w:id="1158" w:name="_Toc1498849538"/>
      <w:bookmarkStart w:id="1159" w:name="_Toc5261"/>
      <w:bookmarkStart w:id="1160" w:name="_Toc25604"/>
      <w:bookmarkStart w:id="1161" w:name="_Toc25672"/>
      <w:bookmarkStart w:id="1162" w:name="_Toc330231522"/>
      <w:r>
        <w:rPr>
          <w:rFonts w:hint="eastAsia"/>
          <w:color w:val="auto"/>
          <w:lang w:val="en-US" w:eastAsia="zh-CN"/>
        </w:rPr>
        <w:t>二、论文原创性声明内容</w:t>
      </w:r>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p>
    <w:p w14:paraId="065073FA">
      <w:pPr>
        <w:pageBreakBefore w:val="0"/>
        <w:kinsoku/>
        <w:wordWrap/>
        <w:overflowPunct/>
        <w:topLinePunct w:val="0"/>
        <w:bidi w:val="0"/>
        <w:adjustRightInd w:val="0"/>
        <w:snapToGrid w:val="0"/>
        <w:ind w:firstLine="480" w:firstLineChars="200"/>
        <w:textAlignment w:val="auto"/>
        <w:rPr>
          <w:color w:val="auto"/>
        </w:rPr>
      </w:pPr>
      <w:r>
        <w:rPr>
          <w:rFonts w:hint="eastAsia"/>
          <w:color w:val="auto"/>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r>
        <w:rPr>
          <w:rFonts w:hint="eastAsia" w:ascii="宋体" w:cs="宋体"/>
          <w:color w:val="auto"/>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r>
        <w:rPr>
          <w:rFonts w:hint="eastAsia" w:ascii="宋体" w:cs="宋体"/>
          <w:color w:val="auto"/>
          <w:kern w:val="0"/>
          <w:sz w:val="24"/>
        </w:rPr>
        <w:t>日期</w:t>
      </w:r>
      <w:r>
        <w:rPr>
          <w:rFonts w:ascii="宋体" w:cs="宋体"/>
          <w:color w:val="auto"/>
          <w:kern w:val="0"/>
          <w:sz w:val="24"/>
        </w:rPr>
        <w:t xml:space="preserve"> </w:t>
      </w:r>
      <w:r>
        <w:rPr>
          <w:rFonts w:hint="eastAsia" w:ascii="宋体" w:cs="宋体"/>
          <w:color w:val="auto"/>
          <w:kern w:val="0"/>
          <w:sz w:val="24"/>
        </w:rPr>
        <w:t>：</w:t>
      </w:r>
      <w:r>
        <w:rPr>
          <w:rFonts w:ascii="宋体" w:cs="宋体"/>
          <w:color w:val="auto"/>
          <w:kern w:val="0"/>
          <w:sz w:val="24"/>
        </w:rPr>
        <w:t xml:space="preserve">     </w:t>
      </w:r>
      <w:r>
        <w:rPr>
          <w:rFonts w:hint="eastAsia" w:ascii="宋体" w:cs="宋体"/>
          <w:color w:val="auto"/>
          <w:kern w:val="0"/>
          <w:sz w:val="24"/>
        </w:rPr>
        <w:t>年</w:t>
      </w:r>
      <w:r>
        <w:rPr>
          <w:rFonts w:ascii="宋体" w:cs="宋体"/>
          <w:color w:val="auto"/>
          <w:kern w:val="0"/>
          <w:sz w:val="24"/>
        </w:rPr>
        <w:t xml:space="preserve">   </w:t>
      </w:r>
      <w:r>
        <w:rPr>
          <w:rFonts w:hint="eastAsia" w:ascii="宋体" w:cs="宋体"/>
          <w:color w:val="auto"/>
          <w:kern w:val="0"/>
          <w:sz w:val="24"/>
        </w:rPr>
        <w:t>月</w:t>
      </w:r>
      <w:r>
        <w:rPr>
          <w:rFonts w:ascii="宋体" w:cs="宋体"/>
          <w:color w:val="auto"/>
          <w:kern w:val="0"/>
          <w:sz w:val="24"/>
        </w:rPr>
        <w:t xml:space="preserve">   </w:t>
      </w:r>
      <w:r>
        <w:rPr>
          <w:rFonts w:hint="eastAsia" w:ascii="宋体" w:cs="宋体"/>
          <w:color w:val="auto"/>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color w:val="auto"/>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Style w:val="4"/>
        <w:bidi w:val="0"/>
        <w:rPr>
          <w:rFonts w:hint="eastAsia"/>
          <w:color w:val="auto"/>
          <w:lang w:val="en-US" w:eastAsia="zh-CN"/>
        </w:rPr>
      </w:pPr>
      <w:bookmarkStart w:id="1163" w:name="_Toc1181005856"/>
      <w:bookmarkStart w:id="1164" w:name="_Toc9206"/>
      <w:bookmarkStart w:id="1165" w:name="_Toc276387606"/>
      <w:bookmarkStart w:id="1166" w:name="_Toc29684"/>
      <w:bookmarkStart w:id="1167" w:name="_Toc1799895403"/>
      <w:bookmarkStart w:id="1168" w:name="_Toc326653050"/>
      <w:bookmarkStart w:id="1169" w:name="_Toc11939"/>
      <w:bookmarkStart w:id="1170" w:name="_Toc81"/>
      <w:bookmarkStart w:id="1171" w:name="_Toc1550900441"/>
      <w:bookmarkStart w:id="1172" w:name="_Toc27173"/>
      <w:bookmarkStart w:id="1173" w:name="_Toc194120735"/>
      <w:bookmarkStart w:id="1174" w:name="_Toc28213"/>
      <w:bookmarkStart w:id="1175" w:name="_Toc541583803"/>
      <w:bookmarkStart w:id="1176" w:name="_Toc1103446406"/>
      <w:r>
        <w:rPr>
          <w:rFonts w:hint="eastAsia"/>
          <w:color w:val="auto"/>
          <w:lang w:val="en-US" w:eastAsia="zh-CN"/>
        </w:rPr>
        <w:t>三、附 件</w:t>
      </w:r>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p>
    <w:p w14:paraId="34D31A10">
      <w:pPr>
        <w:pageBreakBefore w:val="0"/>
        <w:kinsoku/>
        <w:wordWrap/>
        <w:overflowPunct/>
        <w:topLinePunct w:val="0"/>
        <w:bidi w:val="0"/>
        <w:adjustRightInd w:val="0"/>
        <w:snapToGrid w:val="0"/>
        <w:ind w:left="480" w:leftChars="200" w:firstLine="0" w:firstLineChars="0"/>
        <w:textAlignment w:val="auto"/>
        <w:rPr>
          <w:rFonts w:hint="eastAsia"/>
          <w:color w:val="auto"/>
          <w:lang w:val="en-US" w:eastAsia="zh-CN"/>
        </w:rPr>
      </w:pPr>
      <w:r>
        <w:rPr>
          <w:color w:val="auto"/>
        </w:rPr>
        <w:t>附件一：</w:t>
      </w:r>
      <w:r>
        <w:rPr>
          <w:color w:val="auto"/>
        </w:rPr>
        <w:br w:type="textWrapping"/>
      </w:r>
      <w:r>
        <w:rPr>
          <w:color w:val="auto"/>
        </w:rPr>
        <w:t>附件二：</w:t>
      </w:r>
      <w:r>
        <w:rPr>
          <w:color w:val="auto"/>
        </w:rPr>
        <w:br w:type="textWrapping"/>
      </w:r>
      <w:r>
        <w:rPr>
          <w:color w:val="auto"/>
        </w:rPr>
        <w:t>附件三：</w:t>
      </w:r>
    </w:p>
    <w:p w14:paraId="495DCB43">
      <w:pPr>
        <w:pageBreakBefore w:val="0"/>
        <w:kinsoku/>
        <w:wordWrap/>
        <w:overflowPunct/>
        <w:topLinePunct w:val="0"/>
        <w:bidi w:val="0"/>
        <w:adjustRightInd w:val="0"/>
        <w:snapToGrid w:val="0"/>
        <w:ind w:firstLine="480" w:firstLineChars="200"/>
        <w:textAlignment w:val="auto"/>
        <w:rPr>
          <w:rFonts w:hint="eastAsia"/>
          <w:color w:val="auto"/>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苹方">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2">
    <w:p>
      <w:pPr>
        <w:spacing w:line="360" w:lineRule="auto"/>
        <w:ind w:firstLine="480"/>
      </w:pPr>
      <w:r>
        <w:separator/>
      </w:r>
    </w:p>
  </w:footnote>
  <w:footnote w:type="continuationSeparator" w:id="183">
    <w:p>
      <w:pPr>
        <w:spacing w:line="360" w:lineRule="auto"/>
        <w:ind w:firstLine="480"/>
      </w:pPr>
      <w:r>
        <w:continuationSeparator/>
      </w:r>
    </w:p>
  </w:footnote>
  <w:footnote w:id="0">
    <w:p w14:paraId="4DBF4ED4">
      <w:pPr>
        <w:pStyle w:val="17"/>
        <w:keepNext w:val="0"/>
        <w:keepLines w:val="0"/>
        <w:pageBreakBefore w:val="0"/>
        <w:widowControl w:val="0"/>
        <w:kinsoku/>
        <w:wordWrap/>
        <w:overflowPunct/>
        <w:topLinePunct w:val="0"/>
        <w:bidi w:val="0"/>
        <w:adjustRightInd w:val="0"/>
        <w:snapToGrid w:val="0"/>
        <w:textAlignment w:val="auto"/>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王伟光：《不断增进“五个认同” 深入推进我国宗教中国化》，《人民政协报》2022年4月14日，第10版。</w:t>
      </w:r>
    </w:p>
  </w:footnote>
  <w:footnote w:id="1">
    <w:p w14:paraId="17A28E58">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游斌. 基督教与中国文化[M]. 北京：宗教文化出版社，2018.</w:t>
      </w:r>
    </w:p>
  </w:footnote>
  <w:footnote w:id="2">
    <w:p w14:paraId="1F35BEF4">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Theme="majorEastAsia" w:hAnsiTheme="majorEastAsia" w:eastAsiaTheme="majorEastAsia" w:cstheme="majorEastAsia"/>
          <w:sz w:val="18"/>
          <w:szCs w:val="18"/>
        </w:rPr>
        <w:t>王伟光. 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深入推进我国宗教中国化[N]. 人民政协报，2022-04-14（010）.</w:t>
      </w:r>
    </w:p>
  </w:footnote>
  <w:footnote w:id="3">
    <w:p w14:paraId="2A5E1C2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张志刚. 宗教研究指要[M]. 北京：北京大学出版社，2020.</w:t>
      </w:r>
    </w:p>
  </w:footnote>
  <w:footnote w:id="4">
    <w:p w14:paraId="1D85FF2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牟钟鉴：《如何深入理解"坚持中国化方向"——学习习总书记讲话的体会》，《世界宗教研究》2016年第3期，第13-18页。</w:t>
      </w:r>
    </w:p>
  </w:footnote>
  <w:footnote w:id="5">
    <w:p w14:paraId="7423E9D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何虎生、胡竞方：《新中国·新时期·新时代坚持我国宗教中国化的发展历程研究》，《世界宗教研究》2020年第1期，第1-12页。</w:t>
      </w:r>
    </w:p>
  </w:footnote>
  <w:footnote w:id="6">
    <w:p w14:paraId="1509AE3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段琦：《奋进的历程：中国基督教的本色化》，北京：商务印书馆，2004年，第345页。</w:t>
      </w:r>
    </w:p>
  </w:footnote>
  <w:footnote w:id="7">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8">
    <w:p w14:paraId="4D067DB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Stark, Rodney, and Roger Finke, Acts of Faith: Explaining the Human Side of Religion, Berkeley: University of California Press, 2000, pp. 193-218.</w:t>
      </w:r>
    </w:p>
  </w:footnote>
  <w:footnote w:id="9">
    <w:p w14:paraId="6F9DD3BC">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Nygren, Anders, Agape and Eros: The Christian Idea of Love, Chicago: University of Chicago Press, 1982, pp. 45-67.</w:t>
      </w:r>
    </w:p>
  </w:footnote>
  <w:footnote w:id="10">
    <w:p w14:paraId="18A31287">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Aquinas, Thomas, Summa Theologica, II-II, Q.23, a.1, translated by Fathers of the English Dominican Province, London: Burns Oates &amp; Washbourne, 1912-1936, Vol. 24, p. 11.</w:t>
      </w:r>
    </w:p>
  </w:footnote>
  <w:footnote w:id="11">
    <w:p w14:paraId="14F1940A">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Pope Benedict XVI, Deus Caritas Est (Encyclical Letter), Vatican: Libreria Editrice Vaticana, 2005, nos. 1-3, pp. 5-9.</w:t>
      </w:r>
    </w:p>
  </w:footnote>
  <w:footnote w:id="12">
    <w:p w14:paraId="4FBE573F">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杜维明：《儒家思想：以创造转化为自我认同》，北京：生活·读书·新知三联书店，2013年，第156-178页。</w:t>
      </w:r>
    </w:p>
  </w:footnote>
  <w:footnote w:id="13">
    <w:p w14:paraId="563189E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Ames, Roger T., and Henry Rosemont Jr., trans., The Analects of Confucius: A Philosophical Translation, New York: Ballantine Books, 1998, pp. 48-52.</w:t>
      </w:r>
    </w:p>
  </w:footnote>
  <w:footnote w:id="14">
    <w:p w14:paraId="4D48DB51">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Küng, Hans, and Julia Ching, Christianity and Chinese Religions, New York: Doubleday, 1989, pp. 67-89.</w:t>
      </w:r>
    </w:p>
  </w:footnote>
  <w:footnote w:id="15">
    <w:p w14:paraId="2991634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朱全红、张苹英：《儒家"仁爱"伦理与基督教"博爱"伦理思想比较研究》，《吉首大学学报（社会科学版）》2002年第4期，第53-58页。</w:t>
      </w:r>
    </w:p>
  </w:footnote>
  <w:footnote w:id="16">
    <w:p w14:paraId="3F0EE0C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杨宝安：《儒家仁爱与基督教博爱思想比较研究》，西北师范大学硕士学位论文，2011年，第45页。</w:t>
      </w:r>
    </w:p>
  </w:footnote>
  <w:footnote w:id="17">
    <w:p w14:paraId="3B8C619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黄勇：《儒家仁爱观与全球伦理：兼论基督教对儒家的批评》，《中国哲学史》2019年第2期，第5-14页。</w:t>
      </w:r>
    </w:p>
  </w:footnote>
  <w:footnote w:id="18">
    <w:p w14:paraId="7B033E0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Weber, Max. The Protestant Ethic and the Spirit of Capitalism. Translated by Talcott Parsons. New York: Charles Scribner's Sons, 1958.</w:t>
      </w:r>
    </w:p>
  </w:footnote>
  <w:footnote w:id="19">
    <w:p w14:paraId="1C70790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Bellah, Robert N. Habits of the Heart: Individualism and Commitment in American Life. Berkeley: University of California Press, 1985.</w:t>
      </w:r>
    </w:p>
  </w:footnote>
  <w:footnote w:id="20">
    <w:p w14:paraId="734D32C2">
      <w:pPr>
        <w:pageBreakBefore w:val="0"/>
        <w:kinsoku/>
        <w:wordWrap/>
        <w:overflowPunct/>
        <w:topLinePunct w:val="0"/>
        <w:bidi w:val="0"/>
        <w:adjustRightInd w:val="0"/>
        <w:snapToGrid w:val="0"/>
        <w:spacing w:line="240" w:lineRule="auto"/>
        <w:ind w:left="0" w:leftChars="0" w:firstLine="420" w:firstLineChars="200"/>
        <w:textAlignment w:val="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Casanova, José. Public Religions in the Modern World. Chicago: University of Chicago Press, 1994.</w:t>
      </w:r>
    </w:p>
  </w:footnote>
  <w:footnote w:id="21">
    <w:p w14:paraId="322793A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Troeltsch, Ernst. The Social Teaching of the Christian Churches. Translated by Olive Wyon. New York: Macmillan, 1931.</w:t>
      </w:r>
    </w:p>
  </w:footnote>
  <w:footnote w:id="22">
    <w:p w14:paraId="7054CA21">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Troeltsch, Ernst, The Social Teaching of the Christian Churches, translated by Olive Wyon, New York: Macmillan, 1931, Vol. 1, pp. 331-345.</w:t>
      </w:r>
    </w:p>
  </w:footnote>
  <w:footnote w:id="23">
    <w:p w14:paraId="5BB80EA8">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Weber, Max, The Protestant Ethic and the Spirit of Capitalism, translated by Talcott Parsons, New York: Charles Scribner's Sons, 1958, pp. 90-110.</w:t>
      </w:r>
    </w:p>
  </w:footnote>
  <w:footnote w:id="24">
    <w:p w14:paraId="6316CBA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Niebuhr, H. Richard, Christ and Culture, New York: Harper &amp; Row, 1951, pp. 39-44.</w:t>
      </w:r>
    </w:p>
  </w:footnote>
  <w:footnote w:id="25">
    <w:p w14:paraId="32213332">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26">
    <w:p w14:paraId="6EB39FEF">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27">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28">
    <w:p w14:paraId="61F27EB6">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w:t>
      </w:r>
      <w:r>
        <w:rPr>
          <w:rFonts w:hint="eastAsia" w:ascii="宋体" w:hAnsi="宋体" w:eastAsia="宋体" w:cs="宋体"/>
          <w:sz w:val="18"/>
          <w:szCs w:val="18"/>
          <w:lang w:eastAsia="zh-CN"/>
        </w:rPr>
        <w:t>“</w:t>
      </w:r>
      <w:r>
        <w:rPr>
          <w:rFonts w:hint="eastAsia" w:ascii="宋体" w:hAnsi="宋体" w:eastAsia="宋体" w:cs="宋体"/>
          <w:sz w:val="18"/>
          <w:szCs w:val="18"/>
        </w:rPr>
        <w:t>坚持中国化方向</w:t>
      </w:r>
      <w:r>
        <w:rPr>
          <w:rFonts w:hint="eastAsia" w:ascii="宋体" w:hAnsi="宋体" w:eastAsia="宋体" w:cs="宋体"/>
          <w:sz w:val="18"/>
          <w:szCs w:val="18"/>
          <w:lang w:eastAsia="zh-CN"/>
        </w:rPr>
        <w:t>”</w:t>
      </w:r>
      <w:r>
        <w:rPr>
          <w:rFonts w:hint="eastAsia" w:ascii="宋体" w:hAnsi="宋体" w:eastAsia="宋体" w:cs="宋体"/>
          <w:sz w:val="18"/>
          <w:szCs w:val="18"/>
        </w:rPr>
        <w:t>——学习习总书记讲话的体会》，《世界宗教研究》2016年第3期，第13-18页。</w:t>
      </w:r>
    </w:p>
  </w:footnote>
  <w:footnote w:id="29">
    <w:p w14:paraId="56855D3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宋体" w:hAnsi="宋体" w:eastAsia="宋体" w:cs="宋体"/>
          <w:sz w:val="18"/>
          <w:szCs w:val="18"/>
        </w:rPr>
        <w:t>王作安：《宗教与社会主义社会相适应的理论与实践》，《中国宗教》2018年第5期，第4-7页。</w:t>
      </w:r>
    </w:p>
  </w:footnote>
  <w:footnote w:id="30">
    <w:p w14:paraId="276184C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段琦：《奋进的历程：中国基督教的本色化》，北京：商务印书馆，2004年，第278-290页。</w:t>
      </w:r>
    </w:p>
  </w:footnote>
  <w:footnote w:id="31">
    <w:p w14:paraId="556DA0B1">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唐晓峰：《中国基督教本土化研究》，北京：宗教文化出版社，2017年，第156-167页。</w:t>
      </w:r>
    </w:p>
  </w:footnote>
  <w:footnote w:id="32">
    <w:p w14:paraId="67D0BBB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徐以骅：《宗教与国际关系》，载徐以骅主编：《宗教与美国社会》，北京：时事出版社，2004年，第1-20页。</w:t>
      </w:r>
    </w:p>
  </w:footnote>
  <w:footnote w:id="33">
    <w:p w14:paraId="65A02CB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游斌：《基督教与中国文化》，北京：宗教文化出版社，2018年，第89-102页。</w:t>
      </w:r>
    </w:p>
  </w:footnote>
  <w:footnote w:id="34">
    <w:p w14:paraId="416712E8">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陈宗皋、马桦：《以社会主义核心价值观引领宗教工作的理论与实践》，《中国宗教》2019年第3期，第22-25页。</w:t>
      </w:r>
    </w:p>
  </w:footnote>
  <w:footnote w:id="35">
    <w:p w14:paraId="771CED8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李平晔：《基督教中国化研究》，北京：宗教文化出版社，2016年，第201-215页。</w:t>
      </w:r>
    </w:p>
  </w:footnote>
  <w:footnote w:id="36">
    <w:p w14:paraId="44602177">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赵敦华：《基督教哲学1500年》，北京：人民出版社，1994年，第456-467页。</w:t>
      </w:r>
    </w:p>
  </w:footnote>
  <w:footnote w:id="37">
    <w:p w14:paraId="0E7C7E6D">
      <w:pPr>
        <w:pStyle w:val="17"/>
        <w:snapToGrid w:val="0"/>
      </w:pPr>
      <w:r>
        <w:rPr>
          <w:rStyle w:val="29"/>
          <w:rFonts w:hint="eastAsia" w:ascii="苹方" w:hAnsi="苹方" w:eastAsia="苹方" w:cs="苹方"/>
          <w:sz w:val="21"/>
          <w:szCs w:val="21"/>
        </w:rPr>
        <w:footnoteRef/>
      </w:r>
      <w:r>
        <w:rPr>
          <w:rFonts w:hint="eastAsia" w:ascii="苹方" w:hAnsi="苹方" w:eastAsia="苹方" w:cs="苹方"/>
          <w:sz w:val="21"/>
          <w:szCs w:val="21"/>
        </w:rPr>
        <w:t xml:space="preserve"> </w:t>
      </w:r>
      <w:r>
        <w:rPr>
          <w:rFonts w:hint="eastAsia" w:ascii="宋体" w:hAnsi="宋体" w:eastAsia="宋体" w:cs="宋体"/>
          <w:sz w:val="18"/>
          <w:szCs w:val="18"/>
        </w:rPr>
        <w:t>中国基督教全国两会：《深入推进我国基督教中国化五年工作规划纲要（2023-2027年）》，2023年，第5页。</w:t>
      </w:r>
    </w:p>
  </w:footnote>
  <w:footnote w:id="38">
    <w:p w14:paraId="57AEAC3F">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中国基督教全国两会：《2024年工作要点》，2024年，第3页。</w:t>
      </w:r>
    </w:p>
  </w:footnote>
  <w:footnote w:id="39">
    <w:p w14:paraId="499347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曹正勇：《从谢颂羔汉译〈天路历程〉看基督教经典的中国化实践》，《世界宗教研究》2024年。</w:t>
      </w:r>
    </w:p>
  </w:footnote>
  <w:footnote w:id="40">
    <w:p w14:paraId="26B1E16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赵卫红：《将</w:t>
      </w:r>
      <w:r>
        <w:rPr>
          <w:rFonts w:hint="eastAsia" w:ascii="宋体" w:hAnsi="宋体" w:eastAsia="宋体" w:cs="宋体"/>
          <w:sz w:val="18"/>
          <w:szCs w:val="18"/>
          <w:lang w:eastAsia="zh-CN"/>
        </w:rPr>
        <w:t>“</w:t>
      </w:r>
      <w:r>
        <w:rPr>
          <w:rFonts w:hint="eastAsia" w:ascii="宋体" w:hAnsi="宋体" w:eastAsia="宋体" w:cs="宋体"/>
          <w:sz w:val="18"/>
          <w:szCs w:val="18"/>
        </w:rPr>
        <w:t>四史</w:t>
      </w:r>
      <w:r>
        <w:rPr>
          <w:rFonts w:hint="eastAsia" w:ascii="宋体" w:hAnsi="宋体" w:eastAsia="宋体" w:cs="宋体"/>
          <w:sz w:val="18"/>
          <w:szCs w:val="18"/>
          <w:lang w:eastAsia="zh-CN"/>
        </w:rPr>
        <w:t>”</w:t>
      </w:r>
      <w:r>
        <w:rPr>
          <w:rFonts w:hint="eastAsia" w:ascii="宋体" w:hAnsi="宋体" w:eastAsia="宋体" w:cs="宋体"/>
          <w:sz w:val="18"/>
          <w:szCs w:val="18"/>
        </w:rPr>
        <w:t>教育融入基督教神学教育 推动基督教中国化走深走实》，《中国宗教》2023年第5期，第42-44页。</w:t>
      </w:r>
    </w:p>
  </w:footnote>
  <w:footnote w:id="41">
    <w:p w14:paraId="4504DC8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韩雪莉：《社会主义核心价值观引领我国伊斯兰教中国化的当代实践与启示》，《中国宗教》2024年第3期，第56-58页。</w:t>
      </w:r>
    </w:p>
  </w:footnote>
  <w:footnote w:id="42">
    <w:p w14:paraId="3C1DA50D">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《中国基督教研究》近年相关论文，JRCC, 2023-2024.</w:t>
      </w:r>
    </w:p>
  </w:footnote>
  <w:footnote w:id="43">
    <w:p w14:paraId="5E14B56B">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王思琪：《山东圣公会乡村本色化运动研究（1912-1937）》，山东大学硕士学位论文，2017年，第67页。</w:t>
      </w:r>
    </w:p>
  </w:footnote>
  <w:footnote w:id="44">
    <w:p w14:paraId="260EE3B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吕臻雨：《泸州教会社会服务实践研究》，四川大学硕士学位论文，2019年，第89页。</w:t>
      </w:r>
    </w:p>
  </w:footnote>
  <w:footnote w:id="45">
    <w:p w14:paraId="624B493F">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陈金羽：《Q教会服务队与社会工作融合研究》，福建师范大学硕士学位论文，2020年，第56页。</w:t>
      </w:r>
    </w:p>
  </w:footnote>
  <w:footnote w:id="46">
    <w:p w14:paraId="0F3331BF">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47">
    <w:p w14:paraId="3C6FA592">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Bhabha, Homi K. The Location of Culture. London: Routledge, 1994.</w:t>
      </w:r>
    </w:p>
  </w:footnote>
  <w:footnote w:id="48">
    <w:p w14:paraId="3C9C58D1">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Maryknoll: Orbis Books, 2002.</w:t>
      </w:r>
    </w:p>
  </w:footnote>
  <w:footnote w:id="49">
    <w:p w14:paraId="3905DFB6">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Maryknoll: Orbis Books, 1985.</w:t>
      </w:r>
    </w:p>
  </w:footnote>
  <w:footnote w:id="50">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1">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2">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3">
    <w:p w14:paraId="2E26EF8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朱全红、张苹英：《儒家"仁爱"伦理与基督教"博爱"伦理思想比较研究》，《吉首大学学报（社会科学版）》2002年第4期，第53页。</w:t>
      </w:r>
    </w:p>
  </w:footnote>
  <w:footnote w:id="54">
    <w:p w14:paraId="732E022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赵天恩：《中国教会史研究》，载《基督教学术》第1辑，上海：上海古籍出版社，2002年，第23页。</w:t>
      </w:r>
    </w:p>
  </w:footnote>
  <w:footnote w:id="55">
    <w:p w14:paraId="6041E91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段琦. 奋进的历程：中国基督教的本色化[M]. 北京：商务印书馆，2004.</w:t>
      </w:r>
    </w:p>
  </w:footnote>
  <w:footnote w:id="56">
    <w:p w14:paraId="5F4B8BE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57">
    <w:p w14:paraId="6B4F7EB5">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杨宝安. 儒家仁爱与基督教博爱思想比较研究[D]. 兰州：西北师范大学，2011.</w:t>
      </w:r>
    </w:p>
  </w:footnote>
  <w:footnote w:id="58">
    <w:p w14:paraId="5532681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陈先达：《马克思主义宗教观研究》，北京：中国人民大学出版社，2018年，第134页。</w:t>
      </w:r>
    </w:p>
  </w:footnote>
  <w:footnote w:id="59">
    <w:p w14:paraId="0F6057B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龚学增：《社会主义与宗教》，北京：宗教文化出版社，2003年，第89页。</w:t>
      </w:r>
    </w:p>
  </w:footnote>
  <w:footnote w:id="60">
    <w:p w14:paraId="03ACECF9">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何虎生、胡竞方：《新中国·新时期·新时代坚持我国宗教中国化的发展历程研究》，《世界宗教研究》2020年第1期，第8页。</w:t>
      </w:r>
    </w:p>
  </w:footnote>
  <w:footnote w:id="61">
    <w:p w14:paraId="43AA77F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pp. 102-122.</w:t>
      </w:r>
    </w:p>
  </w:footnote>
  <w:footnote w:id="62">
    <w:p w14:paraId="4E75111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刘耘华：《诠释的圆环》，第67页。</w:t>
      </w:r>
    </w:p>
  </w:footnote>
  <w:footnote w:id="63">
    <w:p w14:paraId="13A6163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万俊人. 寻求普世伦理[M]. 北京：商务印书馆，2001.</w:t>
      </w:r>
    </w:p>
  </w:footnote>
  <w:footnote w:id="64">
    <w:p w14:paraId="77647D38">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Rawls, John. Political Liberalism. New York: Columbia University Press, 1993.</w:t>
      </w:r>
    </w:p>
  </w:footnote>
  <w:footnote w:id="65">
    <w:p w14:paraId="3753D2E4">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66">
    <w:p w14:paraId="3DCD475F">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67">
    <w:p w14:paraId="57171030">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pp. 15-28.</w:t>
      </w:r>
    </w:p>
  </w:footnote>
  <w:footnote w:id="68">
    <w:p w14:paraId="1CC05E9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黄勇：《儒家仁爱观与全球伦理：兼论基督教对儒家的批评》，《中国哲学史》2019年第2期，第9页。</w:t>
      </w:r>
    </w:p>
  </w:footnote>
  <w:footnote w:id="69">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0">
    <w:p w14:paraId="75F10ABE">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1">
    <w:p w14:paraId="61371972">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Hauerwas, Stanley. A Community of Character: Toward a Constructive Christian Social Ethic. Notre Dame: University of Notre Dame Press, 1981.</w:t>
      </w:r>
    </w:p>
  </w:footnote>
  <w:footnote w:id="72">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3">
    <w:p w14:paraId="013EFB77">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74">
    <w:p w14:paraId="35970C0D">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London: Routledge, 1994.</w:t>
      </w:r>
    </w:p>
  </w:footnote>
  <w:footnote w:id="75">
    <w:p w14:paraId="53EE9754">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Ames, Roger T., and Henry Rosemont Jr., trans. The Analects of Confucius: A Philosophical Translation. New York: Ballantine Books, 1998.</w:t>
      </w:r>
    </w:p>
  </w:footnote>
  <w:footnote w:id="76">
    <w:p w14:paraId="3D20F1BB">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王思琪. 山东圣公会乡村本色化运动研究（1912-1937）[D]. 济南：山东大学，2017.</w:t>
      </w:r>
    </w:p>
  </w:footnote>
  <w:footnote w:id="77">
    <w:p w14:paraId="713FF990">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8">
    <w:p w14:paraId="7C49CDF3">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陈来. 中华文明的核心价值：国学流变与传统价值观[M]. 北京：生活·读书·新知三联书店，2015.</w:t>
      </w:r>
    </w:p>
  </w:footnote>
  <w:footnote w:id="79">
    <w:p w14:paraId="46EB3191">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黄勇. 儒家仁爱观与全球伦理：兼论基督教对儒家的批评[J]. 中国哲学史，2019（2）：5-14.</w:t>
      </w:r>
    </w:p>
  </w:footnote>
  <w:footnote w:id="80">
    <w:p w14:paraId="343C28FB">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杨凤岗. 中国基督徒的社会认同与"叠合身份"困境[J]. 社会，2012，32（4）：1-22.</w:t>
      </w:r>
    </w:p>
  </w:footnote>
  <w:footnote w:id="81">
    <w:p w14:paraId="75D2775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陈金羽. Q教会服务队与社会工作融合研究[D]. 福州：福建师范大学，2020.</w:t>
      </w:r>
    </w:p>
  </w:footnote>
  <w:footnote w:id="82">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3">
    <w:p w14:paraId="7D97415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浙江省基督教两会：《基督教中国化神学思想建设第十九次研讨会综述》，2019年12月。</w:t>
      </w:r>
    </w:p>
  </w:footnote>
  <w:footnote w:id="84">
    <w:p w14:paraId="6A608DF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 基督教中国化神学思想建设第十九次研讨会综述[Z]. 2019.</w:t>
      </w:r>
    </w:p>
  </w:footnote>
  <w:footnote w:id="85">
    <w:p w14:paraId="766ADB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张忠成：《基督教伦理与社会主义核心价值观之刍议》，载《基督教中国化神学思想建设第十九次研讨会论文集》，杭州：浙江省基督教两会，2019年，第23-28页。</w:t>
      </w:r>
    </w:p>
  </w:footnote>
  <w:footnote w:id="86">
    <w:p w14:paraId="3450D45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莫幸福. 浙江宗教史[M]. 杭州：浙江人民出版社，2011.</w:t>
      </w:r>
    </w:p>
  </w:footnote>
  <w:footnote w:id="87">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88">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89">
    <w:p w14:paraId="77F9C690">
      <w:pPr>
        <w:keepNext w:val="0"/>
        <w:keepLines w:val="0"/>
        <w:widowControl/>
        <w:suppressLineNumbers w:val="0"/>
        <w:spacing w:line="240" w:lineRule="auto"/>
        <w:jc w:val="left"/>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0">
    <w:p w14:paraId="2758665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F11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t>基督教仁爱观念与核心价值观的融合途径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FED14"/>
    <w:multiLevelType w:val="singleLevel"/>
    <w:tmpl w:val="EBBFED14"/>
    <w:lvl w:ilvl="0" w:tentative="0">
      <w:start w:val="1"/>
      <w:numFmt w:val="chineseCounting"/>
      <w:suff w:val="nothing"/>
      <w:lvlText w:val="（%1）"/>
      <w:lvlJc w:val="left"/>
      <w:rPr>
        <w:rFonts w:hint="eastAsia"/>
      </w:rPr>
    </w:lvl>
  </w:abstractNum>
  <w:abstractNum w:abstractNumId="1">
    <w:nsid w:val="FEDF65E6"/>
    <w:multiLevelType w:val="singleLevel"/>
    <w:tmpl w:val="FEDF65E6"/>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82"/>
    <w:footnote w:id="18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A7AE39"/>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D69AA2F"/>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BFFD8D"/>
    <w:rsid w:val="5FDF2B62"/>
    <w:rsid w:val="5FEFCC80"/>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5C5610"/>
    <w:rsid w:val="74660341"/>
    <w:rsid w:val="74B63BCE"/>
    <w:rsid w:val="74FC3467"/>
    <w:rsid w:val="753D30AC"/>
    <w:rsid w:val="75E8710C"/>
    <w:rsid w:val="764D5571"/>
    <w:rsid w:val="7666E8A2"/>
    <w:rsid w:val="76740A4A"/>
    <w:rsid w:val="768C7E47"/>
    <w:rsid w:val="76DC1B61"/>
    <w:rsid w:val="76FBEB55"/>
    <w:rsid w:val="774A385E"/>
    <w:rsid w:val="776E1C6A"/>
    <w:rsid w:val="77822FF8"/>
    <w:rsid w:val="77A9169F"/>
    <w:rsid w:val="77FCFF39"/>
    <w:rsid w:val="77FF289B"/>
    <w:rsid w:val="787F6D6D"/>
    <w:rsid w:val="78CE2999"/>
    <w:rsid w:val="78CF226D"/>
    <w:rsid w:val="799F7E92"/>
    <w:rsid w:val="7A401675"/>
    <w:rsid w:val="7A7F0810"/>
    <w:rsid w:val="7B6C6499"/>
    <w:rsid w:val="7BFF40CD"/>
    <w:rsid w:val="7C06069C"/>
    <w:rsid w:val="7C61721C"/>
    <w:rsid w:val="7CBF0CD9"/>
    <w:rsid w:val="7CFB73B5"/>
    <w:rsid w:val="7D3A75BA"/>
    <w:rsid w:val="7D4A63E6"/>
    <w:rsid w:val="7D6451DA"/>
    <w:rsid w:val="7D85FF46"/>
    <w:rsid w:val="7D9F2B56"/>
    <w:rsid w:val="7DD249AC"/>
    <w:rsid w:val="7E3200C4"/>
    <w:rsid w:val="7E7B4F9E"/>
    <w:rsid w:val="7EBF9FE3"/>
    <w:rsid w:val="7EDFFE83"/>
    <w:rsid w:val="7F0F1615"/>
    <w:rsid w:val="7F103699"/>
    <w:rsid w:val="7F471C5D"/>
    <w:rsid w:val="7F5E434B"/>
    <w:rsid w:val="7F6E20C0"/>
    <w:rsid w:val="7FCEBB01"/>
    <w:rsid w:val="7FE94C3B"/>
    <w:rsid w:val="7FFF863A"/>
    <w:rsid w:val="87D6694E"/>
    <w:rsid w:val="939FD8A6"/>
    <w:rsid w:val="9DDF58B0"/>
    <w:rsid w:val="AF7D6241"/>
    <w:rsid w:val="B17F98A5"/>
    <w:rsid w:val="BDFD99DA"/>
    <w:rsid w:val="BDFF9945"/>
    <w:rsid w:val="BFB74420"/>
    <w:rsid w:val="BFFF1618"/>
    <w:rsid w:val="DD7D62DA"/>
    <w:rsid w:val="DE41AC18"/>
    <w:rsid w:val="DF9FE771"/>
    <w:rsid w:val="DFF5EC0F"/>
    <w:rsid w:val="E1E8B167"/>
    <w:rsid w:val="EA5FA46B"/>
    <w:rsid w:val="EAAF8A68"/>
    <w:rsid w:val="EB9C9453"/>
    <w:rsid w:val="EBFF1325"/>
    <w:rsid w:val="ED7666DF"/>
    <w:rsid w:val="EEDD2370"/>
    <w:rsid w:val="EFBE85BB"/>
    <w:rsid w:val="EFE99A5D"/>
    <w:rsid w:val="F2FDC5E2"/>
    <w:rsid w:val="F75D49A3"/>
    <w:rsid w:val="F77C7050"/>
    <w:rsid w:val="F7ED9DA4"/>
    <w:rsid w:val="F7EEDC20"/>
    <w:rsid w:val="FD3F15F1"/>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 w:type="character" w:customStyle="1" w:styleId="45">
    <w:name w:val="15"/>
    <w:basedOn w:val="24"/>
    <w:uiPriority w:val="0"/>
    <w:rPr>
      <w:rFonts w:hint="eastAsia"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611</Words>
  <Characters>845</Characters>
  <Lines>1</Lines>
  <Paragraphs>1</Paragraphs>
  <TotalTime>3</TotalTime>
  <ScaleCrop>false</ScaleCrop>
  <LinksUpToDate>false</LinksUpToDate>
  <CharactersWithSpaces>1022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2024-02-10T08:52:00Z</dcterms:created>
  <dc:creator>勤策</dc:creator>
  <cp:lastModifiedBy>子夜LOVES7</cp:lastModifiedBy>
  <dcterms:modified xsi:type="dcterms:W3CDTF">2026-06-16T22:56:06Z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AF3E7A0F65BE51B30664316A677A79F1_43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