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jc w:val="center"/>
      </w:pPr>
      <w:r>
        <w:rPr>
          <w:rFonts w:ascii="黑体" w:hAnsi="黑体" w:eastAsia="黑体"/>
          <w:b/>
          <w:sz w:val="44"/>
        </w:rPr>
        <w:t>佛教中国化视域下十善业道与儒家五常的融合机制</w:t>
      </w:r>
    </w:p>
    <w:p>
      <w:pPr>
        <w:spacing w:after="80"/>
        <w:jc w:val="center"/>
      </w:pPr>
      <w:r>
        <w:rPr>
          <w:rFonts w:ascii="仿宋" w:hAnsi="仿宋" w:eastAsia="仿宋"/>
          <w:sz w:val="24"/>
        </w:rPr>
        <w:t>释果顺（指导教师：郑根成）</w:t>
      </w:r>
    </w:p>
    <w:p>
      <w:pPr>
        <w:spacing w:after="80"/>
        <w:jc w:val="center"/>
      </w:pPr>
      <w:r>
        <w:rPr>
          <w:rFonts w:ascii="仿宋" w:hAnsi="仿宋" w:eastAsia="仿宋"/>
          <w:sz w:val="24"/>
        </w:rPr>
        <w:t>2026年6月</w:t>
      </w:r>
    </w:p>
    <w:p>
      <w:pPr>
        <w:spacing w:after="80"/>
        <w:ind w:firstLine="432"/>
      </w:pPr>
      <w:r>
        <w:rPr>
          <w:rFonts w:ascii="黑体" w:hAnsi="黑体" w:eastAsia="黑体"/>
          <w:b/>
          <w:sz w:val="24"/>
        </w:rPr>
        <w:t>摘  要</w:t>
      </w:r>
    </w:p>
    <w:p>
      <w:pPr>
        <w:spacing w:line="360" w:lineRule="auto" w:after="80"/>
        <w:ind w:firstLine="432"/>
      </w:pPr>
      <w:r>
        <w:rPr>
          <w:rFonts w:ascii="宋体" w:hAnsi="宋体" w:eastAsia="宋体"/>
          <w:sz w:val="24"/>
        </w:rPr>
        <w:t>在佛教中国化的历史进程中，十善业道与儒家五常的交融构成了伦理思想演进的核心线索。本文突破传统"五戒配五常"的静态格义范式，聚焦十善业道中"口业四善"与"意业三善"的伦理意涵，构建"义理同构—心性贯通—行为规训"三维分析框架，系统考察两种异质道德体系的融通机制。研究表明，十善与五常在深层逻辑上呈现"异质同构"特质：在本体论层面，佛教"明心见性"与儒家"尽心知性"达成哲学圆融；在心理学层面，佛性与良知实现深度交融；在社会学层面，功过格等微观载体将抽象伦理转化为可量化的基层规训工具。面对当代商业诚信缺失、生态环境恶化及网络空间失范等伦理困境，佛儒交融所孕育的道德智慧仍具跨越时空的应对价值。</w:t>
      </w:r>
    </w:p>
    <w:p>
      <w:pPr>
        <w:spacing w:after="200"/>
        <w:ind w:firstLine="432"/>
      </w:pPr>
      <w:r>
        <w:rPr>
          <w:rFonts w:ascii="黑体" w:hAnsi="黑体" w:eastAsia="黑体"/>
          <w:b/>
          <w:sz w:val="24"/>
        </w:rPr>
        <w:t>关键词：</w:t>
      </w:r>
      <w:r>
        <w:rPr>
          <w:rFonts w:ascii="仿宋" w:hAnsi="仿宋" w:eastAsia="仿宋"/>
          <w:sz w:val="24"/>
        </w:rPr>
        <w:t>佛教中国化；十善业道；儒家五常；伦理融合；异质同构</w:t>
      </w:r>
    </w:p>
    <w:p>
      <w:pPr>
        <w:spacing w:before="240" w:after="120" w:line="360" w:lineRule="auto"/>
        <w:ind w:firstLine="0"/>
      </w:pPr>
      <w:r>
        <w:rPr>
          <w:rFonts w:ascii="黑体" w:hAnsi="黑体" w:eastAsia="黑体"/>
          <w:b/>
          <w:sz w:val="28"/>
        </w:rPr>
        <w:t>一、理论渊源与历史演进脉络</w:t>
      </w:r>
    </w:p>
    <w:p>
      <w:pPr>
        <w:spacing w:line="360" w:lineRule="auto" w:after="80"/>
        <w:ind w:firstLine="432"/>
      </w:pPr>
      <w:r>
        <w:rPr>
          <w:rFonts w:ascii="宋体" w:hAnsi="宋体" w:eastAsia="宋体"/>
          <w:sz w:val="24"/>
        </w:rPr>
        <w:t>佛教中国化历程堪称中外文明交流互鉴的经典案例，其中佛教伦理与儒家核心价值观的长期交融，是推动这一历史进程不断演进的内在动力。党的二十大报告明确提出"坚持我国宗教中国化方向"，这一政策取向为宗教学术研究标示了基本方位——从既有信仰资源中提炼具有普适价值的伦理基因，推动其与现代文明实现衔接和转化。回溯思想史脉络，早期佛教多采取"五戒"与"五常"格义比附的策略消解文化冲突。然而，"五戒"作为防非止恶的底线禁忌，偏重于外在行为的被动规训，难以契合传统社会日益精微的心性修养诉求。相较之下，"十善业道"展现出了更为绵密且圆融的伦理涵盖力——其不仅涵括约束形体动作的"身业"与规范人际交往的"口业"，更向内延展至净化精神本体的"意业"。"不贪、不嗔、不邪见"等意业规范，将佛教"万法唯识"的宗教哲学与儒家"诚意正心"的心性理路巧妙贯通，有效消弭了两者在修养功夫上的理论壁垒。基于此，本文引入"异质同构"理论作为分析框架，系统探究十善业道与五常这两种异质道德体系的融通机制。</w:t>
      </w:r>
    </w:p>
    <w:p>
      <w:pPr>
        <w:spacing w:before="240" w:after="120" w:line="360" w:lineRule="auto"/>
        <w:ind w:firstLine="432"/>
      </w:pPr>
      <w:r>
        <w:rPr>
          <w:rFonts w:ascii="黑体" w:hAnsi="黑体" w:eastAsia="黑体"/>
          <w:b/>
          <w:sz w:val="26"/>
        </w:rPr>
        <w:t>（一）十善业道与五常的概念演进</w:t>
      </w:r>
    </w:p>
    <w:p>
      <w:pPr>
        <w:spacing w:line="360" w:lineRule="auto" w:after="80"/>
        <w:ind w:firstLine="432"/>
      </w:pPr>
      <w:r>
        <w:rPr>
          <w:rFonts w:ascii="宋体" w:hAnsi="宋体" w:eastAsia="宋体"/>
          <w:sz w:val="24"/>
        </w:rPr>
        <w:t>"十善业道"（梵语 Daśa-kuśala-karmāṇi）经历了从早期佛教到大乘佛教的深刻演进。早期佛教以"五戒"为基础，侧重对外在行为的防非止恶。至大乘佛教兴起，十善概念正式确立为身业三善（不杀生、不偷盗、不邪淫）、口业四善（不妄语、不两舌、不恶口、不绮语）、意业三善（不贪、不嗔、不邪见）。其中"意业三善"的纳入是关键标志，标志着佛教伦理从外在行为规训向内在心性净化的哲学转向。大乘佛教进一步将十善升格为菩萨道的修行根基，《华严经·十地品》称"一切人天依之而立，一切声闻、独觉、诸菩萨等及诸如来成正觉果，皆依此十善业道"，赋予其贯通世出世间的普遍法则意义。</w:t>
      </w:r>
    </w:p>
    <w:p>
      <w:pPr>
        <w:spacing w:line="360" w:lineRule="auto" w:after="80"/>
        <w:ind w:firstLine="432"/>
      </w:pPr>
      <w:r>
        <w:rPr>
          <w:rFonts w:ascii="宋体" w:hAnsi="宋体" w:eastAsia="宋体"/>
          <w:sz w:val="24"/>
        </w:rPr>
        <w:t>"五常"即仁、义、礼、智、信，其概念演进同样经历了漫长历程。先秦孔子以"仁"为统摄诸德的核心范畴，孟子提出"四端"说——"恻隐之心，仁之端也；羞恶之心，义之端也；辞让之心，礼之端也；是非之心，智之端也"——从本体论层面奠定了儒家伦理的先验性与主体内在性。汉代董仲舒将"信"正式纳入，首倡"仁义礼智信"五常之道，并与"五行"形成同构类比。至宋代理学，朱熹以"性即理"之定论，宣告五常由外在礼法规约向内在本然之性的逻辑跃迁。这一形而上转轨，实质上是对佛教"佛性论"的结构性回应，从根本上消解了儒释两家在形而上视域的理论级差，为"十善即五常"的理论同调清除了学理障碍。</w:t>
      </w:r>
    </w:p>
    <w:p>
      <w:pPr>
        <w:spacing w:before="240" w:after="120" w:line="360" w:lineRule="auto"/>
        <w:ind w:firstLine="432"/>
      </w:pPr>
      <w:r>
        <w:rPr>
          <w:rFonts w:ascii="黑体" w:hAnsi="黑体" w:eastAsia="黑体"/>
          <w:b/>
          <w:sz w:val="26"/>
        </w:rPr>
        <w:t>（二）"异质同构"的理论内涵</w:t>
      </w:r>
    </w:p>
    <w:p>
      <w:pPr>
        <w:spacing w:line="360" w:lineRule="auto" w:after="80"/>
        <w:ind w:firstLine="432"/>
      </w:pPr>
      <w:r>
        <w:rPr>
          <w:rFonts w:ascii="宋体" w:hAnsi="宋体" w:eastAsia="宋体"/>
          <w:sz w:val="24"/>
        </w:rPr>
        <w:t>所谓"异质同构"，强调两套异质伦理体系在应对社会秩序整合与个体德性确立等根本伦理问题时，在深层逻辑上生成结构相似、功能对应的规范形态。佛教十善奠基于"缘起性空"与出世解脱，儒家五常深植于宗法伦常与入世治平，二者分属异质话语系统，此为"异质"。然而二者在三个层面形成深度叠合：在行为规范层面，十善的"身口二业"与五常的外在践履形成精准的规训映射；在道德心理学层面，十善的"意业三善"与五常的"心性修养"在修养功夫上呈现结构性叠合；在本体论层面，佛教的"明心见性"与儒家的"尽心知性"在终极归趣上达成哲学圆融，此为"同构"。</w:t>
      </w:r>
    </w:p>
    <w:p>
      <w:pPr>
        <w:spacing w:line="360" w:lineRule="auto" w:after="80"/>
        <w:ind w:firstLine="432"/>
      </w:pPr>
      <w:r>
        <w:rPr>
          <w:rFonts w:ascii="宋体" w:hAnsi="宋体" w:eastAsia="宋体"/>
          <w:sz w:val="24"/>
        </w:rPr>
        <w:t>具体而言，"不杀生"彰显对有情众生的终极敬畏，与儒学"天地之大德曰生"的宇宙生机及"仁"之本体暗合；"不偷盗"严守利欲底线，与儒家"见得思义"的价值裁断互为表里；"不邪淫"节制情欲流转，直指"非礼勿动"的宗法伦常秩序。"口业四善"在微观交往层面对儒家"信"与"礼"进行了精细化拓殖——"不妄语"与"不绮语"由正反两道勘定了"言必信"的人伦契约基点，"不两舌"与"不恶口"则构筑起消解群际戾气、杜绝离间纷争的防护屏障。而"意业三善"直指潜意识动机，与宋明理学"存天理、灭人欲"的克治功夫在结构上高度叠合，构成了二者深度圆融的逻辑枢纽。</w:t>
      </w:r>
    </w:p>
    <w:p>
      <w:pPr>
        <w:spacing w:before="240" w:after="120" w:line="360" w:lineRule="auto"/>
        <w:ind w:firstLine="432"/>
      </w:pPr>
      <w:r>
        <w:rPr>
          <w:rFonts w:ascii="黑体" w:hAnsi="黑体" w:eastAsia="黑体"/>
          <w:b/>
          <w:sz w:val="26"/>
        </w:rPr>
        <w:t>（三）从格义比附到深度圆融的历史演进</w:t>
      </w:r>
    </w:p>
    <w:p>
      <w:pPr>
        <w:spacing w:line="360" w:lineRule="auto" w:after="80"/>
        <w:ind w:firstLine="432"/>
      </w:pPr>
      <w:r>
        <w:rPr>
          <w:rFonts w:ascii="宋体" w:hAnsi="宋体" w:eastAsia="宋体"/>
          <w:sz w:val="24"/>
        </w:rPr>
        <w:t>魏晋之际，早期僧侣借助"格义"之法将佛教"五戒"与儒家"五常"逐一拟配。颜之推在《颜氏家训·勉学》中作出范式性定调："五戒之呼，五常之目。仁者不杀，义者不盗，礼者不邪，智者不饮酒，信者不妄语。"</w:t>
        <w:footnoteReference w:id="1" w:customMarkAffixed="0"/>
      </w:r>
      <w:r>
        <w:rPr>
          <w:rFonts w:ascii="宋体" w:hAnsi="宋体" w:eastAsia="宋体"/>
          <w:sz w:val="24"/>
        </w:rPr>
        <w:t>此种机械拟配带有政治妥协与护教防御底色，但已凿破异质文化壁垒。</w:t>
      </w:r>
    </w:p>
    <w:p>
      <w:pPr>
        <w:spacing w:line="360" w:lineRule="auto" w:after="80"/>
        <w:ind w:firstLine="432"/>
      </w:pPr>
      <w:r>
        <w:rPr>
          <w:rFonts w:ascii="宋体" w:hAnsi="宋体" w:eastAsia="宋体"/>
          <w:sz w:val="24"/>
        </w:rPr>
        <w:t>迄于隋唐，佛教凭借"判教"体系对儒家伦理展开理论统摄。天台智者大师将"十善"与国家治道相连，赋予其护国安邦的政治伦理意义。</w:t>
        <w:footnoteReference w:id="2" w:customMarkAffixed="0"/>
      </w:r>
      <w:r>
        <w:rPr>
          <w:rFonts w:ascii="宋体" w:hAnsi="宋体" w:eastAsia="宋体"/>
          <w:sz w:val="24"/>
        </w:rPr>
        <w:t>圭峰宗密在《原人论》中明示"五常五戒，乃至十善……皆是人天道"，将五常重新安置进佛教整体架构。</w:t>
        <w:footnoteReference w:id="3" w:customMarkAffixed="0"/>
      </w:r>
      <w:r>
        <w:rPr>
          <w:rFonts w:ascii="宋体" w:hAnsi="宋体" w:eastAsia="宋体"/>
          <w:sz w:val="24"/>
        </w:rPr>
        <w:t>南宗禅促使十善中直指动机的"意业三善"与儒家"诚意正心"达成冥合，交涉至此全面跃升为对至善本体的主动建构。</w:t>
      </w:r>
    </w:p>
    <w:p>
      <w:pPr>
        <w:spacing w:line="360" w:lineRule="auto" w:after="80"/>
        <w:ind w:firstLine="432"/>
      </w:pPr>
      <w:r>
        <w:rPr>
          <w:rFonts w:ascii="宋体" w:hAnsi="宋体" w:eastAsia="宋体"/>
          <w:sz w:val="24"/>
        </w:rPr>
        <w:t>宋明之际，儒家理学强势复苏，士大夫排佛声浪日炽。北宋名僧契嵩于《辅教编》中采取"援儒入佛"之姿，重申"五戒即五常"，更提出"戒之所由生，孝其本也"的破局之论，将大乘十善统摄于儒家"大孝"理趣之下，精准消解了二教在宗法社会中的对立。</w:t>
        <w:footnoteReference w:id="4" w:customMarkAffixed="0"/>
      </w:r>
      <w:r>
        <w:rPr>
          <w:rFonts w:ascii="宋体" w:hAnsi="宋体" w:eastAsia="宋体"/>
          <w:sz w:val="24"/>
        </w:rPr>
        <w:t>契嵩在《原教》篇中明断："夫不杀，仁也；不妄言，信也；不盗，义也；不邪淫，礼也；不饮酒，智也。"</w:t>
        <w:footnoteReference w:id="5" w:customMarkAffixed="0"/>
      </w:r>
      <w:r>
        <w:rPr>
          <w:rFonts w:ascii="宋体" w:hAnsi="宋体" w:eastAsia="宋体"/>
          <w:sz w:val="24"/>
        </w:rPr>
        <w:t>此种对勘超越了魏晋时期的表层比附，创造性地将佛教"防非止恶"嵌置于儒门"百行之先"的孝道框架中重新诠释。</w:t>
      </w:r>
    </w:p>
    <w:p>
      <w:pPr>
        <w:spacing w:line="360" w:lineRule="auto" w:after="80"/>
        <w:ind w:firstLine="432"/>
      </w:pPr>
      <w:r>
        <w:rPr>
          <w:rFonts w:ascii="宋体" w:hAnsi="宋体" w:eastAsia="宋体"/>
          <w:sz w:val="24"/>
        </w:rPr>
        <w:t>明清时期，佛儒会通出现世俗化转向，承载这一变化的转为"功过格"。明末高僧云栖袾宏编撰的《自知录》，首创了对道德践履进行细密量化的考量体系。</w:t>
        <w:footnoteReference w:id="6" w:customMarkAffixed="0"/>
      </w:r>
      <w:r>
        <w:rPr>
          <w:rFonts w:ascii="宋体" w:hAnsi="宋体" w:eastAsia="宋体"/>
          <w:sz w:val="24"/>
        </w:rPr>
        <w:t>例如，在映射"仁"与"不杀生"时，《自知录》规定："救免一人死，准百善""救有力报人之畜命，一命一善"；在映射"义"与"不偷盗"时，规定"拾遗还主，值百钱一善"。</w:t>
        <w:footnoteReference w:id="7" w:customMarkAffixed="0"/>
      </w:r>
      <w:r>
        <w:rPr>
          <w:rFonts w:ascii="宋体" w:hAnsi="宋体" w:eastAsia="宋体"/>
          <w:sz w:val="24"/>
        </w:rPr>
        <w:t>反之，"起一贪念，准一过""排陷一人，准百过"。借由这种将佛教"身、口、意"三业与儒家日用伦常高度绑定的记账式考核，十善与五常的融会彻底摆脱了玄远的哲理思辨，坐实为乡土社会可逐日登记、具象可视的微观基准，精准填补了传统中国"皇权不下县"所衍生的基层秩序盲区。</w:t>
      </w:r>
    </w:p>
    <w:p>
      <w:pPr>
        <w:spacing w:line="360" w:lineRule="auto" w:after="80"/>
        <w:ind w:firstLine="432"/>
      </w:pPr>
      <w:r>
        <w:rPr>
          <w:rFonts w:ascii="宋体" w:hAnsi="宋体" w:eastAsia="宋体"/>
          <w:sz w:val="24"/>
        </w:rPr>
        <w:t>晚清以降，面对救亡图存课题，传统伦理重构剥离了宗法血缘躯壳，转向现代公共空间。章太炎主张借佛教"依自不依他"锻造革命人格；梁启超认为佛教"同体大悲"能培育现代国民的"大公无私"之德。</w:t>
        <w:footnoteReference w:id="8" w:customMarkAffixed="0"/>
      </w:r>
      <w:r>
        <w:rPr>
          <w:rFonts w:ascii="宋体" w:hAnsi="宋体" w:eastAsia="宋体"/>
          <w:sz w:val="24"/>
        </w:rPr>
        <w:t>民国时期，太虚大师力倡"人间佛教"，提出"人成即佛成"，主张将十善业道转化为现代市民社会的公共道德基石。</w:t>
        <w:footnoteReference w:id="9" w:customMarkAffixed="0"/>
      </w:r>
      <w:r>
        <w:rPr>
          <w:rFonts w:ascii="宋体" w:hAnsi="宋体" w:eastAsia="宋体"/>
          <w:sz w:val="24"/>
        </w:rPr>
        <w:t>当代星云大师提倡"做好事、说好话、存好心"的"三好运动"，实质上是对十善业道"身、口、意"三业的现代通俗转译——"做好事"对应身业三善，"说好话"对应口业四善，"存好心"对应意业三善。通过剥去晦涩深奥的宗教名相，这种转译极大地拉近了佛教伦理与现代大众生活的距离。</w:t>
        <w:footnoteReference w:id="10" w:customMarkAffixed="0"/>
      </w:r>
    </w:p>
    <w:p>
      <w:pPr>
        <w:spacing w:before="240" w:after="120" w:line="360" w:lineRule="auto"/>
        <w:ind w:firstLine="0"/>
      </w:pPr>
      <w:r>
        <w:rPr>
          <w:rFonts w:ascii="黑体" w:hAnsi="黑体" w:eastAsia="黑体"/>
          <w:b/>
          <w:sz w:val="28"/>
        </w:rPr>
        <w:t>二、融合的深层内在机制</w:t>
      </w:r>
    </w:p>
    <w:p>
      <w:pPr>
        <w:spacing w:before="240" w:after="120" w:line="360" w:lineRule="auto"/>
        <w:ind w:firstLine="432"/>
      </w:pPr>
      <w:r>
        <w:rPr>
          <w:rFonts w:ascii="黑体" w:hAnsi="黑体" w:eastAsia="黑体"/>
          <w:b/>
          <w:sz w:val="26"/>
        </w:rPr>
        <w:t>（一）义理同构：本体论维度的概念置换</w:t>
      </w:r>
    </w:p>
    <w:p>
      <w:pPr>
        <w:spacing w:line="360" w:lineRule="auto" w:after="80"/>
        <w:ind w:firstLine="432"/>
      </w:pPr>
      <w:r>
        <w:rPr>
          <w:rFonts w:ascii="宋体" w:hAnsi="宋体" w:eastAsia="宋体"/>
          <w:sz w:val="24"/>
        </w:rPr>
        <w:t>十善与五常在历史维度上的成功对接，深层动力并非简单的词汇附会，而是基于严密的义理同构机制。契嵩通过文本细读，创造性地将佛教出世的"防非止恶"嵌置于儒门"百行之先"的孝道框架中重新诠释。他在《孝论》中提出"夫孝也者，大戒之所先也"，借由儒家"身体发肤，受之父母，不敢毁伤"之旨，论证佛教"不杀生"之身业与"不瞋恚"之意业，不仅是对生生之德的慈悲，更是为了全其法身、不辱先人。</w:t>
        <w:footnoteReference w:id="11" w:customMarkAffixed="0"/>
      </w:r>
      <w:r>
        <w:rPr>
          <w:rFonts w:ascii="宋体" w:hAnsi="宋体" w:eastAsia="宋体"/>
          <w:sz w:val="24"/>
        </w:rPr>
        <w:t>在此种概念对勘的底层，实则是佛教对其核心哲学底盘的深刻置换——佛教主动剥离了外在的"业报轮回"说，转而高扬"如来藏"系统下强调"至善真如"的真心本体论，与儒家的"天理"与"至善"本体完成同构。</w:t>
      </w:r>
      <w:r>
        <w:rPr>
          <w:rFonts w:ascii="宋体" w:hAnsi="宋体" w:eastAsia="宋体"/>
          <w:sz w:val="24"/>
        </w:rPr>
        <w:t>契嵩巧妙借助《孟子》"尽心知性"与《中庸》"率性之谓道"，论证了佛教"明心见性"与儒家"存心养性"在终极归趣上的高度冥合，使得十善与五常的结合不再是外在道德条目的机械拼凑，而是"业报法则"与"宇宙天理"在人类内在至善本源上的必然外显。</w:t>
      </w:r>
    </w:p>
    <w:p>
      <w:pPr>
        <w:spacing w:before="240" w:after="120" w:line="360" w:lineRule="auto"/>
        <w:ind w:firstLine="432"/>
      </w:pPr>
      <w:r>
        <w:rPr>
          <w:rFonts w:ascii="黑体" w:hAnsi="黑体" w:eastAsia="黑体"/>
          <w:b/>
          <w:sz w:val="26"/>
        </w:rPr>
        <w:t>（二）心性贯通：内向超越的心理动机</w:t>
      </w:r>
    </w:p>
    <w:p>
      <w:pPr>
        <w:spacing w:line="360" w:lineRule="auto" w:after="80"/>
        <w:ind w:firstLine="432"/>
      </w:pPr>
      <w:r>
        <w:rPr>
          <w:rFonts w:ascii="宋体" w:hAnsi="宋体" w:eastAsia="宋体"/>
          <w:sz w:val="24"/>
        </w:rPr>
        <w:t>融合进程推进至第二重维度时，关键在于促成心理动机的深刻转轨——即将底层民众对佛教果报的外在恐惧，逐步转化为儒家心性之学所强调的内在道德自觉。以王阳明《南赣乡约》为例，其虽主张致良知，但底层逻辑已在深层吸收了十善中检摄意业的心性微观理路。</w:t>
        <w:footnoteReference w:id="12" w:customMarkAffixed="0"/>
      </w:r>
      <w:r>
        <w:rPr>
          <w:rFonts w:ascii="宋体" w:hAnsi="宋体" w:eastAsia="宋体"/>
          <w:sz w:val="24"/>
        </w:rPr>
        <w:t>至此阶段，佛教的佛性（觉悟本体）与儒家的良知（道德本体），在具体的修持心理上已基本合二为一。</w:t>
      </w:r>
      <w:r>
        <w:rPr>
          <w:rFonts w:ascii="宋体" w:hAnsi="宋体" w:eastAsia="宋体"/>
          <w:sz w:val="24"/>
        </w:rPr>
        <w:t>明末高僧蕅益智旭在《四书蕅益解》中，直接借用佛教唯识学微观心性理路，对儒家"格物致知"进行了心理学层面的重构。</w:t>
        <w:footnoteReference w:id="13" w:customMarkAffixed="0"/>
      </w:r>
      <w:r>
        <w:rPr>
          <w:rFonts w:ascii="宋体" w:hAnsi="宋体" w:eastAsia="宋体"/>
          <w:sz w:val="24"/>
        </w:rPr>
        <w:t>依其解释，儒家所言之"物"已非外部客观存在的物理实体，而是人心中生发的物欲。经过此一心理机制的巧妙置换，儒家心性修养从佛教唯识学借鉴了一套严密且具高度可操作性的防非止恶技术，儒释两家在向内用力这一具体修持路径上实现了真正贯通。</w:t>
      </w:r>
    </w:p>
    <w:p>
      <w:pPr>
        <w:spacing w:before="240" w:after="120" w:line="360" w:lineRule="auto"/>
        <w:ind w:firstLine="432"/>
      </w:pPr>
      <w:r>
        <w:rPr>
          <w:rFonts w:ascii="黑体" w:hAnsi="黑体" w:eastAsia="黑体"/>
          <w:b/>
          <w:sz w:val="26"/>
        </w:rPr>
        <w:t>（三）行为规训：伦理实践的量化与社会控制</w:t>
      </w:r>
    </w:p>
    <w:p>
      <w:pPr>
        <w:spacing w:line="360" w:lineRule="auto" w:after="80"/>
        <w:ind w:firstLine="432"/>
      </w:pPr>
      <w:r>
        <w:rPr>
          <w:rFonts w:ascii="宋体" w:hAnsi="宋体" w:eastAsia="宋体"/>
          <w:sz w:val="24"/>
        </w:rPr>
        <w:t>十善与五常的融合同样建立在精密的社会心理机制之上。明清"功过格"之所以能在民间大行其道，是因为它成功地将抽象的道德说教转化为"可量化、可操作的道德资本"。</w:t>
        <w:footnoteReference w:id="14" w:customMarkAffixed="0"/>
      </w:r>
      <w:r>
        <w:rPr>
          <w:rFonts w:ascii="宋体" w:hAnsi="宋体" w:eastAsia="宋体"/>
          <w:sz w:val="24"/>
        </w:rPr>
        <w:t>从福柯的规训理论视域来看，功过格的"计件式"道德管理本质上是一种"微观权力技术"：它通过将抽象伦理拆解为可观测、可量化、可奖惩的微观指标，使道德主体在日复一日的自我审视中完成了从"他律慑服"向"自律规训"的内在转化。</w:t>
        <w:footnoteReference w:id="15" w:customMarkAffixed="0"/>
      </w:r>
      <w:r>
        <w:rPr>
          <w:rFonts w:ascii="宋体" w:hAnsi="宋体" w:eastAsia="宋体"/>
          <w:sz w:val="24"/>
        </w:rPr>
        <w:t>然而，当神圣的伦理信条被拆解为可供加减运算的功过积分时，道德实践便不可避免地滑向了锱铢必较的功利主义算计。正如晚明大儒刘宗周所批判的，此种规制使得行善持戒蜕变为"如市道交"的商业交易。</w:t>
        <w:footnoteReference w:id="16" w:customMarkAffixed="0"/>
      </w:r>
      <w:r>
        <w:rPr>
          <w:rFonts w:ascii="宋体" w:hAnsi="宋体" w:eastAsia="宋体"/>
          <w:sz w:val="24"/>
        </w:rPr>
        <w:t>这一历史张力提醒我们在当代重构中须警惕道德量化的异化风险，避免将神圣的伦理追求降格为世俗的功利计算。</w:t>
      </w:r>
    </w:p>
    <w:p>
      <w:pPr>
        <w:spacing w:before="240" w:after="120" w:line="360" w:lineRule="auto"/>
        <w:ind w:firstLine="0"/>
      </w:pPr>
      <w:r>
        <w:rPr>
          <w:rFonts w:ascii="黑体" w:hAnsi="黑体" w:eastAsia="黑体"/>
          <w:b/>
          <w:sz w:val="28"/>
        </w:rPr>
        <w:t>三、当代价值与现代转化</w:t>
      </w:r>
    </w:p>
    <w:p>
      <w:pPr>
        <w:spacing w:before="240" w:after="120" w:line="360" w:lineRule="auto"/>
        <w:ind w:firstLine="432"/>
      </w:pPr>
      <w:r>
        <w:rPr>
          <w:rFonts w:ascii="黑体" w:hAnsi="黑体" w:eastAsia="黑体"/>
          <w:b/>
          <w:sz w:val="26"/>
        </w:rPr>
        <w:t>（一）破解当代社会失范困境</w:t>
      </w:r>
    </w:p>
    <w:p>
      <w:pPr>
        <w:spacing w:line="360" w:lineRule="auto" w:after="80"/>
        <w:ind w:firstLine="432"/>
      </w:pPr>
      <w:r>
        <w:rPr>
          <w:rFonts w:ascii="宋体" w:hAnsi="宋体" w:eastAsia="宋体"/>
          <w:sz w:val="24"/>
        </w:rPr>
        <w:t>在现代性急剧扩张的宏观语境下，资本逻辑的无序蔓延与技术理性的僭越，催生了多维度的社会失范症候。十善与五常的融摄范式为当代重构公共道德秩序提供了本土思想资粮。</w:t>
      </w:r>
      <w:r>
        <w:rPr>
          <w:rFonts w:ascii="宋体" w:hAnsi="宋体" w:eastAsia="宋体"/>
          <w:sz w:val="24"/>
        </w:rPr>
        <w:t>经济伦理建构方面，《十善业道经》论及"离偷盗"时明言财富积累必须具备"道德合法性"，从本体论层面否定了零和博弈与巧取豪夺。</w:t>
        <w:footnoteReference w:id="17" w:customMarkAffixed="0"/>
      </w:r>
      <w:r>
        <w:rPr>
          <w:rFonts w:ascii="宋体" w:hAnsi="宋体" w:eastAsia="宋体"/>
          <w:sz w:val="24"/>
        </w:rPr>
        <w:t>佛教的因果业报与儒家的义利之辨在此交汇，共同构筑了防范商业欺诈的深层心理防线。将佛教自律机制与儒家诚意正心、慎独的修身传统相糅合，能够有效对治企业管理者唯利是图的短期博弈心理，为构建具有中国特色的高水平社会主义市场经济体制提供深厚的本土文化支撑。</w:t>
      </w:r>
    </w:p>
    <w:p>
      <w:pPr>
        <w:spacing w:line="360" w:lineRule="auto" w:after="80"/>
        <w:ind w:firstLine="432"/>
      </w:pPr>
      <w:r>
        <w:rPr>
          <w:rFonts w:ascii="宋体" w:hAnsi="宋体" w:eastAsia="宋体"/>
          <w:sz w:val="24"/>
        </w:rPr>
        <w:t>生态伦理方面，佛教"离杀生"之戒奠基于缘起性空的宇宙图景，《梵网经》明言"一切地水是我先身，一切火风是我本体"，从根本上消解了人类与非人类物种之间的本体论藩篱。儒家循由"亲亲而仁民，仁民而爱物"的同情共感机制，确立了层层向外推扩的道德共同体。儒佛二者在生态维度上的互摄，将自然从被征服的资源库整体性地擢升为不可割裂的生命共同体，有效规避了西方环保运动中潜藏的功利主义计算，为全球环境治理奠定了中国哲理基石。</w:t>
      </w:r>
    </w:p>
    <w:p>
      <w:pPr>
        <w:spacing w:line="360" w:lineRule="auto" w:after="80"/>
        <w:ind w:firstLine="432"/>
      </w:pPr>
      <w:r>
        <w:rPr>
          <w:rFonts w:ascii="宋体" w:hAnsi="宋体" w:eastAsia="宋体"/>
          <w:sz w:val="24"/>
        </w:rPr>
        <w:t>网络伦理方面，佛教"口业四善"精准契合了当代网络交往失范的深层理路。"不两舌"直指网络社群中的舆论操纵与圈层撕裂；"不恶口"构成了对网络暴力与群体性人身攻击的道德规训；"不绮语"从发心处抵制泛娱乐化与煽动性信息生产；"不妄语"为防避网络谣言筑牢了诚实底线。引入传统伦理资粮，其要旨在于跳出单一的"技术工具主义"窠臼，在刚性法制之外唤醒网络主体的内生道德律令，建构清朗、理性且具有反思能力的公共话语空间。</w:t>
      </w:r>
    </w:p>
    <w:p>
      <w:pPr>
        <w:spacing w:before="240" w:after="120" w:line="360" w:lineRule="auto"/>
        <w:ind w:firstLine="432"/>
      </w:pPr>
      <w:r>
        <w:rPr>
          <w:rFonts w:ascii="黑体" w:hAnsi="黑体" w:eastAsia="黑体"/>
          <w:b/>
          <w:sz w:val="26"/>
        </w:rPr>
        <w:t>（二）推动佛教中国化纵深发展</w:t>
      </w:r>
    </w:p>
    <w:p>
      <w:pPr>
        <w:spacing w:line="360" w:lineRule="auto" w:after="80"/>
        <w:ind w:firstLine="432"/>
      </w:pPr>
      <w:r>
        <w:rPr>
          <w:rFonts w:ascii="宋体" w:hAnsi="宋体" w:eastAsia="宋体"/>
          <w:sz w:val="24"/>
        </w:rPr>
        <w:t>当代佛教中国化的核心理路，是以社会主义核心价值观为时代坐标，对"十善业道"展开深度的现代诠释与人文化建构。"不偷盗"之戒律经由理性升华，转化为对现代产权制度及他人劳动价值的绝对尊重；"不妄语"外化为维系现代公民交往与市场经济运行的诚信基石。</w:t>
      </w:r>
      <w:r>
        <w:rPr>
          <w:rFonts w:ascii="宋体" w:hAnsi="宋体" w:eastAsia="宋体"/>
          <w:sz w:val="24"/>
        </w:rPr>
        <w:t>太虚大师所作经典判摄——"仰止唯佛陀，完成在人格。人成即佛成，是名真现实"——将原本悬置于出世解脱的宗教诉求，彻底落实为现实世间道德人格的圆满。</w:t>
        <w:footnoteReference w:id="18" w:customMarkAffixed="0"/>
      </w:r>
      <w:r>
        <w:rPr>
          <w:rFonts w:ascii="宋体" w:hAnsi="宋体" w:eastAsia="宋体"/>
          <w:sz w:val="24"/>
        </w:rPr>
        <w:t>同时，佛教的社会功能亟需突破传统私德修养的畛域，向现代公共领域建构进行实质性延展。针对现代社会由高压与快节奏所诱发的广泛性心理危机，十善中针对意三业（离贪欲、离嗔恚、离邪见）的微观心性对治，正经历着极具价值的跨学科转化，成为现代临床心理干预及正念减压疗法的重要本土思想渊源。</w:t>
        <w:footnoteReference w:id="19" w:customMarkAffixed="0"/>
      </w:r>
      <w:r>
        <w:rPr>
          <w:rFonts w:ascii="宋体" w:hAnsi="宋体" w:eastAsia="宋体"/>
          <w:sz w:val="24"/>
        </w:rPr>
        <w:t>当代正念心理干预中的注意力训练与情绪调节技法，与十善意业修持在机制上存在显著的结构性相似，佛教正实现从来世解脱范式向现世疗愈范式的结构性转型。</w:t>
      </w:r>
    </w:p>
    <w:p>
      <w:pPr>
        <w:spacing w:before="240" w:after="120" w:line="360" w:lineRule="auto"/>
        <w:ind w:firstLine="432"/>
      </w:pPr>
      <w:r>
        <w:rPr>
          <w:rFonts w:ascii="黑体" w:hAnsi="黑体" w:eastAsia="黑体"/>
          <w:b/>
          <w:sz w:val="26"/>
        </w:rPr>
        <w:t>（三）全球伦理对话的中国智慧</w:t>
      </w:r>
    </w:p>
    <w:p>
      <w:pPr>
        <w:spacing w:line="360" w:lineRule="auto" w:after="80"/>
        <w:ind w:firstLine="432"/>
      </w:pPr>
      <w:r>
        <w:rPr>
          <w:rFonts w:ascii="宋体" w:hAnsi="宋体" w:eastAsia="宋体"/>
          <w:sz w:val="24"/>
        </w:rPr>
        <w:t>儒释伦理的深度融摄，实质上是中国古典思想家应对跨文化冲突、化解异质文明张力并最终实现思想范式重构的历史结晶。面对当下地缘冲突加剧、文明隔阂与宗教排他主义抬头的全球性困境，这一本土化历程构成了超越西方"文明冲突论"的中国智慧。</w:t>
      </w:r>
      <w:r>
        <w:rPr>
          <w:rFonts w:ascii="宋体" w:hAnsi="宋体" w:eastAsia="宋体"/>
          <w:sz w:val="24"/>
        </w:rPr>
        <w:t>中国历史上儒释两家基于同情与克己所达成的结构性同调，为构建全球底线伦理提供了极具普适性与实操性的东方历史样本。</w:t>
        <w:footnoteReference w:id="20" w:customMarkAffixed="0"/>
      </w:r>
      <w:r>
        <w:rPr>
          <w:rFonts w:ascii="宋体" w:hAnsi="宋体" w:eastAsia="宋体"/>
          <w:sz w:val="24"/>
        </w:rPr>
        <w:t>这种向全球输出"文明互鉴"中国方案的进程，无疑是新时代构筑中华民族文化自信最为有力的学术与现实实践。</w:t>
      </w:r>
    </w:p>
    <w:p>
      <w:pPr>
        <w:spacing w:before="240" w:after="120" w:line="360" w:lineRule="auto"/>
        <w:ind w:firstLine="0"/>
      </w:pPr>
      <w:r>
        <w:rPr>
          <w:rFonts w:ascii="黑体" w:hAnsi="黑体" w:eastAsia="黑体"/>
          <w:b/>
          <w:sz w:val="28"/>
        </w:rPr>
        <w:t>结语</w:t>
      </w:r>
    </w:p>
    <w:p>
      <w:pPr>
        <w:spacing w:line="360" w:lineRule="auto" w:after="80"/>
        <w:ind w:firstLine="432"/>
      </w:pPr>
      <w:r>
        <w:rPr>
          <w:rFonts w:ascii="宋体" w:hAnsi="宋体" w:eastAsia="宋体"/>
          <w:sz w:val="24"/>
        </w:rPr>
        <w:t>本文系统梳理了佛教"十善业道"与儒家"五常"的融摄过程，核心结论体现在三个维度：其一，理论逻辑上的心性同构——双方最终在"明心见性"与"尽心知性"的本体论高度达成理境圆融，有效调和了"出世与入世""辞亲与宗法"的张力；其二，历史路径上的基层下沉——从魏晋译经对话到明清"功过格"的量化考课，十善与五常深度嵌入传统乡土社会的制度网络与民俗实践；其三，现代语境下的伦理韧性——儒释交融积淀的生态敬畏、社会契约意识与心性涵养功夫，在应对当代功利主义扩张与道德失序时展现出显著的现实救治效能，印证了中华文明兼收并蓄与持续重构的文化底色。</w:t>
      </w:r>
    </w:p>
    <w:p>
      <w:pPr>
        <w:spacing w:line="360" w:lineRule="auto" w:after="80"/>
        <w:ind w:firstLine="432"/>
      </w:pPr>
      <w:r>
        <w:rPr>
          <w:rFonts w:ascii="宋体" w:hAnsi="宋体" w:eastAsia="宋体"/>
          <w:sz w:val="24"/>
        </w:rPr>
        <w:t>此种跨越漫长时空的伦理融合，确证了中华优秀传统文化自我更新与适应现代社会的内在能力。面对持续显现的现代性危机，这提供了一条切实可行的应对路径，也为深化新时期佛教中国化探索、充实中华文化自信的底蕴，提供了确切的学理意义与应用价值。受限于笔者的学术积累，本文在史料采择上偏重于精英阶层的"规范性文本"，对承载底层信仰实践的"描述性文本"挖掘不足；在现代转化论述中亦偏重于哲学思辨与定性推演，未来若能引入历史人类学与数字人文方法，结合田野调查与量化实证，将进一步丰富这一课题的学术纵深。</w:t>
      </w:r>
    </w:p>
    <w:p>
      <w:pPr>
        <w:spacing w:before="320"/>
      </w:pPr>
      <w:r>
        <w:rPr>
          <w:rFonts w:ascii="黑体" w:hAnsi="黑体" w:eastAsia="黑体"/>
          <w:b/>
          <w:sz w:val="28"/>
        </w:rPr>
        <w:t>参考文献</w:t>
      </w:r>
    </w:p>
    <w:p>
      <w:pPr>
        <w:spacing w:line="288" w:lineRule="auto" w:after="40"/>
        <w:ind w:left="432" w:hanging="432"/>
      </w:pPr>
      <w:r>
        <w:rPr>
          <w:rFonts w:ascii="Times New Roman" w:hAnsi="Times New Roman" w:eastAsia="宋体"/>
          <w:sz w:val="20"/>
        </w:rPr>
        <w:t>[1] [宋] 契嵩. 辅教编[M] // 大正藏（第52册）. 东京: 大正一切经刊行会, 1924-1934.</w:t>
      </w:r>
    </w:p>
    <w:p>
      <w:pPr>
        <w:spacing w:line="288" w:lineRule="auto" w:after="40"/>
        <w:ind w:left="432" w:hanging="432"/>
      </w:pPr>
      <w:r>
        <w:rPr>
          <w:rFonts w:ascii="Times New Roman" w:hAnsi="Times New Roman" w:eastAsia="宋体"/>
          <w:sz w:val="20"/>
        </w:rPr>
        <w:t>[2] [梁] 颜之推. 颜氏家训集解[M]. 王利器, 撰. 北京: 中华书局, 1993.</w:t>
      </w:r>
    </w:p>
    <w:p>
      <w:pPr>
        <w:spacing w:line="288" w:lineRule="auto" w:after="40"/>
        <w:ind w:left="432" w:hanging="432"/>
      </w:pPr>
      <w:r>
        <w:rPr>
          <w:rFonts w:ascii="Times New Roman" w:hAnsi="Times New Roman" w:eastAsia="宋体"/>
          <w:sz w:val="20"/>
        </w:rPr>
        <w:t>[3] [隋] 智顗. 仁王护国般若波罗蜜经疏[M] // 大正藏（第33册）. 东京: 大正一切经刊行会, 1924-1934.</w:t>
      </w:r>
    </w:p>
    <w:p>
      <w:pPr>
        <w:spacing w:line="288" w:lineRule="auto" w:after="40"/>
        <w:ind w:left="432" w:hanging="432"/>
      </w:pPr>
      <w:r>
        <w:rPr>
          <w:rFonts w:ascii="Times New Roman" w:hAnsi="Times New Roman" w:eastAsia="宋体"/>
          <w:sz w:val="20"/>
        </w:rPr>
        <w:t>[4] [唐] 宗密. 原人论[M] // 大正藏（第45册）. 东京: 大正一切经刊行会, 1924-1934.</w:t>
      </w:r>
    </w:p>
    <w:p>
      <w:pPr>
        <w:spacing w:line="288" w:lineRule="auto" w:after="40"/>
        <w:ind w:left="432" w:hanging="432"/>
      </w:pPr>
      <w:r>
        <w:rPr>
          <w:rFonts w:ascii="Times New Roman" w:hAnsi="Times New Roman" w:eastAsia="宋体"/>
          <w:sz w:val="20"/>
        </w:rPr>
        <w:t>[5] [明] 袾宏. 戒杀放生文·自知录[M] // 卍新纂大日本续藏经（第60册）. 东京: 国书刊行会, 1912-1922.</w:t>
      </w:r>
    </w:p>
    <w:p>
      <w:pPr>
        <w:spacing w:line="288" w:lineRule="auto" w:after="40"/>
        <w:ind w:left="432" w:hanging="432"/>
      </w:pPr>
      <w:r>
        <w:rPr>
          <w:rFonts w:ascii="Times New Roman" w:hAnsi="Times New Roman" w:eastAsia="宋体"/>
          <w:sz w:val="20"/>
        </w:rPr>
        <w:t>[6] [明] 王守仁. 王阳明全集[M]. 吴光, 等编校. 上海: 上海古籍出版社, 2011.</w:t>
      </w:r>
    </w:p>
    <w:p>
      <w:pPr>
        <w:spacing w:line="288" w:lineRule="auto" w:after="40"/>
        <w:ind w:left="432" w:hanging="432"/>
      </w:pPr>
      <w:r>
        <w:rPr>
          <w:rFonts w:ascii="Times New Roman" w:hAnsi="Times New Roman" w:eastAsia="宋体"/>
          <w:sz w:val="20"/>
        </w:rPr>
        <w:t>[7] [明] 智旭. 四书蕅益解[M]. 北京: 华夏出版社, 2011.</w:t>
      </w:r>
    </w:p>
    <w:p>
      <w:pPr>
        <w:spacing w:line="288" w:lineRule="auto" w:after="40"/>
        <w:ind w:left="432" w:hanging="432"/>
      </w:pPr>
      <w:r>
        <w:rPr>
          <w:rFonts w:ascii="Times New Roman" w:hAnsi="Times New Roman" w:eastAsia="宋体"/>
          <w:sz w:val="20"/>
        </w:rPr>
        <w:t>[8] [明] 刘宗周. 刘宗周全集[M]. 吴光, 等编校. 杭州: 浙江古籍出版社, 2001.</w:t>
      </w:r>
    </w:p>
    <w:p>
      <w:pPr>
        <w:spacing w:line="288" w:lineRule="auto" w:after="40"/>
        <w:ind w:left="432" w:hanging="432"/>
      </w:pPr>
      <w:r>
        <w:rPr>
          <w:rFonts w:ascii="Times New Roman" w:hAnsi="Times New Roman" w:eastAsia="宋体"/>
          <w:sz w:val="20"/>
        </w:rPr>
        <w:t>[9] 章太炎. 章太炎全集[M]. 上海: 上海人民出版社, 1985.</w:t>
      </w:r>
    </w:p>
    <w:p>
      <w:pPr>
        <w:spacing w:line="288" w:lineRule="auto" w:after="40"/>
        <w:ind w:left="432" w:hanging="432"/>
      </w:pPr>
      <w:r>
        <w:rPr>
          <w:rFonts w:ascii="Times New Roman" w:hAnsi="Times New Roman" w:eastAsia="宋体"/>
          <w:sz w:val="20"/>
        </w:rPr>
        <w:t>[10] 释太虚. 太虚大师全书[M]. 印顺, 编. 北京: 宗教文化出版社, 2004.</w:t>
      </w:r>
    </w:p>
    <w:p>
      <w:pPr>
        <w:spacing w:line="288" w:lineRule="auto" w:after="40"/>
        <w:ind w:left="432" w:hanging="432"/>
      </w:pPr>
      <w:r>
        <w:rPr>
          <w:rFonts w:ascii="Times New Roman" w:hAnsi="Times New Roman" w:eastAsia="宋体"/>
          <w:sz w:val="20"/>
        </w:rPr>
        <w:t>[11] 释星云. 人间佛教的理论与实践[M]. 北京: 宗教文化出版社, 2011.</w:t>
      </w:r>
    </w:p>
    <w:p>
      <w:pPr>
        <w:spacing w:line="288" w:lineRule="auto" w:after="40"/>
        <w:ind w:left="432" w:hanging="432"/>
      </w:pPr>
      <w:r>
        <w:rPr>
          <w:rFonts w:ascii="Times New Roman" w:hAnsi="Times New Roman" w:eastAsia="宋体"/>
          <w:sz w:val="20"/>
        </w:rPr>
        <w:t>[12] [唐] 实叉难陀, 译. 十善业道经[M] // 大正新修大藏经（第15册）. 台北: 新文丰出版公司, 1983.</w:t>
      </w:r>
    </w:p>
    <w:p>
      <w:pPr>
        <w:spacing w:line="288" w:lineRule="auto" w:after="40"/>
        <w:ind w:left="432" w:hanging="432"/>
      </w:pPr>
      <w:r>
        <w:rPr>
          <w:rFonts w:ascii="Times New Roman" w:hAnsi="Times New Roman" w:eastAsia="宋体"/>
          <w:sz w:val="20"/>
        </w:rPr>
        <w:t>[13] [姚秦] 鸠摩罗什, 译. 梵网经[M] // 大正藏（第24册）. 东京: 大正一切经刊行会, 1924-1934.</w:t>
      </w:r>
    </w:p>
    <w:p>
      <w:pPr>
        <w:spacing w:line="288" w:lineRule="auto" w:after="40"/>
        <w:ind w:left="432" w:hanging="432"/>
      </w:pPr>
      <w:r>
        <w:rPr>
          <w:rFonts w:ascii="Times New Roman" w:hAnsi="Times New Roman" w:eastAsia="宋体"/>
          <w:sz w:val="20"/>
        </w:rPr>
        <w:t>[14] [美] 包筠雅. 功过格: 明清社会的道德秩序[M]. 杜正贞, 等译. 杭州: 浙江人民出版社, 1999.</w:t>
      </w:r>
    </w:p>
    <w:p>
      <w:pPr>
        <w:spacing w:line="288" w:lineRule="auto" w:after="40"/>
        <w:ind w:left="432" w:hanging="432"/>
      </w:pPr>
      <w:r>
        <w:rPr>
          <w:rFonts w:ascii="Times New Roman" w:hAnsi="Times New Roman" w:eastAsia="宋体"/>
          <w:sz w:val="20"/>
        </w:rPr>
        <w:t>[15] Foucault, M. Technologies of the Self: A Seminar with Michel Foucault[M]. ed. L. H. Martin, H. Gutman, P. H. Hutton. Amherst: University of Massachusetts Press, 1988.</w:t>
      </w:r>
    </w:p>
    <w:p>
      <w:pPr>
        <w:spacing w:line="288" w:lineRule="auto" w:after="40"/>
        <w:ind w:left="432" w:hanging="432"/>
      </w:pPr>
      <w:r>
        <w:rPr>
          <w:rFonts w:ascii="Times New Roman" w:hAnsi="Times New Roman" w:eastAsia="宋体"/>
          <w:sz w:val="20"/>
        </w:rPr>
        <w:t>[16] [美] 乔·卡巴金. 多灾多难的漫长人生: 正念减压疗法[M]. 童慧琦, 等译. 北京: 机械工业出版社, 2018.</w:t>
      </w:r>
    </w:p>
    <w:p>
      <w:pPr>
        <w:spacing w:line="288" w:lineRule="auto" w:after="40"/>
        <w:ind w:left="432" w:hanging="432"/>
      </w:pPr>
      <w:r>
        <w:rPr>
          <w:rFonts w:ascii="Times New Roman" w:hAnsi="Times New Roman" w:eastAsia="宋体"/>
          <w:sz w:val="20"/>
        </w:rPr>
        <w:t>[17] [瑞士] 汉斯·孔, [德] 卡尔-约瑟夫·库舍尔, 编. 走向全球伦理宣言[M]. 何光沪, 译. 成都: 四川人民出版社, 2001.</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autoNumDxa w:val="360"/>
  <w:footnote w:id="1" w:type="auto">
    <w:p>
      <w:pPr>
        <w:pStyle w:val="FootnoteText"/>
      </w:pPr>
      <w:r>
        <w:rPr>
          <w:rFonts w:ascii="Times New Roman" w:eastAsia="宋体" w:hAnsi="Times New Roman"/>
          <w:sz w:val="20"/>
        </w:rPr>
        <w:footnoteRef/>
      </w:r>
      <w:r>
        <w:rPr>
          <w:rFonts w:ascii="Times New Roman" w:eastAsia="宋体" w:hAnsi="Times New Roman"/>
          <w:sz w:val="20"/>
        </w:rPr>
        <w:t>参见[梁]颜之推：《颜氏家训集解》，王利器撰，北京：中华书局，1993年，第342页。</w:t>
      </w:r>
    </w:p>
  </w:footnote>
  <w:footnote w:id="2" w:type="auto">
    <w:p>
      <w:pPr>
        <w:pStyle w:val="FootnoteText"/>
      </w:pPr>
      <w:r>
        <w:rPr>
          <w:rFonts w:ascii="Times New Roman" w:eastAsia="宋体" w:hAnsi="Times New Roman"/>
          <w:sz w:val="20"/>
        </w:rPr>
        <w:footnoteRef/>
      </w:r>
      <w:r>
        <w:rPr>
          <w:rFonts w:ascii="Times New Roman" w:eastAsia="宋体" w:hAnsi="Times New Roman"/>
          <w:sz w:val="20"/>
        </w:rPr>
        <w:t>参见[隋]智顗：《仁王护国般若波罗蜜经疏》，《大正藏》第33册，东京：大正一切经刊行会，1924-1934年，第321页。</w:t>
      </w:r>
    </w:p>
  </w:footnote>
  <w:footnote w:id="3" w:type="auto">
    <w:p>
      <w:pPr>
        <w:pStyle w:val="FootnoteText"/>
      </w:pPr>
      <w:r>
        <w:rPr>
          <w:rFonts w:ascii="Times New Roman" w:eastAsia="宋体" w:hAnsi="Times New Roman"/>
          <w:sz w:val="20"/>
        </w:rPr>
        <w:footnoteRef/>
      </w:r>
      <w:r>
        <w:rPr>
          <w:rFonts w:ascii="Times New Roman" w:eastAsia="宋体" w:hAnsi="Times New Roman"/>
          <w:sz w:val="20"/>
        </w:rPr>
        <w:t>参见[唐]宗密：《原人论》，《大正藏》第45册，东京：大正一切经刊行会，1924-1934年，第706页。</w:t>
      </w:r>
    </w:p>
  </w:footnote>
  <w:footnote w:id="4" w:type="auto">
    <w:p>
      <w:pPr>
        <w:pStyle w:val="FootnoteText"/>
      </w:pPr>
      <w:r>
        <w:rPr>
          <w:rFonts w:ascii="Times New Roman" w:eastAsia="宋体" w:hAnsi="Times New Roman"/>
          <w:sz w:val="20"/>
        </w:rPr>
        <w:footnoteRef/>
      </w:r>
      <w:r>
        <w:rPr>
          <w:rFonts w:ascii="Times New Roman" w:eastAsia="宋体" w:hAnsi="Times New Roman"/>
          <w:sz w:val="20"/>
        </w:rPr>
        <w:t>参见[宋]契嵩：《辅教编》，《大正藏》第52册，东京：大正一切经刊行会，1924-1934年，第650-653页。</w:t>
      </w:r>
    </w:p>
  </w:footnote>
  <w:footnote w:id="5" w:type="auto">
    <w:p>
      <w:pPr>
        <w:pStyle w:val="FootnoteText"/>
      </w:pPr>
      <w:r>
        <w:rPr>
          <w:rFonts w:ascii="Times New Roman" w:eastAsia="宋体" w:hAnsi="Times New Roman"/>
          <w:sz w:val="20"/>
        </w:rPr>
        <w:footnoteRef/>
      </w:r>
      <w:r>
        <w:rPr>
          <w:rFonts w:ascii="Times New Roman" w:eastAsia="宋体" w:hAnsi="Times New Roman"/>
          <w:sz w:val="20"/>
        </w:rPr>
        <w:t>[宋]契嵩：《辅教编·原教》，《大正藏》第52册，第649页。</w:t>
      </w:r>
    </w:p>
  </w:footnote>
  <w:footnote w:id="6" w:type="auto">
    <w:p>
      <w:pPr>
        <w:pStyle w:val="FootnoteText"/>
      </w:pPr>
      <w:r>
        <w:rPr>
          <w:rFonts w:ascii="Times New Roman" w:eastAsia="宋体" w:hAnsi="Times New Roman"/>
          <w:sz w:val="20"/>
        </w:rPr>
        <w:footnoteRef/>
      </w:r>
      <w:r>
        <w:rPr>
          <w:rFonts w:ascii="Times New Roman" w:eastAsia="宋体" w:hAnsi="Times New Roman"/>
          <w:sz w:val="20"/>
        </w:rPr>
        <w:t>参见[明]袾宏：《自知录》，《卍新纂大日本续藏经》第60册，东京：国书刊行会，1912-1922年，第123-145页。</w:t>
      </w:r>
    </w:p>
  </w:footnote>
  <w:footnote w:id="7" w:type="auto">
    <w:p>
      <w:pPr>
        <w:pStyle w:val="FootnoteText"/>
      </w:pPr>
      <w:r>
        <w:rPr>
          <w:rFonts w:ascii="Times New Roman" w:eastAsia="宋体" w:hAnsi="Times New Roman"/>
          <w:sz w:val="20"/>
        </w:rPr>
        <w:footnoteRef/>
      </w:r>
      <w:r>
        <w:rPr>
          <w:rFonts w:ascii="Times New Roman" w:eastAsia="宋体" w:hAnsi="Times New Roman"/>
          <w:sz w:val="20"/>
        </w:rPr>
        <w:t>[明]袾宏：《自知录》，第128页。</w:t>
      </w:r>
    </w:p>
  </w:footnote>
  <w:footnote w:id="8" w:type="auto">
    <w:p>
      <w:pPr>
        <w:pStyle w:val="FootnoteText"/>
      </w:pPr>
      <w:r>
        <w:rPr>
          <w:rFonts w:ascii="Times New Roman" w:eastAsia="宋体" w:hAnsi="Times New Roman"/>
          <w:sz w:val="20"/>
        </w:rPr>
        <w:footnoteRef/>
      </w:r>
      <w:r>
        <w:rPr>
          <w:rFonts w:ascii="Times New Roman" w:eastAsia="宋体" w:hAnsi="Times New Roman"/>
          <w:sz w:val="20"/>
        </w:rPr>
        <w:t>参见章太炎：《章太炎全集》第4卷，上海：上海人民出版社，1985年，第398-402页；梁启超：《饮冰室合集·文集之十》，北京：中华书局，1989年，第45-48页。</w:t>
      </w:r>
    </w:p>
  </w:footnote>
  <w:footnote w:id="9" w:type="auto">
    <w:p>
      <w:pPr>
        <w:pStyle w:val="FootnoteText"/>
      </w:pPr>
      <w:r>
        <w:rPr>
          <w:rFonts w:ascii="Times New Roman" w:eastAsia="宋体" w:hAnsi="Times New Roman"/>
          <w:sz w:val="20"/>
        </w:rPr>
        <w:footnoteRef/>
      </w:r>
      <w:r>
        <w:rPr>
          <w:rFonts w:ascii="Times New Roman" w:eastAsia="宋体" w:hAnsi="Times New Roman"/>
          <w:sz w:val="20"/>
        </w:rPr>
        <w:t>参见释太虚：《太虚大师全书》第1册，印顺编，北京：宗教文化出版社，2004年，第12页。</w:t>
      </w:r>
    </w:p>
  </w:footnote>
  <w:footnote w:id="10" w:type="auto">
    <w:p>
      <w:pPr>
        <w:pStyle w:val="FootnoteText"/>
      </w:pPr>
      <w:r>
        <w:rPr>
          <w:rFonts w:ascii="Times New Roman" w:eastAsia="宋体" w:hAnsi="Times New Roman"/>
          <w:sz w:val="20"/>
        </w:rPr>
        <w:footnoteRef/>
      </w:r>
      <w:r>
        <w:rPr>
          <w:rFonts w:ascii="Times New Roman" w:eastAsia="宋体" w:hAnsi="Times New Roman"/>
          <w:sz w:val="20"/>
        </w:rPr>
        <w:t>参见释星云：《人间佛教的理论与实践》，北京：宗教文化出版社，2011年，第156-162页。</w:t>
      </w:r>
    </w:p>
  </w:footnote>
  <w:footnote w:id="11" w:type="auto">
    <w:p>
      <w:pPr>
        <w:pStyle w:val="FootnoteText"/>
      </w:pPr>
      <w:r>
        <w:rPr>
          <w:rFonts w:ascii="Times New Roman" w:eastAsia="宋体" w:hAnsi="Times New Roman"/>
          <w:sz w:val="20"/>
        </w:rPr>
        <w:footnoteRef/>
      </w:r>
      <w:r>
        <w:rPr>
          <w:rFonts w:ascii="Times New Roman" w:eastAsia="宋体" w:hAnsi="Times New Roman"/>
          <w:sz w:val="20"/>
        </w:rPr>
        <w:t>参见[宋]契嵩：《镡津文集·孝论》，《大正藏》第52册，东京：大正一切经刊行会，1924-1934年，第670-685页。</w:t>
      </w:r>
    </w:p>
  </w:footnote>
  <w:footnote w:id="12" w:type="auto">
    <w:p>
      <w:pPr>
        <w:pStyle w:val="FootnoteText"/>
      </w:pPr>
      <w:r>
        <w:rPr>
          <w:rFonts w:ascii="Times New Roman" w:eastAsia="宋体" w:hAnsi="Times New Roman"/>
          <w:sz w:val="20"/>
        </w:rPr>
        <w:footnoteRef/>
      </w:r>
      <w:r>
        <w:rPr>
          <w:rFonts w:ascii="Times New Roman" w:eastAsia="宋体" w:hAnsi="Times New Roman"/>
          <w:sz w:val="20"/>
        </w:rPr>
        <w:t>参见[明]王守仁：《王阳明全集》，吴光等编校，上海：上海古籍出版社，2011年，第345-352页。</w:t>
      </w:r>
    </w:p>
  </w:footnote>
  <w:footnote w:id="13" w:type="auto">
    <w:p>
      <w:pPr>
        <w:pStyle w:val="FootnoteText"/>
      </w:pPr>
      <w:r>
        <w:rPr>
          <w:rFonts w:ascii="Times New Roman" w:eastAsia="宋体" w:hAnsi="Times New Roman"/>
          <w:sz w:val="20"/>
        </w:rPr>
        <w:footnoteRef/>
      </w:r>
      <w:r>
        <w:rPr>
          <w:rFonts w:ascii="Times New Roman" w:eastAsia="宋体" w:hAnsi="Times New Roman"/>
          <w:sz w:val="20"/>
        </w:rPr>
        <w:t>参见[明]智旭：《四书蕅益解》，北京：华夏出版社，2011年，第3-12页。</w:t>
      </w:r>
    </w:p>
  </w:footnote>
  <w:footnote w:id="14" w:type="auto">
    <w:p>
      <w:pPr>
        <w:pStyle w:val="FootnoteText"/>
      </w:pPr>
      <w:r>
        <w:rPr>
          <w:rFonts w:ascii="Times New Roman" w:eastAsia="宋体" w:hAnsi="Times New Roman"/>
          <w:sz w:val="20"/>
        </w:rPr>
        <w:footnoteRef/>
      </w:r>
      <w:r>
        <w:rPr>
          <w:rFonts w:ascii="Times New Roman" w:eastAsia="宋体" w:hAnsi="Times New Roman"/>
          <w:sz w:val="20"/>
        </w:rPr>
        <w:t>参见[美]包筠雅：《功过格：明清社会的道德秩序》，杜正贞等译，杭州：浙江人民出版社，1999年，第89-112页。</w:t>
      </w:r>
    </w:p>
  </w:footnote>
  <w:footnote w:id="15" w:type="auto">
    <w:p>
      <w:pPr>
        <w:pStyle w:val="FootnoteText"/>
      </w:pPr>
      <w:r>
        <w:rPr>
          <w:rFonts w:ascii="Times New Roman" w:eastAsia="宋体" w:hAnsi="Times New Roman"/>
          <w:sz w:val="20"/>
        </w:rPr>
        <w:footnoteRef/>
      </w:r>
      <w:r>
        <w:rPr>
          <w:rFonts w:ascii="Times New Roman" w:eastAsia="宋体" w:hAnsi="Times New Roman"/>
          <w:sz w:val="20"/>
        </w:rPr>
        <w:t>参见Michel Foucault, Technologies of the Self: A Seminar with Michel Foucault, ed. L. H. Martin et al., Amherst: University of Massachusetts Press, 1988, pp. 16-22.</w:t>
      </w:r>
    </w:p>
  </w:footnote>
  <w:footnote w:id="16" w:type="auto">
    <w:p>
      <w:pPr>
        <w:pStyle w:val="FootnoteText"/>
      </w:pPr>
      <w:r>
        <w:rPr>
          <w:rFonts w:ascii="Times New Roman" w:eastAsia="宋体" w:hAnsi="Times New Roman"/>
          <w:sz w:val="20"/>
        </w:rPr>
        <w:footnoteRef/>
      </w:r>
      <w:r>
        <w:rPr>
          <w:rFonts w:ascii="Times New Roman" w:eastAsia="宋体" w:hAnsi="Times New Roman"/>
          <w:sz w:val="20"/>
        </w:rPr>
        <w:t>参见[明]刘宗周：《刘宗周全集》，吴光等编校，杭州：浙江古籍出版社，2001年，第287页。</w:t>
      </w:r>
    </w:p>
  </w:footnote>
  <w:footnote w:id="17" w:type="auto">
    <w:p>
      <w:pPr>
        <w:pStyle w:val="FootnoteText"/>
      </w:pPr>
      <w:r>
        <w:rPr>
          <w:rFonts w:ascii="Times New Roman" w:eastAsia="宋体" w:hAnsi="Times New Roman"/>
          <w:sz w:val="20"/>
        </w:rPr>
        <w:footnoteRef/>
      </w:r>
      <w:r>
        <w:rPr>
          <w:rFonts w:ascii="Times New Roman" w:eastAsia="宋体" w:hAnsi="Times New Roman"/>
          <w:sz w:val="20"/>
        </w:rPr>
        <w:t>参见[唐]实叉难陀译：《十善业道经》，《大正新修大藏经》第15册，台北：新文丰出版公司，1983年，第153页。</w:t>
      </w:r>
    </w:p>
  </w:footnote>
  <w:footnote w:id="18" w:type="auto">
    <w:p>
      <w:pPr>
        <w:pStyle w:val="FootnoteText"/>
      </w:pPr>
      <w:r>
        <w:rPr>
          <w:rFonts w:ascii="Times New Roman" w:eastAsia="宋体" w:hAnsi="Times New Roman"/>
          <w:sz w:val="20"/>
        </w:rPr>
        <w:footnoteRef/>
      </w:r>
      <w:r>
        <w:rPr>
          <w:rFonts w:ascii="Times New Roman" w:eastAsia="宋体" w:hAnsi="Times New Roman"/>
          <w:sz w:val="20"/>
        </w:rPr>
        <w:t>参见释太虚：《太虚大师全书》第3册，第215页。</w:t>
      </w:r>
    </w:p>
  </w:footnote>
  <w:footnote w:id="19" w:type="auto">
    <w:p>
      <w:pPr>
        <w:pStyle w:val="FootnoteText"/>
      </w:pPr>
      <w:r>
        <w:rPr>
          <w:rFonts w:ascii="Times New Roman" w:eastAsia="宋体" w:hAnsi="Times New Roman"/>
          <w:sz w:val="20"/>
        </w:rPr>
        <w:footnoteRef/>
      </w:r>
      <w:r>
        <w:rPr>
          <w:rFonts w:ascii="Times New Roman" w:eastAsia="宋体" w:hAnsi="Times New Roman"/>
          <w:sz w:val="20"/>
        </w:rPr>
        <w:t>参见乔·卡巴金：《多灾多难的漫长人生：正念减压疗法》，童慧琦等译，北京：机械工业出版社，2018年，第45-62页。</w:t>
      </w:r>
    </w:p>
  </w:footnote>
  <w:footnote w:id="20" w:type="auto">
    <w:p>
      <w:pPr>
        <w:pStyle w:val="FootnoteText"/>
      </w:pPr>
      <w:r>
        <w:rPr>
          <w:rFonts w:ascii="Times New Roman" w:eastAsia="宋体" w:hAnsi="Times New Roman"/>
          <w:sz w:val="20"/>
        </w:rPr>
        <w:footnoteRef/>
      </w:r>
      <w:r>
        <w:rPr>
          <w:rFonts w:ascii="Times New Roman" w:eastAsia="宋体" w:hAnsi="Times New Roman"/>
          <w:sz w:val="20"/>
        </w:rPr>
        <w:t>参见汉斯·孔、卡尔-约瑟夫·库舍尔编：《走向全球伦理宣言》，何光沪译，成都：四川人民出版社，2001年，第12-28页。</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  <Relationship Id="rId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