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rFonts w:ascii="黑体" w:hAnsi="黑体" w:eastAsia="黑体"/>
          <w:b/>
          <w:color w:val="003366"/>
          <w:sz w:val="36"/>
        </w:rPr>
        <w:t>《庄子与保罗的死亡观比较研究》</w:t>
      </w:r>
    </w:p>
    <w:p>
      <w:pPr>
        <w:spacing w:after="80"/>
        <w:jc w:val="center"/>
      </w:pPr>
      <w:r>
        <w:rPr>
          <w:rFonts w:ascii="黑体" w:hAnsi="黑体" w:eastAsia="黑体"/>
          <w:b/>
          <w:color w:val="003366"/>
          <w:sz w:val="32"/>
        </w:rPr>
        <w:t>脚注汇编（统一格式版）</w:t>
      </w:r>
    </w:p>
    <w:p>
      <w:pPr>
        <w:spacing w:after="320"/>
        <w:jc w:val="center"/>
      </w:pPr>
      <w:r>
        <w:rPr>
          <w:rFonts w:ascii="宋体" w:hAnsi="宋体" w:eastAsia="宋体"/>
          <w:color w:val="808080"/>
          <w:sz w:val="22"/>
        </w:rPr>
        <w:t>按论文中出现顺序排列 · 重复引用采用"同注X，第X页"格式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[1] </w:t>
      </w:r>
      <w:r>
        <w:rPr>
          <w:rFonts w:ascii="宋体" w:hAnsi="宋体" w:eastAsia="宋体"/>
          <w:sz w:val="21"/>
        </w:rPr>
        <w:t>习近平：《习近平总书记系列重要讲话读本》，北京：学习出版社，2016年，第203页。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[2] </w:t>
      </w:r>
      <w:r>
        <w:rPr>
          <w:rFonts w:ascii="宋体" w:hAnsi="宋体" w:eastAsia="宋体"/>
          <w:sz w:val="21"/>
        </w:rPr>
        <w:t>段德智："上与造物者游，而下与外死生无终始者为友"——对庄子生死观的一个考察，《三峡大学学报（人文社会科学版）》，2001年第2期，第5页。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[3] </w:t>
      </w:r>
      <w:r>
        <w:rPr>
          <w:rFonts w:ascii="宋体" w:hAnsi="宋体" w:eastAsia="宋体"/>
          <w:sz w:val="21"/>
        </w:rPr>
        <w:t>Wright N T. The Resurrection of the Son of God. Minneapolis: Fortress Press, 2003: 25.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[4] </w:t>
      </w:r>
      <w:r>
        <w:rPr>
          <w:rFonts w:ascii="宋体" w:hAnsi="宋体" w:eastAsia="宋体"/>
          <w:sz w:val="21"/>
        </w:rPr>
        <w:t>陈鼓应：《庄子今注今译》，北京：中华书局，1983年，第159页。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[5] </w:t>
      </w:r>
      <w:r>
        <w:rPr>
          <w:rFonts w:ascii="宋体" w:hAnsi="宋体" w:eastAsia="宋体"/>
          <w:sz w:val="21"/>
        </w:rPr>
        <w:t>崔大华：《庄学研究》，北京：人民出版社，1992年，第248页。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[6] </w:t>
      </w:r>
      <w:r>
        <w:rPr>
          <w:rFonts w:ascii="宋体" w:hAnsi="宋体" w:eastAsia="宋体"/>
          <w:sz w:val="21"/>
        </w:rPr>
        <w:t>段德智：同注2，第6-7页。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[7] </w:t>
      </w:r>
      <w:r>
        <w:rPr>
          <w:rFonts w:ascii="宋体" w:hAnsi="宋体" w:eastAsia="宋体"/>
          <w:sz w:val="21"/>
        </w:rPr>
        <w:t>王怡：《生死游乎一气——论庄子的生死观》，成都：四川大学硕士学位论文，2005年。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[8] </w:t>
      </w:r>
      <w:r>
        <w:rPr>
          <w:rFonts w:ascii="宋体" w:hAnsi="宋体" w:eastAsia="宋体"/>
          <w:sz w:val="21"/>
        </w:rPr>
        <w:t>张劲阳：《唯美人生——以审美的眼光解读〈庄子〉》，湘潭：湘潭大学硕士学位论文，2006年。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[9] </w:t>
      </w:r>
      <w:r>
        <w:rPr>
          <w:rFonts w:ascii="宋体" w:hAnsi="宋体" w:eastAsia="宋体"/>
          <w:sz w:val="21"/>
        </w:rPr>
        <w:t>李红文：出生入死——论庄子的生命伦理学意义，《医学与哲学》，2008年第5期。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[10] </w:t>
      </w:r>
      <w:r>
        <w:rPr>
          <w:rFonts w:ascii="宋体" w:hAnsi="宋体" w:eastAsia="宋体"/>
          <w:sz w:val="21"/>
        </w:rPr>
        <w:t>王佳月：《庄子的生死观研究》，石家庄：河北师范大学硕士学位论文，2009年。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[11] </w:t>
      </w:r>
      <w:r>
        <w:rPr>
          <w:rFonts w:ascii="宋体" w:hAnsi="宋体" w:eastAsia="宋体"/>
          <w:sz w:val="21"/>
        </w:rPr>
        <w:t>胡本泽：《庄子生死观及其对临终关怀的价值启示》，天津：天津医科大学硕士学位论文，2020年。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[12] </w:t>
      </w:r>
      <w:r>
        <w:rPr>
          <w:rFonts w:ascii="宋体" w:hAnsi="宋体" w:eastAsia="宋体"/>
          <w:sz w:val="21"/>
        </w:rPr>
        <w:t>闫伟："乐死"：庄子的死亡观念，《延安大学学报（社会科学版）》，2024年第4期，第30页。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[13] </w:t>
      </w:r>
      <w:r>
        <w:rPr>
          <w:rFonts w:ascii="宋体" w:hAnsi="宋体" w:eastAsia="宋体"/>
          <w:sz w:val="21"/>
        </w:rPr>
        <w:t>杨成：庄子对"恶死"心理的消解及其当代意义，《今古文创》，2023年第34期，第67页。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[14] </w:t>
      </w:r>
      <w:r>
        <w:rPr>
          <w:rFonts w:ascii="宋体" w:hAnsi="宋体" w:eastAsia="宋体"/>
          <w:sz w:val="21"/>
        </w:rPr>
        <w:t>张书豪：从"老子之死"看庄子对老子生死观的批驳，《吉林省教育学院学报》，2023年第4期，第184页。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[15] </w:t>
      </w:r>
      <w:r>
        <w:rPr>
          <w:rFonts w:ascii="宋体" w:hAnsi="宋体" w:eastAsia="宋体"/>
          <w:sz w:val="21"/>
        </w:rPr>
        <w:t>何光沪：《存在与上帝》，上海：生活·读书·新知三联书店，2008年，第156-162页。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[16] </w:t>
      </w:r>
      <w:r>
        <w:rPr>
          <w:rFonts w:ascii="宋体" w:hAnsi="宋体" w:eastAsia="宋体"/>
          <w:sz w:val="21"/>
        </w:rPr>
        <w:t>赵敦华：《基督教哲学1500年》，北京：人民出版社，1994年，第234-241页。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[17] </w:t>
      </w:r>
      <w:r>
        <w:rPr>
          <w:rFonts w:ascii="宋体" w:hAnsi="宋体" w:eastAsia="宋体"/>
          <w:sz w:val="21"/>
        </w:rPr>
        <w:t>杨慧林：《在上帝与恺撒之间：保罗思想的多维阐释》，北京：人民出版社，2012年，第201-218页。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[18] </w:t>
      </w:r>
      <w:r>
        <w:rPr>
          <w:rFonts w:ascii="宋体" w:hAnsi="宋体" w:eastAsia="宋体"/>
          <w:sz w:val="21"/>
        </w:rPr>
        <w:t>吴罗瑜：《保罗神学概论》，香港：汉语圣经协会，2001年，第215-238页。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[19] </w:t>
      </w:r>
      <w:r>
        <w:rPr>
          <w:rFonts w:ascii="宋体" w:hAnsi="宋体" w:eastAsia="宋体"/>
          <w:sz w:val="21"/>
        </w:rPr>
        <w:t>周均美：《保罗书信中的末世论》，上海：上海三联书店，2008年，第145-167页。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[20] </w:t>
      </w:r>
      <w:r>
        <w:rPr>
          <w:rFonts w:ascii="宋体" w:hAnsi="宋体" w:eastAsia="宋体"/>
          <w:sz w:val="21"/>
        </w:rPr>
        <w:t>徐大卫：保罗书信中的身体观与死亡观，《金陵神学志》，2015年第2期，第45-58页。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[21] </w:t>
      </w:r>
      <w:r>
        <w:rPr>
          <w:rFonts w:ascii="宋体" w:hAnsi="宋体" w:eastAsia="宋体"/>
          <w:sz w:val="21"/>
        </w:rPr>
        <w:t>张庆熊：《保罗的宗教经验研究》，上海：上海人民出版社，2005年，第178-192页。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[22] </w:t>
      </w:r>
      <w:r>
        <w:rPr>
          <w:rFonts w:ascii="宋体" w:hAnsi="宋体" w:eastAsia="宋体"/>
          <w:sz w:val="21"/>
        </w:rPr>
        <w:t>范亚峰：《死亡与尊严：西方临终关怀的哲学与神学基础》，北京：北京大学出版社，2015年，第89-95页。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[23] </w:t>
      </w:r>
      <w:r>
        <w:rPr>
          <w:rFonts w:ascii="宋体" w:hAnsi="宋体" w:eastAsia="宋体"/>
          <w:sz w:val="21"/>
        </w:rPr>
        <w:t>Wright N T. The Resurrection of the Son of God. Minneapolis: Fortress Press, 2003: 25-48, 321-356.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[24] </w:t>
      </w:r>
      <w:r>
        <w:rPr>
          <w:rFonts w:ascii="宋体" w:hAnsi="宋体" w:eastAsia="宋体"/>
          <w:sz w:val="21"/>
        </w:rPr>
        <w:t>Dunn J D G. The Theology of Paul the Apostle. Grand Rapids: Eerdmans, 1998: 356-392.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[25] </w:t>
      </w:r>
      <w:r>
        <w:rPr>
          <w:rFonts w:ascii="宋体" w:hAnsi="宋体" w:eastAsia="宋体"/>
          <w:sz w:val="21"/>
        </w:rPr>
        <w:t>Fitzmyer J A. Romans: A New Translation with Introduction and Commentary. Anchor Yale Bible. New Haven: Yale University Press, 1993: 405-438.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[26] </w:t>
      </w:r>
      <w:r>
        <w:rPr>
          <w:rFonts w:ascii="宋体" w:hAnsi="宋体" w:eastAsia="宋体"/>
          <w:sz w:val="21"/>
        </w:rPr>
        <w:t>Sanders E P. Paul and Palestinian Judaism: A Comparison of Patterns of Religion. Minneapolis: Fortress Press, 1977: 442-478.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[27] </w:t>
      </w:r>
      <w:r>
        <w:rPr>
          <w:rFonts w:ascii="宋体" w:hAnsi="宋体" w:eastAsia="宋体"/>
          <w:sz w:val="21"/>
        </w:rPr>
        <w:t>Moltmann J. Theology of Hope: On the Ground and the Implications of a Christian Eschatology. Translated by J W Leitch. Minneapolis: Fortress Press, 1993: 112-145.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[28] </w:t>
      </w:r>
      <w:r>
        <w:rPr>
          <w:rFonts w:ascii="宋体" w:hAnsi="宋体" w:eastAsia="宋体"/>
          <w:sz w:val="21"/>
        </w:rPr>
        <w:t>Martin R P. 2 Corinthians. Word Biblical Commentary, Vol. 40. Dallas: Word Books, 1986: 234-251.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[29] </w:t>
      </w:r>
      <w:r>
        <w:rPr>
          <w:rFonts w:ascii="宋体" w:hAnsi="宋体" w:eastAsia="宋体"/>
          <w:sz w:val="21"/>
        </w:rPr>
        <w:t>Kittel G, ed. Theological Dictionary of the New Testament. Vol. 3. Translated by G W Bromiley. Grand Rapids: Eerdmans, 1965: 1-112.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[30] </w:t>
      </w:r>
      <w:r>
        <w:rPr>
          <w:rFonts w:ascii="宋体" w:hAnsi="宋体" w:eastAsia="宋体"/>
          <w:sz w:val="21"/>
        </w:rPr>
        <w:t>王永江：庄子与海德格尔的生死观的对比研究，《辽宁医学院学报（社会科学版）》，2010年第8卷第1期，第38-41页。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[31] </w:t>
      </w:r>
      <w:r>
        <w:rPr>
          <w:rFonts w:ascii="宋体" w:hAnsi="宋体" w:eastAsia="宋体"/>
          <w:sz w:val="21"/>
        </w:rPr>
        <w:t>冯沪祥：《中西生死哲学》，北京：北京大学出版社，2002年，第112-145页。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[32] </w:t>
      </w:r>
      <w:r>
        <w:rPr>
          <w:rFonts w:ascii="宋体" w:hAnsi="宋体" w:eastAsia="宋体"/>
          <w:sz w:val="21"/>
        </w:rPr>
        <w:t>孙程程，韦清琦：中西"同途而殊归"的死亡观念——以《庄子·至乐》与《别离辞·莫伤悲》为例，《南昌大学学报（人文社会科学版）》，2022年第53卷第6期，第122-129页。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[33] </w:t>
      </w:r>
      <w:r>
        <w:rPr>
          <w:rFonts w:ascii="宋体" w:hAnsi="宋体" w:eastAsia="宋体"/>
          <w:sz w:val="21"/>
        </w:rPr>
        <w:t>冯沪祥：同注31，第1-58页。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[34] </w:t>
      </w:r>
      <w:r>
        <w:rPr>
          <w:rFonts w:ascii="宋体" w:hAnsi="宋体" w:eastAsia="宋体"/>
          <w:sz w:val="21"/>
        </w:rPr>
        <w:t>卓新平：《基督教与东方文化的对话》，北京：社会科学文献出版社，2010年，第210-235页。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[35] </w:t>
      </w:r>
      <w:r>
        <w:rPr>
          <w:rFonts w:ascii="宋体" w:hAnsi="宋体" w:eastAsia="宋体"/>
          <w:sz w:val="21"/>
        </w:rPr>
        <w:t>刘笑敢：《比较哲学与比较文化论丛》，北京：商务印书馆，2018年，第45-52页。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[36] </w:t>
      </w:r>
      <w:r>
        <w:rPr>
          <w:rFonts w:ascii="宋体" w:hAnsi="宋体" w:eastAsia="宋体"/>
          <w:sz w:val="21"/>
        </w:rPr>
        <w:t>冯友兰：《中国哲学简史》，涂又光译，北京：北京大学出版社，1985年，第126页。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[37] </w:t>
      </w:r>
      <w:r>
        <w:rPr>
          <w:rFonts w:ascii="宋体" w:hAnsi="宋体" w:eastAsia="宋体"/>
          <w:sz w:val="21"/>
        </w:rPr>
        <w:t>郭沫若：《甲骨文编》，北京：中华书局，1982年，第105页。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[38] </w:t>
      </w:r>
      <w:r>
        <w:rPr>
          <w:rFonts w:ascii="宋体" w:hAnsi="宋体" w:eastAsia="宋体"/>
          <w:sz w:val="21"/>
        </w:rPr>
        <w:t>郑玄注，孔颖达疏：《礼记正义》，北京：北京大学出版社，1999年，第1428页。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[39] </w:t>
      </w:r>
      <w:r>
        <w:rPr>
          <w:rFonts w:ascii="宋体" w:hAnsi="宋体" w:eastAsia="宋体"/>
          <w:sz w:val="21"/>
        </w:rPr>
        <w:t>徐复观：《中国人性论史·先秦篇》，上海：上海三联书店，2001年，第156-162页。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[40] </w:t>
      </w:r>
      <w:r>
        <w:rPr>
          <w:rFonts w:ascii="宋体" w:hAnsi="宋体" w:eastAsia="宋体"/>
          <w:sz w:val="21"/>
        </w:rPr>
        <w:t>崔大华：同注5，第248页。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[41] </w:t>
      </w:r>
      <w:r>
        <w:rPr>
          <w:rFonts w:ascii="宋体" w:hAnsi="宋体" w:eastAsia="宋体"/>
          <w:sz w:val="21"/>
        </w:rPr>
        <w:t>王博：《庄子哲学》，北京：北京大学出版社，2004年，第125-128页。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[42] </w:t>
      </w:r>
      <w:r>
        <w:rPr>
          <w:rFonts w:ascii="宋体" w:hAnsi="宋体" w:eastAsia="宋体"/>
          <w:sz w:val="21"/>
        </w:rPr>
        <w:t>陈鼓应：庄子哲学研究中的几个问题，《哲学研究》，2000年第3期，第45-48页。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[43] </w:t>
      </w:r>
      <w:r>
        <w:rPr>
          <w:rFonts w:ascii="宋体" w:hAnsi="宋体" w:eastAsia="宋体"/>
          <w:sz w:val="21"/>
        </w:rPr>
        <w:t>段德智：同注2，第6页。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[44] </w:t>
      </w:r>
      <w:r>
        <w:rPr>
          <w:rFonts w:ascii="宋体" w:hAnsi="宋体" w:eastAsia="宋体"/>
          <w:sz w:val="21"/>
        </w:rPr>
        <w:t>杨伯峻：《孟子译注》，北京：中华书局，2005年，第13页；陈鼓应：同注4，第165页。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[45] </w:t>
      </w:r>
      <w:r>
        <w:rPr>
          <w:rFonts w:ascii="宋体" w:hAnsi="宋体" w:eastAsia="宋体"/>
          <w:sz w:val="21"/>
        </w:rPr>
        <w:t>陈鼓应：同注4，第208页。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[46] </w:t>
      </w:r>
      <w:r>
        <w:rPr>
          <w:rFonts w:ascii="宋体" w:hAnsi="宋体" w:eastAsia="宋体"/>
          <w:sz w:val="21"/>
        </w:rPr>
        <w:t>杨成：同注13，第68页。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[47] </w:t>
      </w:r>
      <w:r>
        <w:rPr>
          <w:rFonts w:ascii="宋体" w:hAnsi="宋体" w:eastAsia="宋体"/>
          <w:sz w:val="21"/>
        </w:rPr>
        <w:t>王弼注，楼宇烈校释：《老子道德经注》，北京：中华书局，2006年，第64、250页。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[48] </w:t>
      </w:r>
      <w:r>
        <w:rPr>
          <w:rFonts w:ascii="宋体" w:hAnsi="宋体" w:eastAsia="宋体"/>
          <w:sz w:val="21"/>
        </w:rPr>
        <w:t>冯慧娟：浅析庄子人生哲学中的生死观——庄子由死反观生的哲学思路，《钦州师范高等专科学校学报》，2004年第1期，第31页。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[49] </w:t>
      </w:r>
      <w:r>
        <w:rPr>
          <w:rFonts w:ascii="宋体" w:hAnsi="宋体" w:eastAsia="宋体"/>
          <w:sz w:val="21"/>
        </w:rPr>
        <w:t>段德智：同注2，第5页。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[50] </w:t>
      </w:r>
      <w:r>
        <w:rPr>
          <w:rFonts w:ascii="宋体" w:hAnsi="宋体" w:eastAsia="宋体"/>
          <w:sz w:val="21"/>
        </w:rPr>
        <w:t>陈鼓应：《庄子今注今译》，北京：商务印书馆，2012年，第420页。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[51] </w:t>
      </w:r>
      <w:r>
        <w:rPr>
          <w:rFonts w:ascii="宋体" w:hAnsi="宋体" w:eastAsia="宋体"/>
          <w:sz w:val="21"/>
        </w:rPr>
        <w:t>王怡：同注7，第12页。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[52] </w:t>
      </w:r>
      <w:r>
        <w:rPr>
          <w:rFonts w:ascii="宋体" w:hAnsi="宋体" w:eastAsia="宋体"/>
          <w:sz w:val="21"/>
        </w:rPr>
        <w:t>张书豪：同注14，第184页。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[53] </w:t>
      </w:r>
      <w:r>
        <w:rPr>
          <w:rFonts w:ascii="宋体" w:hAnsi="宋体" w:eastAsia="宋体"/>
          <w:sz w:val="21"/>
        </w:rPr>
        <w:t>袁法周：《庄子·大宗师》中"死生一如"思想辨析，《固原师专学报》，2000年第6期，第26页。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[54] </w:t>
      </w:r>
      <w:r>
        <w:rPr>
          <w:rFonts w:ascii="宋体" w:hAnsi="宋体" w:eastAsia="宋体"/>
          <w:sz w:val="21"/>
        </w:rPr>
        <w:t>胡本泽：同注11，第28页。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[55] </w:t>
      </w:r>
      <w:r>
        <w:rPr>
          <w:rFonts w:ascii="宋体" w:hAnsi="宋体" w:eastAsia="宋体"/>
          <w:sz w:val="21"/>
        </w:rPr>
        <w:t>闫伟：同注12，第32页。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[56] </w:t>
      </w:r>
      <w:r>
        <w:rPr>
          <w:rFonts w:ascii="宋体" w:hAnsi="宋体" w:eastAsia="宋体"/>
          <w:sz w:val="21"/>
        </w:rPr>
        <w:t>冯友兰：同注36，第80页。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[57] </w:t>
      </w:r>
      <w:r>
        <w:rPr>
          <w:rFonts w:ascii="宋体" w:hAnsi="宋体" w:eastAsia="宋体"/>
          <w:sz w:val="21"/>
        </w:rPr>
        <w:t>孙程程，韦清琦：同注32，第125页。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[58] </w:t>
      </w:r>
      <w:r>
        <w:rPr>
          <w:rFonts w:ascii="宋体" w:hAnsi="宋体" w:eastAsia="宋体"/>
          <w:sz w:val="21"/>
        </w:rPr>
        <w:t>杨成：同注13，第114页。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[59] </w:t>
      </w:r>
      <w:r>
        <w:rPr>
          <w:rFonts w:ascii="宋体" w:hAnsi="宋体" w:eastAsia="宋体"/>
          <w:sz w:val="21"/>
        </w:rPr>
        <w:t>海德格尔（Heidegger M）：《存在与时间》，陈嘉映，王庆节译，北京：生活·读书·新知三联书店，1987年，第289页。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[60] </w:t>
      </w:r>
      <w:r>
        <w:rPr>
          <w:rFonts w:ascii="宋体" w:hAnsi="宋体" w:eastAsia="宋体"/>
          <w:sz w:val="21"/>
        </w:rPr>
        <w:t>冯慧娟：同注48，第32页。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[61] </w:t>
      </w:r>
      <w:r>
        <w:rPr>
          <w:rFonts w:ascii="宋体" w:hAnsi="宋体" w:eastAsia="宋体"/>
          <w:sz w:val="21"/>
        </w:rPr>
        <w:t>殷保罗（Enns P P）：《穆迪神学手册》，姚锦森译，香港：福音证主协会，1991年，第97页。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[62] </w:t>
      </w:r>
      <w:r>
        <w:rPr>
          <w:rFonts w:ascii="宋体" w:hAnsi="宋体" w:eastAsia="宋体"/>
          <w:sz w:val="21"/>
        </w:rPr>
        <w:t>von Rad G. Old Testament Theology. Vol. 1. Translated by D M G Stalker. New York: Harper &amp; Row, 1962: 267.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[63] </w:t>
      </w:r>
      <w:r>
        <w:rPr>
          <w:rFonts w:ascii="宋体" w:hAnsi="宋体" w:eastAsia="宋体"/>
          <w:sz w:val="21"/>
        </w:rPr>
        <w:t>Childs B S. Introduction to the Old Testament as Scripture. Philadelphia: Fortress Press, 1979: 215.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[64] </w:t>
      </w:r>
      <w:r>
        <w:rPr>
          <w:rFonts w:ascii="宋体" w:hAnsi="宋体" w:eastAsia="宋体"/>
          <w:sz w:val="21"/>
        </w:rPr>
        <w:t>Kittel G, ed.: 同注29, pp. 6-8.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[65] </w:t>
      </w:r>
      <w:r>
        <w:rPr>
          <w:rFonts w:ascii="宋体" w:hAnsi="宋体" w:eastAsia="宋体"/>
          <w:sz w:val="21"/>
        </w:rPr>
        <w:t>Sanders E P.: 同注26, p. 445.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[66] </w:t>
      </w:r>
      <w:r>
        <w:rPr>
          <w:rFonts w:ascii="宋体" w:hAnsi="宋体" w:eastAsia="宋体"/>
          <w:sz w:val="21"/>
        </w:rPr>
        <w:t>赖特（Wright N T）：《保罗神学崭新观》，邵樟平，邵尹妙珍译，香港：天道书楼，2008年，第188页。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[67] </w:t>
      </w:r>
      <w:r>
        <w:rPr>
          <w:rFonts w:ascii="宋体" w:hAnsi="宋体" w:eastAsia="宋体"/>
          <w:sz w:val="21"/>
        </w:rPr>
        <w:t>Fitzmyer J A.: 同注25, p. 408.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[68] </w:t>
      </w:r>
      <w:r>
        <w:rPr>
          <w:rFonts w:ascii="宋体" w:hAnsi="宋体" w:eastAsia="宋体"/>
          <w:sz w:val="21"/>
        </w:rPr>
        <w:t>Wright N T.: 同注3, p. 321.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[69] </w:t>
      </w:r>
      <w:r>
        <w:rPr>
          <w:rFonts w:ascii="宋体" w:hAnsi="宋体" w:eastAsia="宋体"/>
          <w:sz w:val="21"/>
        </w:rPr>
        <w:t>Dunn J D G.: 同注24, pp. 112-115.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[70] </w:t>
      </w:r>
      <w:r>
        <w:rPr>
          <w:rFonts w:ascii="宋体" w:hAnsi="宋体" w:eastAsia="宋体"/>
          <w:sz w:val="21"/>
        </w:rPr>
        <w:t>Dunn J D G.: 同注24, p. 467.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[71] </w:t>
      </w:r>
      <w:r>
        <w:rPr>
          <w:rFonts w:ascii="宋体" w:hAnsi="宋体" w:eastAsia="宋体"/>
          <w:sz w:val="21"/>
        </w:rPr>
        <w:t>Kittel G, ed. Theological Dictionary of the New Testament. Vol. 4. Translated by G W Bromiley. Grand Rapids: Eerdmans, 1967: 890-892.（注：nekrosis 与 zoe 的词源考释均引自 Kittel TDNT 相关卷次）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[72] </w:t>
      </w:r>
      <w:r>
        <w:rPr>
          <w:rFonts w:ascii="宋体" w:hAnsi="宋体" w:eastAsia="宋体"/>
          <w:sz w:val="21"/>
        </w:rPr>
        <w:t>Fitzmyer J A.: 同注25, p. 438.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[73] </w:t>
      </w:r>
      <w:r>
        <w:rPr>
          <w:rFonts w:ascii="宋体" w:hAnsi="宋体" w:eastAsia="宋体"/>
          <w:sz w:val="21"/>
        </w:rPr>
        <w:t>莫尔特曼（Moltmann J）：《来临中的上帝》，曾念粤译，上海：上海三联书店，2006年，第112页。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[74] </w:t>
      </w:r>
      <w:r>
        <w:rPr>
          <w:rFonts w:ascii="宋体" w:hAnsi="宋体" w:eastAsia="宋体"/>
          <w:sz w:val="21"/>
        </w:rPr>
        <w:t>Wright N T. Paul and the Faithfulness of God. Minneapolis: Fortress Press, 2013: 782-786.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[75] </w:t>
      </w:r>
      <w:r>
        <w:rPr>
          <w:rFonts w:ascii="宋体" w:hAnsi="宋体" w:eastAsia="宋体"/>
          <w:sz w:val="21"/>
        </w:rPr>
        <w:t>Bruce F F. Paul: Apostle of the Heart Set Free. Grand Rapids: Eerdmans, 1977: 289.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[76] </w:t>
      </w:r>
      <w:r>
        <w:rPr>
          <w:rFonts w:ascii="宋体" w:hAnsi="宋体" w:eastAsia="宋体"/>
          <w:sz w:val="21"/>
        </w:rPr>
        <w:t>Martin R P.: 同注28, p. 112.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[77] </w:t>
      </w:r>
      <w:r>
        <w:rPr>
          <w:rFonts w:ascii="宋体" w:hAnsi="宋体" w:eastAsia="宋体"/>
          <w:sz w:val="21"/>
        </w:rPr>
        <w:t>范亚峰：同注22，第51页。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[78] </w:t>
      </w:r>
      <w:r>
        <w:rPr>
          <w:rFonts w:ascii="宋体" w:hAnsi="宋体" w:eastAsia="宋体"/>
          <w:sz w:val="21"/>
        </w:rPr>
        <w:t>Fitzmyer J A.: 同注25, p. 408.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[79] </w:t>
      </w:r>
      <w:r>
        <w:rPr>
          <w:rFonts w:ascii="宋体" w:hAnsi="宋体" w:eastAsia="宋体"/>
          <w:sz w:val="21"/>
        </w:rPr>
        <w:t>Wright N T. The Resurrection of the Son of God. Minneapolis: Fortress Press, 2003: 233-251.（同注3）赖特指出，保罗的复活概念并非希腊式的灵魂不朽，而是指向身体的更新与新天新地的到来，是一种"新创造"（new creation）的神学。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[80] </w:t>
      </w:r>
      <w:r>
        <w:rPr>
          <w:rFonts w:ascii="宋体" w:hAnsi="宋体" w:eastAsia="宋体"/>
          <w:sz w:val="21"/>
        </w:rPr>
        <w:t>Goldingay J. Old Testament Theology. Vol. 1. Downers Grove: IVP Academic, 2003: 34-56.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[81] </w:t>
      </w:r>
      <w:r>
        <w:rPr>
          <w:rFonts w:ascii="宋体" w:hAnsi="宋体" w:eastAsia="宋体"/>
          <w:sz w:val="21"/>
        </w:rPr>
        <w:t>Barth K. The Epistle to the Romans. London: Oxford University Press, 1933: 298-315.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[82] </w:t>
      </w:r>
      <w:r>
        <w:rPr>
          <w:rFonts w:ascii="宋体" w:hAnsi="宋体" w:eastAsia="宋体"/>
          <w:sz w:val="21"/>
        </w:rPr>
        <w:t>Thiselton A C. The First Epistle to the Corinthians. Grand Rapids: Eerdmans, 2000: 1213-1218.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[83] </w:t>
      </w:r>
      <w:r>
        <w:rPr>
          <w:rFonts w:ascii="宋体" w:hAnsi="宋体" w:eastAsia="宋体"/>
          <w:sz w:val="21"/>
        </w:rPr>
        <w:t>崔大华：同注5，第248页。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[84] </w:t>
      </w:r>
      <w:r>
        <w:rPr>
          <w:rFonts w:ascii="宋体" w:hAnsi="宋体" w:eastAsia="宋体"/>
          <w:sz w:val="21"/>
        </w:rPr>
        <w:t>Moo D J. The Epistle to the Philippians. Grand Rapids: Eerdmans, 2022: 145-162.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[85] </w:t>
      </w:r>
      <w:r>
        <w:rPr>
          <w:rFonts w:ascii="宋体" w:hAnsi="宋体" w:eastAsia="宋体"/>
          <w:sz w:val="21"/>
        </w:rPr>
        <w:t>孙程程，韦清琦：同注32，第125页。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[86] </w:t>
      </w:r>
      <w:r>
        <w:rPr>
          <w:rFonts w:ascii="宋体" w:hAnsi="宋体" w:eastAsia="宋体"/>
          <w:sz w:val="21"/>
        </w:rPr>
        <w:t>范亚峰：同注22，第45页。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[87] </w:t>
      </w:r>
      <w:r>
        <w:rPr>
          <w:rFonts w:ascii="宋体" w:hAnsi="宋体" w:eastAsia="宋体"/>
          <w:sz w:val="21"/>
        </w:rPr>
        <w:t>杨成：同注13，第68页。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[88] </w:t>
      </w:r>
      <w:r>
        <w:rPr>
          <w:rFonts w:ascii="宋体" w:hAnsi="宋体" w:eastAsia="宋体"/>
          <w:sz w:val="21"/>
        </w:rPr>
        <w:t>Wright N T. Surprised by Hope: Rethinking Heaven, the Resurrection, and the Mission of the Church. New York: HarperOne, 2008: 28.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[89] </w:t>
      </w:r>
      <w:r>
        <w:rPr>
          <w:rFonts w:ascii="宋体" w:hAnsi="宋体" w:eastAsia="宋体"/>
          <w:sz w:val="21"/>
        </w:rPr>
        <w:t>Saunders C. Cicely Saunders: The Hospice Movement. Edited by A Henderson. Cambridge: Cambridge University Press, 1992: 87.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[90] </w:t>
      </w:r>
      <w:r>
        <w:rPr>
          <w:rFonts w:ascii="宋体" w:hAnsi="宋体" w:eastAsia="宋体"/>
          <w:sz w:val="21"/>
        </w:rPr>
        <w:t>胡本泽：同注11，第28页。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[91] </w:t>
      </w:r>
      <w:r>
        <w:rPr>
          <w:rFonts w:ascii="宋体" w:hAnsi="宋体" w:eastAsia="宋体"/>
          <w:sz w:val="21"/>
        </w:rPr>
        <w:t>范亚峰：同注22，第51页。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[92] </w:t>
      </w:r>
      <w:r>
        <w:rPr>
          <w:rFonts w:ascii="宋体" w:hAnsi="宋体" w:eastAsia="宋体"/>
          <w:sz w:val="21"/>
        </w:rPr>
        <w:t>Neale R. Death Education: Concepts, Practices, and Directions. Translated by Li Shufen. Beijing: Educational Science Publishing House, 2018: 45.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[93] </w:t>
      </w:r>
      <w:r>
        <w:rPr>
          <w:rFonts w:ascii="宋体" w:hAnsi="宋体" w:eastAsia="宋体"/>
          <w:sz w:val="21"/>
        </w:rPr>
        <w:t>谭保斌：论生死观，《湘南学院学报》，2006年第1期，第10页。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[94] </w:t>
      </w:r>
      <w:r>
        <w:rPr>
          <w:rFonts w:ascii="宋体" w:hAnsi="宋体" w:eastAsia="宋体"/>
          <w:sz w:val="21"/>
        </w:rPr>
        <w:t>孙程程，韦清琦：同注32，第128页。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[95] </w:t>
      </w:r>
      <w:r>
        <w:rPr>
          <w:rFonts w:ascii="宋体" w:hAnsi="宋体" w:eastAsia="宋体"/>
          <w:sz w:val="21"/>
        </w:rPr>
        <w:t>赵敦华：同注16，第115页。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[96] </w:t>
      </w:r>
      <w:r>
        <w:rPr>
          <w:rFonts w:ascii="宋体" w:hAnsi="宋体" w:eastAsia="宋体"/>
          <w:sz w:val="21"/>
        </w:rPr>
        <w:t>崔大华：同注5，第248页。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[97] </w:t>
      </w:r>
      <w:r>
        <w:rPr>
          <w:rFonts w:ascii="宋体" w:hAnsi="宋体" w:eastAsia="宋体"/>
          <w:sz w:val="21"/>
        </w:rPr>
        <w:t>Wright N T.: 同注3, p. 321.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[98] </w:t>
      </w:r>
      <w:r>
        <w:rPr>
          <w:rFonts w:ascii="宋体" w:hAnsi="宋体" w:eastAsia="宋体"/>
          <w:sz w:val="21"/>
        </w:rPr>
        <w:t>胡本泽：同注11，第28页；范亚峰：同注22，第51页。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/>
          <w:color w:val="003366"/>
          <w:sz w:val="21"/>
        </w:rPr>
        <w:t xml:space="preserve">[99] </w:t>
      </w:r>
      <w:r>
        <w:rPr>
          <w:rFonts w:ascii="宋体" w:hAnsi="宋体" w:eastAsia="宋体"/>
          <w:sz w:val="21"/>
        </w:rPr>
        <w:t>Saunders C.: 同注89, p. 87.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