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sz w:val="36"/>
        </w:rPr>
        <w:t>摘要</w:t>
      </w:r>
    </w:p>
    <w:p>
      <w:pPr>
        <w:spacing w:line="360" w:lineRule="auto"/>
        <w:ind w:firstLine="420"/>
      </w:pPr>
      <w:r>
        <w:rPr>
          <w:rFonts w:ascii="宋体" w:hAnsi="宋体" w:eastAsia="宋体"/>
          <w:sz w:val="24"/>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机制—意义"为主线：首先分析利玛窦在《天主实义》中采用的"釜底抽薪"与"借壳上市"两种修辞策略；其次揭示"以西格中"的概念化过程，即用阿奎那式的"存有"层级学说改造宋儒的"理—气—太极"体系；再次跟踪明清士大夫（徐光启、李贽、黄宗羲等）对利玛窦理论的接受与变异，展示"创造性误解"在跨文化传播中的关键作用；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p>
    <w:p>
      <w:r>
        <w:rPr>
          <w:rFonts w:ascii="黑体" w:hAnsi="黑体" w:eastAsia="黑体"/>
          <w:sz w:val="24"/>
        </w:rPr>
        <w:t>关键词：</w:t>
      </w:r>
      <w:r>
        <w:rPr>
          <w:rFonts w:ascii="宋体" w:hAnsi="宋体" w:eastAsia="宋体"/>
          <w:sz w:val="24"/>
        </w:rPr>
        <w:t>利玛窦；《天主实义》；理与太极；耶儒对话；概念挪用</w:t>
      </w:r>
    </w:p>
    <w:p>
      <w:pPr>
        <w:pStyle w:val="Heading1"/>
      </w:pPr>
      <w:r>
        <w:rPr>
          <w:rFonts w:ascii="黑体" w:hAnsi="黑体" w:eastAsia="黑体"/>
          <w:sz w:val="36"/>
        </w:rPr>
        <w:t>第一章 绪论</w:t>
      </w:r>
    </w:p>
    <w:p>
      <w:pPr>
        <w:pStyle w:val="Heading2"/>
      </w:pPr>
      <w:r>
        <w:rPr>
          <w:rFonts w:ascii="黑体" w:hAnsi="黑体" w:eastAsia="黑体"/>
          <w:sz w:val="32"/>
        </w:rPr>
        <w:t>1.1 问题缘起</w:t>
      </w:r>
    </w:p>
    <w:p>
      <w:pPr>
        <w:spacing w:line="360" w:lineRule="auto"/>
        <w:ind w:firstLine="420"/>
      </w:pPr>
      <w:r>
        <w:rPr>
          <w:rFonts w:ascii="宋体" w:hAnsi="宋体" w:eastAsia="宋体"/>
          <w:sz w:val="24"/>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w:t>
      </w:r>
    </w:p>
    <w:p>
      <w:pPr>
        <w:spacing w:line="360" w:lineRule="auto"/>
        <w:ind w:firstLine="420"/>
      </w:pPr>
      <w:r>
        <w:rPr>
          <w:rFonts w:ascii="宋体" w:hAnsi="宋体" w:eastAsia="宋体"/>
          <w:sz w:val="24"/>
        </w:rPr>
        <w:t>如果不理解"理"与"太极"在宋明思想世界中的位置，就无法理解利玛窦所面对的困难。朱熹（1130–1200）在《朱子语类》中明确说过："太极只是一个理字。"① 在程朱理学的体系里，"理"既是宇宙万物的本源秩序，又是人伦道德的终极根据。它无形无象、无生无灭，却又遍在一切——既是"所以然之故"，又是"所当然之则"。周敦颐（1017–1073）《太极图说》开篇便称"无极而太极"，标志着宇宙论与本体论的统一。② 到明代中后期，"理"与"太极"不仅是哲学思辨的范畴，更是科举考试中士人必须熟练掌握的核心概念。任何试图取代或改造这一概念体系的尝试，都会遭遇来自整个教育制度和思想传统的双重阻力。</w:t>
      </w:r>
    </w:p>
    <w:p>
      <w:pPr>
        <w:spacing w:line="360" w:lineRule="auto"/>
        <w:ind w:firstLine="420"/>
      </w:pPr>
      <w:r>
        <w:rPr>
          <w:rFonts w:ascii="宋体" w:hAnsi="宋体" w:eastAsia="宋体"/>
          <w:sz w:val="24"/>
        </w:rPr>
        <w:t>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③ 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w:t>
      </w:r>
    </w:p>
    <w:p>
      <w:pPr>
        <w:spacing w:line="360" w:lineRule="auto"/>
        <w:ind w:firstLine="420"/>
      </w:pPr>
      <w:r>
        <w:rPr>
          <w:rFonts w:ascii="宋体" w:hAnsi="宋体" w:eastAsia="宋体"/>
          <w:sz w:val="24"/>
        </w:rPr>
        <w:t>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w:t>
      </w:r>
    </w:p>
    <w:p>
      <w:pPr>
        <w:spacing w:line="360" w:lineRule="auto"/>
        <w:ind w:firstLine="420"/>
      </w:pPr>
      <w:r>
        <w:rPr>
          <w:rFonts w:ascii="宋体" w:hAnsi="宋体" w:eastAsia="宋体"/>
          <w:sz w:val="24"/>
        </w:rPr>
        <w:t>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w:t>
      </w:r>
    </w:p>
    <w:p>
      <w:pPr>
        <w:spacing w:line="360" w:lineRule="auto"/>
        <w:ind w:firstLine="420"/>
      </w:pPr>
      <w:r>
        <w:rPr>
          <w:rFonts w:ascii="宋体" w:hAnsi="宋体" w:eastAsia="宋体"/>
          <w:sz w:val="24"/>
        </w:rPr>
        <w:t>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w:t>
      </w:r>
    </w:p>
    <w:p>
      <w:pPr>
        <w:spacing w:line="360" w:lineRule="auto"/>
        <w:ind w:firstLine="420"/>
      </w:pPr>
      <w:r>
        <w:rPr>
          <w:rFonts w:ascii="宋体" w:hAnsi="宋体" w:eastAsia="宋体"/>
          <w:sz w:val="24"/>
        </w:rPr>
        <w:t>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p>
    <w:p>
      <w:pPr>
        <w:pStyle w:val="Heading3"/>
      </w:pPr>
      <w:r>
        <w:rPr>
          <w:rFonts w:ascii="黑体" w:hAnsi="黑体" w:eastAsia="黑体"/>
          <w:sz w:val="28"/>
        </w:rPr>
        <w:t>注释</w:t>
      </w:r>
    </w:p>
    <w:p>
      <w:pPr>
        <w:spacing w:line="288" w:lineRule="auto"/>
      </w:pPr>
      <w:r>
        <w:rPr>
          <w:rFonts w:ascii="宋体" w:hAnsi="宋体" w:eastAsia="宋体"/>
          <w:sz w:val="18"/>
        </w:rPr>
        <w:t>① 朱熹：《朱子语类》卷一，中华书局，1986年，第1页。</w:t>
      </w:r>
    </w:p>
    <w:p>
      <w:pPr>
        <w:spacing w:line="288" w:lineRule="auto"/>
      </w:pPr>
      <w:r>
        <w:rPr>
          <w:rFonts w:ascii="宋体" w:hAnsi="宋体" w:eastAsia="宋体"/>
          <w:sz w:val="18"/>
        </w:rPr>
        <w:t>② 周敦颐：《周敦颐集》，中华书局，2009年，第3–8页。</w:t>
      </w:r>
    </w:p>
    <w:p>
      <w:pPr>
        <w:spacing w:line="288" w:lineRule="auto"/>
      </w:pPr>
      <w:r>
        <w:rPr>
          <w:rFonts w:ascii="宋体" w:hAnsi="宋体" w:eastAsia="宋体"/>
          <w:sz w:val="18"/>
        </w:rPr>
        <w:t>③ 利玛窦：《天主实义》，载《利玛窦中文著译集》，复旦大学出版社，2001年，第16–20页。</w:t>
      </w:r>
    </w:p>
    <w:p>
      <w:pPr>
        <w:pStyle w:val="Heading2"/>
      </w:pPr>
      <w:r>
        <w:rPr>
          <w:rFonts w:ascii="黑体" w:hAnsi="黑体" w:eastAsia="黑体"/>
          <w:sz w:val="32"/>
        </w:rPr>
        <w:t>1.2 研究现状</w:t>
      </w:r>
    </w:p>
    <w:p>
      <w:pPr>
        <w:spacing w:line="360" w:lineRule="auto"/>
        <w:ind w:firstLine="420"/>
      </w:pPr>
      <w:r>
        <w:rPr>
          <w:rFonts w:ascii="宋体" w:hAnsi="宋体" w:eastAsia="宋体"/>
          <w:sz w:val="24"/>
        </w:rPr>
        <w:t>关于利玛窦的研究，在西方学界与汉语学界均已有相当深厚的积累。与本文主题直接相关的研究，大致可以从三个方向加以梳理。</w:t>
      </w:r>
    </w:p>
    <w:p>
      <w:pPr>
        <w:spacing w:line="360" w:lineRule="auto"/>
        <w:ind w:firstLine="420"/>
      </w:pPr>
      <w:r>
        <w:rPr>
          <w:rFonts w:ascii="宋体" w:hAnsi="宋体" w:eastAsia="宋体"/>
          <w:sz w:val="24"/>
        </w:rPr>
        <w:t>第一，关于利玛窦"适应策略"的研究。早在20世纪初期，法国汉学家谢和耐（Jacques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④</w:t>
      </w:r>
    </w:p>
    <w:p>
      <w:pPr>
        <w:spacing w:line="360" w:lineRule="auto"/>
        <w:ind w:firstLine="420"/>
      </w:pPr>
      <w:r>
        <w:rPr>
          <w:rFonts w:ascii="宋体" w:hAnsi="宋体" w:eastAsia="宋体"/>
          <w:sz w:val="24"/>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⑤ 这一观察对本文的分析有直接助益。</w:t>
      </w:r>
    </w:p>
    <w:p>
      <w:pPr>
        <w:spacing w:line="360" w:lineRule="auto"/>
        <w:ind w:firstLine="420"/>
      </w:pPr>
      <w:r>
        <w:rPr>
          <w:rFonts w:ascii="宋体" w:hAnsi="宋体" w:eastAsia="宋体"/>
          <w:sz w:val="24"/>
        </w:rPr>
        <w:t>第二，关于"理"与"太极"概念的专项研究。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⑥</w:t>
      </w:r>
    </w:p>
    <w:p>
      <w:pPr>
        <w:spacing w:line="360" w:lineRule="auto"/>
        <w:ind w:firstLine="420"/>
      </w:pPr>
      <w:r>
        <w:rPr>
          <w:rFonts w:ascii="宋体" w:hAnsi="宋体" w:eastAsia="宋体"/>
          <w:sz w:val="24"/>
        </w:rPr>
        <w:t>然而，另一派学者，如香港中文大学的黄保罗（Paulos Huang），则主张利玛窦对"理"的批评实际上是一种"有意扭曲"，其目的不是为了理解朱熹，而是为了在儒耶之间制造出一个"可替换的间隙"，从而在语义上为"Deus"的进入预留空间。⑦ 这种"有意扭曲"说，与本文提出的"概念挪用"框架高度吻合。不过，黄保罗更多地侧重于神学动机的分析，而对具体的概念重组过程着墨不多。</w:t>
      </w:r>
    </w:p>
    <w:p>
      <w:pPr>
        <w:spacing w:line="360" w:lineRule="auto"/>
        <w:ind w:firstLine="420"/>
      </w:pPr>
      <w:r>
        <w:rPr>
          <w:rFonts w:ascii="宋体" w:hAnsi="宋体" w:eastAsia="宋体"/>
          <w:sz w:val="24"/>
        </w:rPr>
        <w:t>第三，关于明清之际士大夫接受状况的研究。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⑧</w:t>
      </w:r>
    </w:p>
    <w:p>
      <w:pPr>
        <w:spacing w:line="360" w:lineRule="auto"/>
        <w:ind w:firstLine="420"/>
      </w:pPr>
      <w:r>
        <w:rPr>
          <w:rFonts w:ascii="宋体" w:hAnsi="宋体" w:eastAsia="宋体"/>
          <w:sz w:val="24"/>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⑨</w:t>
      </w:r>
    </w:p>
    <w:p>
      <w:pPr>
        <w:spacing w:line="360" w:lineRule="auto"/>
        <w:ind w:firstLine="420"/>
      </w:pPr>
      <w:r>
        <w:rPr>
          <w:rFonts w:ascii="宋体" w:hAnsi="宋体" w:eastAsia="宋体"/>
          <w:sz w:val="24"/>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w:t>
      </w:r>
    </w:p>
    <w:p>
      <w:pPr>
        <w:pStyle w:val="Heading3"/>
      </w:pPr>
      <w:r>
        <w:rPr>
          <w:rFonts w:ascii="黑体" w:hAnsi="黑体" w:eastAsia="黑体"/>
          <w:sz w:val="28"/>
        </w:rPr>
        <w:t>注释</w:t>
      </w:r>
    </w:p>
    <w:p>
      <w:pPr>
        <w:spacing w:line="288" w:lineRule="auto"/>
      </w:pPr>
      <w:r>
        <w:rPr>
          <w:rFonts w:ascii="宋体" w:hAnsi="宋体" w:eastAsia="宋体"/>
          <w:sz w:val="18"/>
        </w:rPr>
        <w:t>④ 孙尚扬：《明末耶儒之间的论辩及其现代意义》，《世界宗教研究》，1993年第3期，第25–36页。</w:t>
      </w:r>
    </w:p>
    <w:p>
      <w:pPr>
        <w:spacing w:line="288" w:lineRule="auto"/>
      </w:pPr>
      <w:r>
        <w:rPr>
          <w:rFonts w:ascii="宋体" w:hAnsi="宋体" w:eastAsia="宋体"/>
          <w:sz w:val="18"/>
        </w:rPr>
        <w:t>⑤ Jean-Paul Wiest, "From Matteo Ricci to Jacques Gernet: The Changing Image of the Chinese in Western Scholarship," Chinese Studies, vol. 9, no. 1 (1997), pp. 23–47.</w:t>
      </w:r>
    </w:p>
    <w:p>
      <w:pPr>
        <w:spacing w:line="288" w:lineRule="auto"/>
      </w:pPr>
      <w:r>
        <w:rPr>
          <w:rFonts w:ascii="宋体" w:hAnsi="宋体" w:eastAsia="宋体"/>
          <w:sz w:val="18"/>
        </w:rPr>
        <w:t>⑥ 朱谦之：《中国哲学对欧洲的影响》，河北人民出版社，2004年，第67–70页。</w:t>
      </w:r>
    </w:p>
    <w:p>
      <w:pPr>
        <w:spacing w:line="288" w:lineRule="auto"/>
      </w:pPr>
      <w:r>
        <w:rPr>
          <w:rFonts w:ascii="宋体" w:hAnsi="宋体" w:eastAsia="宋体"/>
          <w:sz w:val="18"/>
        </w:rPr>
        <w:t>⑦ Paulos Huang, Confronting Confucianism: The Christian Understanding of Ru Tradition in Late Ming China (Leiden: Brill, 2007), pp. 98–110.</w:t>
      </w:r>
    </w:p>
    <w:p>
      <w:pPr>
        <w:spacing w:line="288" w:lineRule="auto"/>
      </w:pPr>
      <w:r>
        <w:rPr>
          <w:rFonts w:ascii="宋体" w:hAnsi="宋体" w:eastAsia="宋体"/>
          <w:sz w:val="18"/>
        </w:rPr>
        <w:t>⑧ 林金水：《徐光启与利玛窦关系考》，《中国史研究》，2001年第2期，第81–93页。</w:t>
      </w:r>
    </w:p>
    <w:p>
      <w:pPr>
        <w:spacing w:line="288" w:lineRule="auto"/>
      </w:pPr>
      <w:r>
        <w:rPr>
          <w:rFonts w:ascii="宋体" w:hAnsi="宋体" w:eastAsia="宋体"/>
          <w:sz w:val="18"/>
        </w:rPr>
        <w:t>⑨ 黄宗羲：《明夷待访录》，中华书局，2011年，第45页。</w:t>
      </w:r>
    </w:p>
    <w:p>
      <w:pPr>
        <w:pStyle w:val="Heading2"/>
      </w:pPr>
      <w:r>
        <w:rPr>
          <w:rFonts w:ascii="黑体" w:hAnsi="黑体" w:eastAsia="黑体"/>
          <w:sz w:val="32"/>
        </w:rPr>
        <w:t>1.3 方法与主线</w:t>
      </w:r>
    </w:p>
    <w:p>
      <w:pPr>
        <w:spacing w:line="360" w:lineRule="auto"/>
        <w:ind w:firstLine="420"/>
      </w:pPr>
      <w:r>
        <w:rPr>
          <w:rFonts w:ascii="宋体" w:hAnsi="宋体" w:eastAsia="宋体"/>
          <w:sz w:val="24"/>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w:t>
      </w:r>
    </w:p>
    <w:p>
      <w:pPr>
        <w:spacing w:line="360" w:lineRule="auto"/>
        <w:ind w:firstLine="420"/>
      </w:pPr>
      <w:r>
        <w:rPr>
          <w:rFonts w:ascii="宋体" w:hAnsi="宋体" w:eastAsia="宋体"/>
          <w:sz w:val="24"/>
        </w:rPr>
        <w:t>具体而言，本文所采取的分析工具来自三个方面。</w:t>
      </w:r>
    </w:p>
    <w:p>
      <w:pPr>
        <w:spacing w:line="360" w:lineRule="auto"/>
        <w:ind w:firstLine="420"/>
      </w:pPr>
      <w:r>
        <w:rPr>
          <w:rFonts w:ascii="宋体" w:hAnsi="宋体" w:eastAsia="宋体"/>
          <w:sz w:val="24"/>
        </w:rPr>
        <w:t>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Koselleck）在其奠基性著作《概念史与社会史》中提出，每一个重要的哲学或政治概念，都承载着特定历史语境中的经验与期待。当概念穿越不同文化边界时，它们的"语义场"会发生系统性的位移。⑩ 本文试图借鉴这一视角，追踪"理"在程朱理学体系中的原初地位，再对比其在《天主实义》中的被重新定义状态，从而测量出语义位移的幅度与方向。</w:t>
      </w:r>
    </w:p>
    <w:p>
      <w:pPr>
        <w:spacing w:line="360" w:lineRule="auto"/>
        <w:ind w:firstLine="420"/>
      </w:pPr>
      <w:r>
        <w:rPr>
          <w:rFonts w:ascii="宋体" w:hAnsi="宋体" w:eastAsia="宋体"/>
          <w:sz w:val="24"/>
        </w:rPr>
        <w:t>第二，修辞与论证分析。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w:t>
      </w:r>
    </w:p>
    <w:p>
      <w:pPr>
        <w:spacing w:line="360" w:lineRule="auto"/>
        <w:ind w:firstLine="420"/>
      </w:pPr>
      <w:r>
        <w:rPr>
          <w:rFonts w:ascii="宋体" w:hAnsi="宋体" w:eastAsia="宋体"/>
          <w:sz w:val="24"/>
        </w:rPr>
        <w:t>第三，接受史视角。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w:t>
      </w:r>
    </w:p>
    <w:p>
      <w:pPr>
        <w:spacing w:line="360" w:lineRule="auto"/>
        <w:ind w:firstLine="420"/>
      </w:pPr>
      <w:r>
        <w:rPr>
          <w:rFonts w:ascii="宋体" w:hAnsi="宋体" w:eastAsia="宋体"/>
          <w:sz w:val="24"/>
        </w:rPr>
        <w:t>在上述方法的基础上，本文的主线结构可以概括为一条"三阶路径"：</w:t>
      </w:r>
    </w:p>
    <w:p>
      <w:pPr>
        <w:spacing w:line="360" w:lineRule="auto"/>
        <w:ind w:firstLine="420"/>
      </w:pPr>
      <w:r>
        <w:rPr>
          <w:rFonts w:ascii="宋体" w:hAnsi="宋体" w:eastAsia="宋体"/>
          <w:sz w:val="24"/>
        </w:rPr>
        <w:t>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w:t>
      </w:r>
    </w:p>
    <w:p>
      <w:pPr>
        <w:spacing w:line="360" w:lineRule="auto"/>
        <w:ind w:firstLine="420"/>
      </w:pPr>
      <w:r>
        <w:rPr>
          <w:rFonts w:ascii="宋体" w:hAnsi="宋体" w:eastAsia="宋体"/>
          <w:sz w:val="24"/>
        </w:rPr>
        <w:t>第二阶：机制（第四章）。本章是全文的核心分析模块。在利玛窦的文本中，存在着一套虽然未明确表述却可清晰辨识的"概念化"机制——即如何将一个经院哲学的概念体系转换成中文术语，并使其看似"自然"地嵌入儒家话语。本文将以阿奎那的"存有层级"（gradus entium）学说为参照，揭示利玛窦的"理"批判背后所依赖的西方形而上学预设，进而展示一种跨文化"意义置换"的具体操作方法。</w:t>
      </w:r>
    </w:p>
    <w:p>
      <w:pPr>
        <w:spacing w:line="360" w:lineRule="auto"/>
        <w:ind w:firstLine="420"/>
      </w:pPr>
      <w:r>
        <w:rPr>
          <w:rFonts w:ascii="宋体" w:hAnsi="宋体" w:eastAsia="宋体"/>
          <w:sz w:val="24"/>
        </w:rPr>
        <w:t>第三阶：意义（第五章、第六章）。在完成了策略与机制的剖析之后，本文转向对整体案例的评估。第五章分析利玛窦之后明清士大夫的接受状况——他们实际上接受了什么、拒绝了什么、又创造了什么。第六章结语则将视野拉回当代，讨论利玛窦案例对于今天全球语境下跨文明对话的理论启示，尤其是"概念挪用"作为一种不可避免的文化行为，其积极与消极面向分别是什么。</w:t>
      </w:r>
    </w:p>
    <w:p>
      <w:pPr>
        <w:spacing w:line="360" w:lineRule="auto"/>
        <w:ind w:firstLine="420"/>
      </w:pPr>
      <w:r>
        <w:rPr>
          <w:rFonts w:ascii="宋体" w:hAnsi="宋体" w:eastAsia="宋体"/>
          <w:sz w:val="24"/>
        </w:rPr>
        <w:t>这一"策略—机制—意义"的链条，并非线性的因果序列，而是三个彼此缠绕的分析层次。策略的选择受到机制的制约，而机制只有在接受者的实际反应中才显现出完整的意义。本文的目的不是提供一把万能钥匙，而是尝试将这三个层次同时纳入视野，以期对利玛窦的思想操作做出一次较为系统的理解。</w:t>
      </w:r>
    </w:p>
    <w:p>
      <w:pPr>
        <w:pStyle w:val="Heading3"/>
      </w:pPr>
      <w:r>
        <w:rPr>
          <w:rFonts w:ascii="黑体" w:hAnsi="黑体" w:eastAsia="黑体"/>
          <w:sz w:val="28"/>
        </w:rPr>
        <w:t>注释</w:t>
      </w:r>
    </w:p>
    <w:p>
      <w:pPr>
        <w:spacing w:line="288" w:lineRule="auto"/>
      </w:pPr>
      <w:r>
        <w:rPr>
          <w:rFonts w:ascii="宋体" w:hAnsi="宋体" w:eastAsia="宋体"/>
          <w:sz w:val="18"/>
        </w:rPr>
        <w:t>⑩ Reinhart Koselleck, "Begriffsgeschichte und Sozialgeschichte," in Vergangene Zukunft: Zur Semantik geschichtlicher Zeiten (Frankfurt: Suhrkamp, 1979), S. 107–129.</w:t>
      </w:r>
    </w:p>
    <w:p>
      <w:pPr>
        <w:pStyle w:val="Heading2"/>
      </w:pPr>
      <w:r>
        <w:rPr>
          <w:rFonts w:ascii="黑体" w:hAnsi="黑体" w:eastAsia="黑体"/>
          <w:sz w:val="32"/>
        </w:rPr>
        <w:t>本章小结</w:t>
      </w:r>
    </w:p>
    <w:p>
      <w:pPr>
        <w:spacing w:line="360" w:lineRule="auto"/>
        <w:ind w:firstLine="420"/>
      </w:pPr>
      <w:r>
        <w:rPr>
          <w:rFonts w:ascii="宋体" w:hAnsi="宋体" w:eastAsia="宋体"/>
          <w:sz w:val="24"/>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机制—意义"三层联动分析的尝试，仍尚付阙如。为此，本文提出以概念史、修辞分析与接受史为三重方法，沿着"策略（第二章、第三章）—机制（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