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近-3-天-token-消耗清单"/>
    <w:p>
      <w:pPr>
        <w:pStyle w:val="Heading1"/>
      </w:pPr>
      <w:r>
        <w:t xml:space="preserve">📊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天</w:t>
      </w:r>
      <w:r>
        <w:t xml:space="preserve"> Token </w:t>
      </w:r>
      <w:r>
        <w:rPr>
          <w:rFonts w:hint="eastAsia"/>
        </w:rPr>
        <w:t xml:space="preserve">消耗清单</w:t>
      </w:r>
    </w:p>
    <w:p>
      <w:pPr>
        <w:pStyle w:val="FirstParagraph"/>
      </w:pPr>
      <w:r>
        <w:rPr>
          <w:rFonts w:hint="eastAsia"/>
          <w:b/>
          <w:bCs/>
        </w:rPr>
        <w:t xml:space="preserve">生成时间</w:t>
      </w:r>
      <w:r>
        <w:t xml:space="preserve">: 2026-04-08 17:27:42 (Asia/Shanghai)</w:t>
      </w:r>
      <w:r>
        <w:t xml:space="preserve"> </w:t>
      </w:r>
      <w:r>
        <w:rPr>
          <w:rFonts w:hint="eastAsia"/>
          <w:b/>
          <w:bCs/>
        </w:rPr>
        <w:t xml:space="preserve">统计范围</w:t>
      </w:r>
      <w:r>
        <w:t xml:space="preserve">: 2026-04-06 </w:t>
      </w:r>
      <w:r>
        <w:rPr>
          <w:rFonts w:hint="eastAsia"/>
        </w:rPr>
        <w:t xml:space="preserve">至</w:t>
      </w:r>
      <w:r>
        <w:t xml:space="preserve"> 2026-04-08</w:t>
      </w:r>
    </w:p>
    <w:p>
      <w:r>
        <w:pict>
          <v:rect style="width:0;height:1.5pt" o:hralign="center" o:hrstd="t" o:hr="t"/>
        </w:pict>
      </w:r>
    </w:p>
    <w:bookmarkStart w:id="9" w:name="按日期统计"/>
    <w:p>
      <w:pPr>
        <w:pStyle w:val="Heading2"/>
      </w:pPr>
      <w:r>
        <w:t xml:space="preserve">📅 </w:t>
      </w:r>
      <w:r>
        <w:rPr>
          <w:rFonts w:hint="eastAsia"/>
        </w:rPr>
        <w:t xml:space="preserve">按日期统计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  <w:r>
              <w:t xml:space="preserve"> (¥)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1,227,714</w:t>
            </w:r>
          </w:p>
        </w:tc>
        <w:tc>
          <w:tcPr/>
          <w:p>
            <w:pPr>
              <w:pStyle w:val="Compact"/>
            </w:pPr>
            <w:r>
              <w:t xml:space="preserve">23,810</w:t>
            </w:r>
          </w:p>
        </w:tc>
        <w:tc>
          <w:tcPr/>
          <w:p>
            <w:pPr>
              <w:pStyle w:val="Compact"/>
            </w:pPr>
            <w:r>
              <w:t xml:space="preserve">1,251,524</w:t>
            </w:r>
          </w:p>
        </w:tc>
        <w:tc>
          <w:tcPr/>
          <w:p>
            <w:pPr>
              <w:pStyle w:val="Compact"/>
            </w:pPr>
            <w:r>
              <w:t xml:space="preserve">¥5.1965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11,176,083</w:t>
            </w:r>
          </w:p>
        </w:tc>
        <w:tc>
          <w:tcPr/>
          <w:p>
            <w:pPr>
              <w:pStyle w:val="Compact"/>
            </w:pPr>
            <w:r>
              <w:t xml:space="preserve">69,425</w:t>
            </w:r>
          </w:p>
        </w:tc>
        <w:tc>
          <w:tcPr/>
          <w:p>
            <w:pPr>
              <w:pStyle w:val="Compact"/>
            </w:pPr>
            <w:r>
              <w:t xml:space="preserve">11,245,508</w:t>
            </w:r>
          </w:p>
        </w:tc>
        <w:tc>
          <w:tcPr/>
          <w:p>
            <w:pPr>
              <w:pStyle w:val="Compact"/>
            </w:pPr>
            <w:r>
              <w:t xml:space="preserve">¥45.5374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2026-04-08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56,442,579</w:t>
            </w:r>
          </w:p>
        </w:tc>
        <w:tc>
          <w:tcPr/>
          <w:p>
            <w:pPr>
              <w:pStyle w:val="Compact"/>
            </w:pPr>
            <w:r>
              <w:t xml:space="preserve">436,404</w:t>
            </w:r>
          </w:p>
        </w:tc>
        <w:tc>
          <w:tcPr/>
          <w:p>
            <w:pPr>
              <w:pStyle w:val="Compact"/>
            </w:pPr>
            <w:r>
              <w:t xml:space="preserve">56,878,983</w:t>
            </w:r>
          </w:p>
        </w:tc>
        <w:tc>
          <w:tcPr/>
          <w:p>
            <w:pPr>
              <w:pStyle w:val="Compact"/>
            </w:pPr>
            <w:r>
              <w:t xml:space="preserve">¥231.0071</w:t>
            </w:r>
          </w:p>
        </w:tc>
      </w:tr>
    </w:tbl>
    <w:bookmarkEnd w:id="9"/>
    <w:bookmarkStart w:id="10" w:name="总计"/>
    <w:p>
      <w:pPr>
        <w:pStyle w:val="Heading2"/>
      </w:pPr>
      <w:r>
        <w:t xml:space="preserve">📈 </w:t>
      </w:r>
      <w:r>
        <w:rPr>
          <w:rFonts w:hint="eastAsia"/>
        </w:rPr>
        <w:t xml:space="preserve">总计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总会话数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总输入</w:t>
            </w:r>
            <w:r>
              <w:rPr>
                <w:b/>
                <w:bCs/>
              </w:rPr>
              <w:t xml:space="preserve"> Tokens</w:t>
            </w:r>
          </w:p>
        </w:tc>
        <w:tc>
          <w:tcPr/>
          <w:p>
            <w:pPr>
              <w:pStyle w:val="Compact"/>
            </w:pPr>
            <w:r>
              <w:t xml:space="preserve">68,846,376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总输出</w:t>
            </w:r>
            <w:r>
              <w:rPr>
                <w:b/>
                <w:bCs/>
              </w:rPr>
              <w:t xml:space="preserve"> Tokens</w:t>
            </w:r>
          </w:p>
        </w:tc>
        <w:tc>
          <w:tcPr/>
          <w:p>
            <w:pPr>
              <w:pStyle w:val="Compact"/>
            </w:pPr>
            <w:r>
              <w:t xml:space="preserve">529,639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</w:t>
            </w:r>
            <w:r>
              <w:rPr>
                <w:b/>
                <w:bCs/>
              </w:rPr>
              <w:t xml:space="preserve"> Tokens</w:t>
            </w:r>
          </w:p>
        </w:tc>
        <w:tc>
          <w:tcPr/>
          <w:p>
            <w:pPr>
              <w:pStyle w:val="Compact"/>
            </w:pPr>
            <w:r>
              <w:t xml:space="preserve">69,376,015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估算成本</w:t>
            </w:r>
          </w:p>
        </w:tc>
        <w:tc>
          <w:tcPr/>
          <w:p>
            <w:pPr>
              <w:pStyle w:val="Compact"/>
            </w:pPr>
            <w:r>
              <w:t xml:space="preserve">¥281.7411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说明"/>
    <w:p>
      <w:pPr>
        <w:pStyle w:val="Heading2"/>
      </w:pPr>
      <w:r>
        <w:t xml:space="preserve">📋 </w:t>
      </w: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</w:t>
      </w:r>
      <w:r>
        <w:t xml:space="preserve">: qwen3.5-plus (dashscope-coding)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价格</w:t>
      </w:r>
      <w:r>
        <w:t xml:space="preserve">: </w:t>
      </w:r>
      <w:r>
        <w:rPr>
          <w:rFonts w:hint="eastAsia"/>
        </w:rPr>
        <w:t xml:space="preserve">输入</w:t>
      </w:r>
      <w:r>
        <w:t xml:space="preserve"> ¥0.004/1K </w:t>
      </w:r>
      <w:r>
        <w:rPr>
          <w:rFonts w:hint="eastAsia"/>
        </w:rPr>
        <w:t xml:space="preserve">tokens，输出</w:t>
      </w:r>
      <w:r>
        <w:t xml:space="preserve"> ¥0.012/1K tokens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统计来源</w:t>
      </w:r>
      <w:r>
        <w:t xml:space="preserve">: OpenClaw </w:t>
      </w:r>
      <w:r>
        <w:rPr>
          <w:rFonts w:hint="eastAsia"/>
        </w:rPr>
        <w:t xml:space="preserve">会话日志</w:t>
      </w:r>
    </w:p>
    <w:p>
      <w:pPr>
        <w:pStyle w:val="FirstParagraph"/>
      </w:pPr>
      <w:r>
        <w:rPr>
          <w:rFonts w:hint="eastAsia"/>
          <w:i/>
          <w:iCs/>
        </w:rPr>
        <w:t xml:space="preserve">注：今日</w:t>
      </w:r>
      <w:r>
        <w:rPr>
          <w:i/>
          <w:iCs/>
        </w:rPr>
        <w:t xml:space="preserve"> (4/8) </w:t>
      </w:r>
      <w:r>
        <w:rPr>
          <w:rFonts w:hint="eastAsia"/>
          <w:i/>
          <w:iCs/>
        </w:rPr>
        <w:t xml:space="preserve">数据包含当前会话的实时使用量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2026-04-08T09:29:26Z</dcterms:created>
  <dcterms:modified xsi:type="dcterms:W3CDTF">2026-04-08T09:29:26Z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