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OpenClaw </w:t>
            </w:r>
            <w:r>
              <w:rPr>
                <w:rFonts w:hint="eastAsia"/>
              </w:rPr>
              <w:t xml:space="preserve">赋能信息技术课堂：AI</w:t>
            </w:r>
            <w:r>
              <w:t xml:space="preserve"> </w:t>
            </w:r>
            <w:r>
              <w:rPr>
                <w:rFonts w:hint="eastAsia"/>
              </w:rPr>
              <w:t xml:space="preserve">优化与教学创新的实践路径研究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6,800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390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285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965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实践路径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策略途径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“智能备课—精准教学—个性辅导—多元评价”</w:t>
      </w:r>
      <w:r>
        <w:rPr>
          <w:rFonts w:hint="eastAsia"/>
        </w:rPr>
        <w:t xml:space="preserve">四维模式为自主构建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：实践数据来源于教学设计，分析解读为原创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82.2%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1.9/5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：结合浙江省、绍兴市本地政策与案例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17.8%（符合）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如需进一步协助，可联系绍兴柯桥职校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2026-04-23T01:16:50Z</dcterms:created>
  <dcterms:modified xsi:type="dcterms:W3CDTF">2026-04-23T01:16:50Z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