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实验报告：OLS 与稳健 OLS 参数估计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OLS 与稳健 OLS 参数估计</w:t>
            </w:r>
          </w:p>
        </w:tc>
      </w:tr>
      <w:tr>
        <w:tc>
          <w:tcPr>
            <w:tcW w:type="dxa" w:w="4320"/>
          </w:tcPr>
          <w:p>
            <w:r>
              <w:t>姓    名</w:t>
            </w:r>
          </w:p>
        </w:tc>
        <w:tc>
          <w:tcPr>
            <w:tcW w:type="dxa" w:w="4320"/>
          </w:tcPr>
          <w:p>
            <w:r>
              <w:t>陈怡</w:t>
            </w:r>
          </w:p>
        </w:tc>
      </w:tr>
      <w:tr>
        <w:tc>
          <w:tcPr>
            <w:tcW w:type="dxa" w:w="4320"/>
          </w:tcPr>
          <w:p>
            <w:r>
              <w:t>学    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日    期</w:t>
            </w:r>
          </w:p>
        </w:tc>
        <w:tc>
          <w:tcPr>
            <w:tcW w:type="dxa" w:w="4320"/>
          </w:tcPr>
          <w:p>
            <w:r>
              <w:t>2026 年 4 月 21 日</w:t>
            </w:r>
          </w:p>
        </w:tc>
      </w:tr>
    </w:tbl>
    <w:p>
      <w:pPr>
        <w:pStyle w:val="Heading1"/>
      </w:pPr>
      <w:r>
        <w:t>一、实验目的</w:t>
      </w:r>
    </w:p>
    <w:p>
      <w:r>
        <w:t>1. 掌握数据清洗的基本方法，学会筛选母公司会计报表数据</w:t>
      </w:r>
    </w:p>
    <w:p>
      <w:r>
        <w:t>2. 学习变量重命名和数据预处理技巧</w:t>
      </w:r>
    </w:p>
    <w:p>
      <w:r>
        <w:t>3. 掌握 OLS 与稳健 OLS 参数估计的原理和实现方法</w:t>
      </w:r>
    </w:p>
    <w:p>
      <w:r>
        <w:t>4. 学会进行拟合优度检验和参数显著性检验</w:t>
      </w:r>
    </w:p>
    <w:p>
      <w:r>
        <w:t>5. 能够正确写出样本回归方程并解读结果</w:t>
      </w:r>
    </w:p>
    <w:p>
      <w:pPr>
        <w:pStyle w:val="Heading1"/>
      </w:pPr>
      <w:r>
        <w:t>二、实验设备与环境</w:t>
      </w:r>
    </w:p>
    <w:p>
      <w:r>
        <w:t>• 实验软件：Stata 17.0、Python 3.10</w:t>
      </w:r>
    </w:p>
    <w:p>
      <w:r>
        <w:t>• 操作系统：Windows 11 / Linux</w:t>
      </w:r>
    </w:p>
    <w:p>
      <w:r>
        <w:t>• 数据处理平台：pandas、scipy</w:t>
      </w:r>
    </w:p>
    <w:p>
      <w:r>
        <w:t>• 数据来源：CSMAR/Wind 数据库上市公司 2025 年年报数据</w:t>
      </w:r>
    </w:p>
    <w:p>
      <w:pPr>
        <w:pStyle w:val="Heading1"/>
      </w:pPr>
      <w:r>
        <w:t>三、实验过程</w:t>
      </w:r>
    </w:p>
    <w:p>
      <w:pPr>
        <w:pStyle w:val="Heading2"/>
      </w:pPr>
      <w:r>
        <w:t>3.1 数据清洗</w:t>
      </w:r>
    </w:p>
    <w:p>
      <w:r>
        <w:t>（1）导入原始数据 11.dta，包含 2,223 个上市公司样本</w:t>
      </w:r>
    </w:p>
    <w:p>
      <w:r>
        <w:t>（2）筛选母公司会计报表：保留 Typrep = "A" 的观测值</w:t>
      </w:r>
    </w:p>
    <w:p>
      <w:r>
        <w:t>（3）删除缺失值：删除 Tobin、roe、size 等变量的缺失值</w:t>
      </w:r>
    </w:p>
    <w:p>
      <w:r>
        <w:t>（4）最终有效样本量：2,139 个</w:t>
      </w:r>
    </w:p>
    <w:p>
      <w:pPr>
        <w:pStyle w:val="Heading2"/>
      </w:pPr>
      <w:r>
        <w:t>3.2 变量重命名</w:t>
      </w:r>
    </w:p>
    <w:p>
      <w:r>
        <w:t>• F050501B → roe（净资产收益率）</w:t>
      </w:r>
    </w:p>
    <w:p>
      <w:r>
        <w:t>• tobin → Tobin（托宾 Q 值）</w:t>
      </w:r>
    </w:p>
    <w:p>
      <w:r>
        <w:t>• size → size（公司规模）</w:t>
      </w:r>
    </w:p>
    <w:p>
      <w:r>
        <w:t>• 生成新变量：ln_size = log(size)</w:t>
      </w:r>
    </w:p>
    <w:p>
      <w:pPr>
        <w:pStyle w:val="Heading2"/>
      </w:pPr>
      <w:r>
        <w:t>3.3 模型设定</w:t>
      </w:r>
    </w:p>
    <w:p>
      <w:pPr>
        <w:pStyle w:val="NoSpacing"/>
      </w:pPr>
      <w:r>
        <w:t>Tobin = β₀ + β₁×roe + β₂×ln_size + ε</w:t>
      </w:r>
    </w:p>
    <w:p>
      <w:pPr>
        <w:pStyle w:val="Heading2"/>
      </w:pPr>
      <w:r>
        <w:t>3.4 参数估计方法</w:t>
      </w:r>
    </w:p>
    <w:p>
      <w:r>
        <w:t>（1）普通 OLS：假设同方差，使用标准公式计算标准误</w:t>
      </w:r>
    </w:p>
    <w:p>
      <w:r>
        <w:t>（2）稳健 OLS：使用 HC1 稳健标准误，允许异方差存在</w:t>
      </w:r>
    </w:p>
    <w:p>
      <w:pPr>
        <w:pStyle w:val="Heading1"/>
      </w:pPr>
      <w:r>
        <w:t>四、实验结果</w:t>
      </w:r>
    </w:p>
    <w:p>
      <w:pPr>
        <w:pStyle w:val="Heading2"/>
      </w:pPr>
      <w:r>
        <w:t>4.1 描述性统计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变量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均值</w:t>
            </w:r>
          </w:p>
        </w:tc>
        <w:tc>
          <w:tcPr>
            <w:tcW w:type="dxa" w:w="1728"/>
          </w:tcPr>
          <w:p>
            <w:r>
              <w:t>标准差</w:t>
            </w:r>
          </w:p>
        </w:tc>
        <w:tc>
          <w:tcPr>
            <w:tcW w:type="dxa" w:w="1728"/>
          </w:tcPr>
          <w:p>
            <w:r>
              <w:t>最小值 - 最大值</w:t>
            </w:r>
          </w:p>
        </w:tc>
      </w:tr>
      <w:tr>
        <w:tc>
          <w:tcPr>
            <w:tcW w:type="dxa" w:w="1728"/>
          </w:tcPr>
          <w:p>
            <w:r>
              <w:t>Tobin</w:t>
            </w:r>
          </w:p>
        </w:tc>
        <w:tc>
          <w:tcPr>
            <w:tcW w:type="dxa" w:w="1728"/>
          </w:tcPr>
          <w:p>
            <w:r>
              <w:t>2,139</w:t>
            </w:r>
          </w:p>
        </w:tc>
        <w:tc>
          <w:tcPr>
            <w:tcW w:type="dxa" w:w="1728"/>
          </w:tcPr>
          <w:p>
            <w:r>
              <w:t>2.4387</w:t>
            </w:r>
          </w:p>
        </w:tc>
        <w:tc>
          <w:tcPr>
            <w:tcW w:type="dxa" w:w="1728"/>
          </w:tcPr>
          <w:p>
            <w:r>
              <w:t>2.2011</w:t>
            </w:r>
          </w:p>
        </w:tc>
        <w:tc>
          <w:tcPr>
            <w:tcW w:type="dxa" w:w="1728"/>
          </w:tcPr>
          <w:p>
            <w:r>
              <w:t>0.5828 - 42.3273</w:t>
            </w:r>
          </w:p>
        </w:tc>
      </w:tr>
      <w:tr>
        <w:tc>
          <w:tcPr>
            <w:tcW w:type="dxa" w:w="1728"/>
          </w:tcPr>
          <w:p>
            <w:r>
              <w:t>roe</w:t>
            </w:r>
          </w:p>
        </w:tc>
        <w:tc>
          <w:tcPr>
            <w:tcW w:type="dxa" w:w="1728"/>
          </w:tcPr>
          <w:p>
            <w:r>
              <w:t>2,139</w:t>
            </w:r>
          </w:p>
        </w:tc>
        <w:tc>
          <w:tcPr>
            <w:tcW w:type="dxa" w:w="1728"/>
          </w:tcPr>
          <w:p>
            <w:r>
              <w:t>0.0235</w:t>
            </w:r>
          </w:p>
        </w:tc>
        <w:tc>
          <w:tcPr>
            <w:tcW w:type="dxa" w:w="1728"/>
          </w:tcPr>
          <w:p>
            <w:r>
              <w:t>0.4426</w:t>
            </w:r>
          </w:p>
        </w:tc>
        <w:tc>
          <w:tcPr>
            <w:tcW w:type="dxa" w:w="1728"/>
          </w:tcPr>
          <w:p>
            <w:r>
              <w:t>-15.5880 - 1.1551</w:t>
            </w:r>
          </w:p>
        </w:tc>
      </w:tr>
      <w:tr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2,139</w:t>
            </w:r>
          </w:p>
        </w:tc>
        <w:tc>
          <w:tcPr>
            <w:tcW w:type="dxa" w:w="1728"/>
          </w:tcPr>
          <w:p>
            <w:r>
              <w:t>1.90e+11</w:t>
            </w:r>
          </w:p>
        </w:tc>
        <w:tc>
          <w:tcPr>
            <w:tcW w:type="dxa" w:w="1728"/>
          </w:tcPr>
          <w:p>
            <w:r>
              <w:t>2.17e+12</w:t>
            </w:r>
          </w:p>
        </w:tc>
        <w:tc>
          <w:tcPr>
            <w:tcW w:type="dxa" w:w="1728"/>
          </w:tcPr>
          <w:p>
            <w:r>
              <w:t>1.99e+08 - 5.35e+13</w:t>
            </w:r>
          </w:p>
        </w:tc>
      </w:tr>
      <w:tr>
        <w:tc>
          <w:tcPr>
            <w:tcW w:type="dxa" w:w="1728"/>
          </w:tcPr>
          <w:p>
            <w:r>
              <w:t>ln_size</w:t>
            </w:r>
          </w:p>
        </w:tc>
        <w:tc>
          <w:tcPr>
            <w:tcW w:type="dxa" w:w="1728"/>
          </w:tcPr>
          <w:p>
            <w:r>
              <w:t>2,139</w:t>
            </w:r>
          </w:p>
        </w:tc>
        <w:tc>
          <w:tcPr>
            <w:tcW w:type="dxa" w:w="1728"/>
          </w:tcPr>
          <w:p>
            <w:r>
              <w:t>21.3654</w:t>
            </w:r>
          </w:p>
        </w:tc>
        <w:tc>
          <w:tcPr>
            <w:tcW w:type="dxa" w:w="1728"/>
          </w:tcPr>
          <w:p>
            <w:r>
              <w:t>1.0189</w:t>
            </w:r>
          </w:p>
        </w:tc>
        <w:tc>
          <w:tcPr>
            <w:tcW w:type="dxa" w:w="1728"/>
          </w:tcPr>
          <w:p>
            <w:r>
              <w:t>19.1084 - 31.7098</w:t>
            </w:r>
          </w:p>
        </w:tc>
      </w:tr>
    </w:tbl>
    <w:p>
      <w:pPr>
        <w:pStyle w:val="Heading2"/>
      </w:pPr>
      <w:r>
        <w:t>4.2 OLS 与稳健 OLS 估计结果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OLS 标准误</w:t>
            </w:r>
          </w:p>
        </w:tc>
        <w:tc>
          <w:tcPr>
            <w:tcW w:type="dxa" w:w="1440"/>
          </w:tcPr>
          <w:p>
            <w:r>
              <w:t>稳健标准误</w:t>
            </w:r>
          </w:p>
        </w:tc>
        <w:tc>
          <w:tcPr>
            <w:tcW w:type="dxa" w:w="1440"/>
          </w:tcPr>
          <w:p>
            <w:r>
              <w:t>t 值</w:t>
            </w:r>
          </w:p>
        </w:tc>
        <w:tc>
          <w:tcPr>
            <w:tcW w:type="dxa" w:w="1440"/>
          </w:tcPr>
          <w:p>
            <w:r>
              <w:t>显著性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11.5967</w:t>
            </w:r>
          </w:p>
        </w:tc>
        <w:tc>
          <w:tcPr>
            <w:tcW w:type="dxa" w:w="1440"/>
          </w:tcPr>
          <w:p>
            <w:r>
              <w:t>0.5998</w:t>
            </w:r>
          </w:p>
        </w:tc>
        <w:tc>
          <w:tcPr>
            <w:tcW w:type="dxa" w:w="1440"/>
          </w:tcPr>
          <w:p>
            <w:r>
              <w:t>0.6172</w:t>
            </w:r>
          </w:p>
        </w:tc>
        <w:tc>
          <w:tcPr>
            <w:tcW w:type="dxa" w:w="1440"/>
          </w:tcPr>
          <w:p>
            <w:r>
              <w:t>19.34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roe</w:t>
            </w:r>
          </w:p>
        </w:tc>
        <w:tc>
          <w:tcPr>
            <w:tcW w:type="dxa" w:w="1440"/>
          </w:tcPr>
          <w:p>
            <w:r>
              <w:t>0.1297</w:t>
            </w:r>
          </w:p>
        </w:tc>
        <w:tc>
          <w:tcPr>
            <w:tcW w:type="dxa" w:w="1440"/>
          </w:tcPr>
          <w:p>
            <w:r>
              <w:t>0.1022</w:t>
            </w:r>
          </w:p>
        </w:tc>
        <w:tc>
          <w:tcPr>
            <w:tcW w:type="dxa" w:w="1440"/>
          </w:tcPr>
          <w:p>
            <w:r>
              <w:t>0.1055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ln_size</w:t>
            </w:r>
          </w:p>
        </w:tc>
        <w:tc>
          <w:tcPr>
            <w:tcW w:type="dxa" w:w="1440"/>
          </w:tcPr>
          <w:p>
            <w:r>
              <w:t>-0.4028</w:t>
            </w:r>
          </w:p>
        </w:tc>
        <w:tc>
          <w:tcPr>
            <w:tcW w:type="dxa" w:w="1440"/>
          </w:tcPr>
          <w:p>
            <w:r>
              <w:t>0.0263</w:t>
            </w:r>
          </w:p>
        </w:tc>
        <w:tc>
          <w:tcPr>
            <w:tcW w:type="dxa" w:w="1440"/>
          </w:tcPr>
          <w:p>
            <w:r>
              <w:t>0.0272</w:t>
            </w:r>
          </w:p>
        </w:tc>
        <w:tc>
          <w:tcPr>
            <w:tcW w:type="dxa" w:w="1440"/>
          </w:tcPr>
          <w:p>
            <w:r>
              <w:t>-16.16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注：***、**、* 分别表示在 1%、5%、10% 水平上显著</w:t>
      </w:r>
    </w:p>
    <w:p>
      <w:pPr>
        <w:pStyle w:val="Heading2"/>
      </w:pPr>
      <w:r>
        <w:t>4.3 样本回归方程</w:t>
      </w:r>
    </w:p>
    <w:p>
      <w:pPr>
        <w:pStyle w:val="NoSpacing"/>
      </w:pPr>
      <w:r>
        <w:t>根据稳健 OLS 估计结果，样本回归方程为：</w:t>
      </w:r>
    </w:p>
    <w:p/>
    <w:p>
      <w:pPr>
        <w:pStyle w:val="NoSpacing"/>
      </w:pPr>
      <w:r>
        <w:t>Tobin̂ = 11.5967 + 0.1297×roe - 0.4028×ln_size</w:t>
      </w:r>
    </w:p>
    <w:p>
      <w:pPr>
        <w:pStyle w:val="NoSpacing"/>
      </w:pPr>
      <w:r>
        <w:t xml:space="preserve">         (0.6172)  (0.1055)    (0.0272)</w:t>
      </w:r>
    </w:p>
    <w:p/>
    <w:p>
      <w:pPr>
        <w:pStyle w:val="NoSpacing"/>
      </w:pPr>
      <w:r>
        <w:t>t = (19.34)   (1.23)     (-16.16)</w:t>
      </w:r>
    </w:p>
    <w:p>
      <w:pPr>
        <w:pStyle w:val="Heading2"/>
      </w:pPr>
      <w:r>
        <w:t>4.4 拟合优度检验</w:t>
      </w:r>
    </w:p>
    <w:p>
      <w:r>
        <w:t>• R² = 0.0989，表示模型能够解释托宾 Q 变异的 9.89%</w:t>
      </w:r>
    </w:p>
    <w:p>
      <w:r>
        <w:t>• 调整 R² = 0.0981，考虑自由度后的拟合优度</w:t>
      </w:r>
    </w:p>
    <w:p>
      <w:r>
        <w:t>• F 统计量 = 117.03，p 值 = 0.0000，模型整体显著</w:t>
      </w:r>
    </w:p>
    <w:p>
      <w:pPr>
        <w:pStyle w:val="Heading2"/>
      </w:pPr>
      <w:r>
        <w:t>4.5 参数显著性检验</w:t>
      </w:r>
    </w:p>
    <w:p>
      <w:r>
        <w:t>• 常数项：t = 19.34，p &lt; 0.01，在 1% 水平上显著</w:t>
      </w:r>
    </w:p>
    <w:p>
      <w:r>
        <w:t>• roe 系数：t = 1.23，p = 0.2182，统计不显著</w:t>
      </w:r>
    </w:p>
    <w:p>
      <w:r>
        <w:t>• ln_size 系数：t = -16.16，p &lt; 0.01，在 1% 水平上显著为负</w:t>
      </w:r>
    </w:p>
    <w:p>
      <w:pPr>
        <w:pStyle w:val="Heading1"/>
      </w:pPr>
      <w:r>
        <w:t>五、实验结论</w:t>
      </w:r>
    </w:p>
    <w:p>
      <w:r>
        <w:t>1. 数据清洗后获得 2,139 个有效样本，仅保留母公司会计报表。</w:t>
      </w:r>
    </w:p>
    <w:p>
      <w:r>
        <w:t>2. 公司规模对托宾 Q 有显著负向影响，小公司估值更高。</w:t>
      </w:r>
    </w:p>
    <w:p>
      <w:r>
        <w:t>3. ROE 对托宾 Q 影响不显著，业绩不是估值的主要驱动因素。</w:t>
      </w:r>
    </w:p>
    <w:p>
      <w:r>
        <w:t>4. 稳健 OLS 与普通 OLS 结果一致，说明模型较为稳健。</w:t>
      </w:r>
    </w:p>
    <w:p>
      <w:r>
        <w:t>5. 模型 R²为 9.89%，还有其他重要影响因素需进一步研究。</w:t>
      </w:r>
    </w:p>
    <w:p>
      <w:pPr>
        <w:pStyle w:val="Heading1"/>
      </w:pPr>
      <w:r>
        <w:t>六、实验心得</w:t>
      </w:r>
    </w:p>
    <w:p>
      <w:r>
        <w:t>通过本次实验，我掌握了以下技能：</w:t>
      </w:r>
    </w:p>
    <w:p>
      <w:r>
        <w:t>（1）数据清洗是实证研究的基础，需要仔细处理缺失值和异常值；</w:t>
      </w:r>
    </w:p>
    <w:p>
      <w:r>
        <w:t>（2）变量命名应规范清晰，便于后续分析和结果解读；</w:t>
      </w:r>
    </w:p>
    <w:p>
      <w:r>
        <w:t>（3）稳健 OLS 可以处理异方差问题，使标准误估计更可靠；</w:t>
      </w:r>
    </w:p>
    <w:p>
      <w:r>
        <w:t>（4）拟合优度检验和参数显著性检验是回归分析的必备步骤；</w:t>
      </w:r>
    </w:p>
    <w:p>
      <w:r>
        <w:t>（5）样本回归方程应包含系数、标准误和显著性标记。</w:t>
      </w:r>
    </w:p>
    <w:p>
      <w:r>
        <w:t>本次实验为后续的实证研究奠定了坚实的方法论基础。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