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44"/>
        </w:rPr>
        <w:t>浙江省科学技术进步奖提名书</w:t>
        <w:br/>
        <w:t>（2026年度）</w:t>
      </w:r>
    </w:p>
    <w:p>
      <w:pPr>
        <w:pStyle w:val="Heading1"/>
        <w:spacing w:before="240" w:after="120"/>
      </w:pPr>
      <w:r>
        <w:rPr>
          <w:rFonts w:ascii="黑体" w:hAnsi="黑体" w:eastAsia="黑体"/>
          <w:sz w:val="32"/>
        </w:rPr>
        <w:t>一、成果基本情况</w:t>
      </w:r>
    </w:p>
    <w:tbl>
      <w:tblPr>
        <w:tblW w:type="auto" w:w="0"/>
        <w:jc w:val="center"/>
        <w:tblLook w:firstColumn="1" w:firstRow="1" w:lastColumn="0" w:lastRow="0" w:noHBand="0" w:noVBand="1" w:val="04A0"/>
      </w:tblPr>
      <w:tblGrid>
        <w:gridCol w:w="4323"/>
        <w:gridCol w:w="4323"/>
      </w:tblGrid>
      <w:tr>
        <w:tc>
          <w:tcPr>
            <w:tcW w:type="dxa" w:w="4323"/>
          </w:tcPr>
          <w:p>
            <w:r>
              <w:rPr>
                <w:rFonts w:ascii="仿宋" w:hAnsi="仿宋" w:eastAsia="仿宋"/>
                <w:b/>
                <w:sz w:val="22"/>
              </w:rPr>
              <w:t>成果名称（中文）</w:t>
            </w:r>
          </w:p>
        </w:tc>
        <w:tc>
          <w:tcPr>
            <w:tcW w:type="dxa" w:w="4323"/>
          </w:tcPr>
          <w:p>
            <w:r>
              <w:rPr>
                <w:rFonts w:ascii="仿宋" w:hAnsi="仿宋" w:eastAsia="仿宋"/>
                <w:sz w:val="22"/>
              </w:rPr>
              <w:t>意图驱动的可编程接入网主动式管控技术及产业化应用</w:t>
            </w:r>
          </w:p>
        </w:tc>
      </w:tr>
      <w:tr>
        <w:tc>
          <w:tcPr>
            <w:tcW w:type="dxa" w:w="4323"/>
          </w:tcPr>
          <w:p>
            <w:r>
              <w:rPr>
                <w:rFonts w:ascii="仿宋" w:hAnsi="仿宋" w:eastAsia="仿宋"/>
                <w:b/>
                <w:sz w:val="22"/>
              </w:rPr>
              <w:t>提名者</w:t>
            </w:r>
          </w:p>
        </w:tc>
        <w:tc>
          <w:tcPr>
            <w:tcW w:type="dxa" w:w="4323"/>
          </w:tcPr>
          <w:p>
            <w:r>
              <w:rPr>
                <w:rFonts w:ascii="仿宋" w:hAnsi="仿宋" w:eastAsia="仿宋"/>
                <w:sz w:val="22"/>
              </w:rPr>
              <w:t>浙江省教育厅</w:t>
            </w:r>
          </w:p>
        </w:tc>
      </w:tr>
      <w:tr>
        <w:tc>
          <w:tcPr>
            <w:tcW w:type="dxa" w:w="4323"/>
          </w:tcPr>
          <w:p>
            <w:r>
              <w:rPr>
                <w:rFonts w:ascii="仿宋" w:hAnsi="仿宋" w:eastAsia="仿宋"/>
                <w:b/>
                <w:sz w:val="22"/>
              </w:rPr>
              <w:t>提名奖励等级</w:t>
            </w:r>
          </w:p>
        </w:tc>
        <w:tc>
          <w:tcPr>
            <w:tcW w:type="dxa" w:w="4323"/>
          </w:tcPr>
          <w:p>
            <w:r>
              <w:rPr>
                <w:rFonts w:ascii="仿宋" w:hAnsi="仿宋" w:eastAsia="仿宋"/>
                <w:sz w:val="22"/>
              </w:rPr>
              <w:t>一等奖</w:t>
            </w:r>
          </w:p>
        </w:tc>
      </w:tr>
      <w:tr>
        <w:tc>
          <w:tcPr>
            <w:tcW w:type="dxa" w:w="4323"/>
          </w:tcPr>
          <w:p>
            <w:r>
              <w:rPr>
                <w:rFonts w:ascii="仿宋" w:hAnsi="仿宋" w:eastAsia="仿宋"/>
                <w:b/>
                <w:sz w:val="22"/>
              </w:rPr>
              <w:t>主要完成人员</w:t>
            </w:r>
          </w:p>
        </w:tc>
        <w:tc>
          <w:tcPr>
            <w:tcW w:type="dxa" w:w="4323"/>
          </w:tcPr>
          <w:p>
            <w:r>
              <w:rPr>
                <w:rFonts w:ascii="仿宋" w:hAnsi="仿宋" w:eastAsia="仿宋"/>
                <w:sz w:val="22"/>
              </w:rPr>
              <w:t>董黎刚、诸葛斌、蒋献、张子天、王伟明、吴春明、喻胜、唐永林</w:t>
            </w:r>
          </w:p>
        </w:tc>
      </w:tr>
      <w:tr>
        <w:tc>
          <w:tcPr>
            <w:tcW w:type="dxa" w:w="4323"/>
          </w:tcPr>
          <w:p>
            <w:r>
              <w:rPr>
                <w:rFonts w:ascii="仿宋" w:hAnsi="仿宋" w:eastAsia="仿宋"/>
                <w:b/>
                <w:sz w:val="22"/>
              </w:rPr>
              <w:t>主要完成单位</w:t>
            </w:r>
          </w:p>
        </w:tc>
        <w:tc>
          <w:tcPr>
            <w:tcW w:type="dxa" w:w="4323"/>
          </w:tcPr>
          <w:p>
            <w:r>
              <w:rPr>
                <w:rFonts w:ascii="仿宋" w:hAnsi="仿宋" w:eastAsia="仿宋"/>
                <w:sz w:val="22"/>
              </w:rPr>
              <w:t>浙江工商大学、浙江大学、UT斯达康通讯有限公司、中国移动通信集团有限公司</w:t>
            </w:r>
          </w:p>
        </w:tc>
      </w:tr>
      <w:tr>
        <w:tc>
          <w:tcPr>
            <w:tcW w:type="dxa" w:w="4323"/>
          </w:tcPr>
          <w:p>
            <w:r>
              <w:rPr>
                <w:rFonts w:ascii="仿宋" w:hAnsi="仿宋" w:eastAsia="仿宋"/>
                <w:b/>
                <w:sz w:val="22"/>
              </w:rPr>
              <w:t>学科分类名称</w:t>
            </w:r>
          </w:p>
        </w:tc>
        <w:tc>
          <w:tcPr>
            <w:tcW w:type="dxa" w:w="4323"/>
          </w:tcPr>
          <w:p>
            <w:r>
              <w:rPr>
                <w:rFonts w:ascii="仿宋" w:hAnsi="仿宋" w:eastAsia="仿宋"/>
                <w:sz w:val="22"/>
              </w:rPr>
              <w:t>1. 计算机科学 2. 人工智能 3. 通信工程</w:t>
            </w:r>
          </w:p>
        </w:tc>
      </w:tr>
      <w:tr>
        <w:tc>
          <w:tcPr>
            <w:tcW w:type="dxa" w:w="4323"/>
          </w:tcPr>
          <w:p>
            <w:r>
              <w:rPr>
                <w:rFonts w:ascii="仿宋" w:hAnsi="仿宋" w:eastAsia="仿宋"/>
                <w:b/>
                <w:sz w:val="22"/>
              </w:rPr>
              <w:t>所属国民经济行业</w:t>
            </w:r>
          </w:p>
        </w:tc>
        <w:tc>
          <w:tcPr>
            <w:tcW w:type="dxa" w:w="4323"/>
          </w:tcPr>
          <w:p>
            <w:r>
              <w:rPr>
                <w:rFonts w:ascii="仿宋" w:hAnsi="仿宋" w:eastAsia="仿宋"/>
                <w:sz w:val="22"/>
              </w:rPr>
              <w:t>07 软件和信息技术服务业</w:t>
            </w:r>
          </w:p>
        </w:tc>
      </w:tr>
      <w:tr>
        <w:tc>
          <w:tcPr>
            <w:tcW w:type="dxa" w:w="4323"/>
          </w:tcPr>
          <w:p>
            <w:r>
              <w:rPr>
                <w:rFonts w:ascii="仿宋" w:hAnsi="仿宋" w:eastAsia="仿宋"/>
                <w:b/>
                <w:sz w:val="22"/>
              </w:rPr>
              <w:t>任务来源</w:t>
            </w:r>
          </w:p>
        </w:tc>
        <w:tc>
          <w:tcPr>
            <w:tcW w:type="dxa" w:w="4323"/>
          </w:tcPr>
          <w:p>
            <w:r>
              <w:rPr>
                <w:rFonts w:ascii="仿宋" w:hAnsi="仿宋" w:eastAsia="仿宋"/>
                <w:sz w:val="22"/>
              </w:rPr>
              <w:t>03省科技计划、02国家科技计划</w:t>
            </w:r>
          </w:p>
        </w:tc>
      </w:tr>
      <w:tr>
        <w:tc>
          <w:tcPr>
            <w:tcW w:type="dxa" w:w="4323"/>
          </w:tcPr>
          <w:p>
            <w:r>
              <w:rPr>
                <w:rFonts w:ascii="仿宋" w:hAnsi="仿宋" w:eastAsia="仿宋"/>
                <w:b/>
                <w:sz w:val="22"/>
              </w:rPr>
              <w:t>具体计划、基金的名称和编号</w:t>
            </w:r>
          </w:p>
        </w:tc>
        <w:tc>
          <w:tcPr>
            <w:tcW w:type="dxa" w:w="4323"/>
          </w:tcPr>
          <w:p>
            <w:r>
              <w:rPr>
                <w:rFonts w:ascii="仿宋" w:hAnsi="仿宋" w:eastAsia="仿宋"/>
                <w:sz w:val="22"/>
              </w:rPr>
              <w:t>浙江省重点研发计划：新型自安全网络技术研究及应用（2020C01079）；浙江省择优项目：以应用为中心的可编程网络虚拟化技术研究及应用（2021C01036）；国家自然科学基金：6G空天地一体化物联网数据卸载关键技术研究（62301488）；国家自然科学基金国际（地区）合作与交流项目：空天地一体化边缘计算物联网高可靠业务调度技术（W2421086）；欧盟地平线2020玛丽居里人才资助项目（EU-H2020-MSCA-IF-EF-SE 843401）；国家973计划课题</w:t>
            </w:r>
          </w:p>
        </w:tc>
      </w:tr>
      <w:tr>
        <w:tc>
          <w:tcPr>
            <w:tcW w:type="dxa" w:w="4323"/>
          </w:tcPr>
          <w:p>
            <w:r>
              <w:rPr>
                <w:rFonts w:ascii="仿宋" w:hAnsi="仿宋" w:eastAsia="仿宋"/>
                <w:b/>
                <w:sz w:val="22"/>
              </w:rPr>
              <w:t>授权发明专利(件)</w:t>
            </w:r>
          </w:p>
        </w:tc>
        <w:tc>
          <w:tcPr>
            <w:tcW w:type="dxa" w:w="4323"/>
          </w:tcPr>
          <w:p>
            <w:r>
              <w:rPr>
                <w:rFonts w:ascii="仿宋" w:hAnsi="仿宋" w:eastAsia="仿宋"/>
                <w:sz w:val="22"/>
              </w:rPr>
              <w:t>85</w:t>
            </w:r>
          </w:p>
        </w:tc>
      </w:tr>
      <w:tr>
        <w:tc>
          <w:tcPr>
            <w:tcW w:type="dxa" w:w="4323"/>
          </w:tcPr>
          <w:p>
            <w:r>
              <w:rPr>
                <w:rFonts w:ascii="仿宋" w:hAnsi="仿宋" w:eastAsia="仿宋"/>
                <w:b/>
                <w:sz w:val="22"/>
              </w:rPr>
              <w:t>其他知识产权(件)</w:t>
            </w:r>
          </w:p>
        </w:tc>
        <w:tc>
          <w:tcPr>
            <w:tcW w:type="dxa" w:w="4323"/>
          </w:tcPr>
          <w:p>
            <w:r>
              <w:rPr>
                <w:rFonts w:ascii="仿宋" w:hAnsi="仿宋" w:eastAsia="仿宋"/>
                <w:sz w:val="22"/>
              </w:rPr>
              <w:t>120</w:t>
            </w:r>
          </w:p>
        </w:tc>
      </w:tr>
      <w:tr>
        <w:tc>
          <w:tcPr>
            <w:tcW w:type="dxa" w:w="4323"/>
          </w:tcPr>
          <w:p>
            <w:r>
              <w:rPr>
                <w:rFonts w:ascii="仿宋" w:hAnsi="仿宋" w:eastAsia="仿宋"/>
                <w:b/>
                <w:sz w:val="22"/>
              </w:rPr>
              <w:t>直接经济效益（万元）</w:t>
            </w:r>
          </w:p>
        </w:tc>
        <w:tc>
          <w:tcPr>
            <w:tcW w:type="dxa" w:w="4323"/>
          </w:tcPr>
          <w:p>
            <w:r>
              <w:rPr>
                <w:rFonts w:ascii="仿宋" w:hAnsi="仿宋" w:eastAsia="仿宋"/>
                <w:sz w:val="22"/>
              </w:rPr>
              <w:t>285000</w:t>
            </w:r>
          </w:p>
        </w:tc>
      </w:tr>
      <w:tr>
        <w:tc>
          <w:tcPr>
            <w:tcW w:type="dxa" w:w="4323"/>
          </w:tcPr>
          <w:p>
            <w:r>
              <w:rPr>
                <w:rFonts w:ascii="仿宋" w:hAnsi="仿宋" w:eastAsia="仿宋"/>
                <w:b/>
                <w:sz w:val="22"/>
              </w:rPr>
              <w:t>科技成果登记号</w:t>
            </w:r>
          </w:p>
        </w:tc>
        <w:tc>
          <w:tcPr>
            <w:tcW w:type="dxa" w:w="4323"/>
          </w:tcPr>
          <w:p>
            <w:r>
              <w:rPr>
                <w:rFonts w:ascii="仿宋" w:hAnsi="仿宋" w:eastAsia="仿宋"/>
                <w:sz w:val="22"/>
              </w:rPr>
              <w:t>DJ501042026Y0008</w:t>
            </w:r>
          </w:p>
        </w:tc>
      </w:tr>
      <w:tr>
        <w:tc>
          <w:tcPr>
            <w:tcW w:type="dxa" w:w="4323"/>
          </w:tcPr>
          <w:p>
            <w:r>
              <w:rPr>
                <w:rFonts w:ascii="仿宋" w:hAnsi="仿宋" w:eastAsia="仿宋"/>
                <w:b/>
                <w:sz w:val="22"/>
              </w:rPr>
              <w:t>成果起止时间</w:t>
            </w:r>
          </w:p>
        </w:tc>
        <w:tc>
          <w:tcPr>
            <w:tcW w:type="dxa" w:w="4323"/>
          </w:tcPr>
          <w:p>
            <w:r>
              <w:rPr>
                <w:rFonts w:ascii="仿宋" w:hAnsi="仿宋" w:eastAsia="仿宋"/>
                <w:sz w:val="22"/>
              </w:rPr>
              <w:t>起始：2016-01-01 完成：2025-12-30</w:t>
            </w:r>
          </w:p>
        </w:tc>
      </w:tr>
    </w:tbl>
    <w:p>
      <w:pPr>
        <w:spacing w:after="240"/>
      </w:pPr>
    </w:p>
    <w:p>
      <w:pPr>
        <w:pStyle w:val="Heading1"/>
        <w:spacing w:before="240" w:after="120"/>
      </w:pPr>
      <w:r>
        <w:rPr>
          <w:rFonts w:ascii="黑体" w:hAnsi="黑体" w:eastAsia="黑体"/>
          <w:sz w:val="32"/>
        </w:rPr>
        <w:t>二、提名意见</w:t>
      </w:r>
    </w:p>
    <w:p>
      <w:pPr>
        <w:spacing w:after="120"/>
        <w:ind w:firstLine="420"/>
      </w:pPr>
      <w:r>
        <w:rPr>
          <w:rFonts w:ascii="仿宋" w:hAnsi="仿宋" w:eastAsia="仿宋"/>
          <w:sz w:val="24"/>
        </w:rPr>
        <w:t>在国家973计划、国家自然科学基金、欧盟地平线2020及浙江省多项重点研发计划的持续资助下，本项目针对传统网络架构僵化、资源分配低效、智能体缺乏自主决策能力等核心痛点，围绕"意图驱动的可编程接入网主动式管控技术"展开研究，提出了软件定义价格（SDP）理论、递归自主式分解框架、软件定义智能体架构三大原创成果，研制了具备内生智能的接入网控制器及支持可编程主动式管控的网络设备，已规模部署于中国移动、中国电信、中国联通等运营商，并进入日本、欧洲、北美、澳大利亚、东南亚等国际市场。</w:t>
      </w:r>
    </w:p>
    <w:p>
      <w:pPr>
        <w:spacing w:after="120"/>
        <w:ind w:firstLine="420"/>
      </w:pPr>
      <w:r>
        <w:rPr>
          <w:rFonts w:ascii="仿宋" w:hAnsi="仿宋" w:eastAsia="仿宋"/>
          <w:sz w:val="24"/>
        </w:rPr>
        <w:t>本项目突破了三方面关键技术：（1）提出了软件定义价格（SDP）理论，通过价格机制驱动网络资源优化分配，实现从静态配置到动态定价的范式转变；（2）提出了递归自主式分解框架，构建"递归分解层—动态匹配层—执行协调层"三层架构，实现复杂任务的自动化分解与最优执行者匹配；（3）提出了软件定义智能体架构，实现"意图−验证−执行−再验证"闭环生命周期管理，突破可编程接入网转发平面硬件平台卡脖子技术。</w:t>
      </w:r>
    </w:p>
    <w:p>
      <w:pPr>
        <w:spacing w:after="120"/>
        <w:ind w:firstLine="420"/>
      </w:pPr>
      <w:r>
        <w:rPr>
          <w:rFonts w:ascii="仿宋" w:hAnsi="仿宋" w:eastAsia="仿宋"/>
          <w:sz w:val="24"/>
        </w:rPr>
        <w:t>本项目获得授权发明专利85项、软件著作权120项、发表高质量论文28篇，制定国际标准3项。相关技术成果已在中国移动、中国电信、中国联通等三大运营商规模部署，覆盖22个省份、182个县市，并成功进入国际市场。2020-2025年间新增产值28.5亿元，新增利润11.2亿元，新增税收4.8亿元。该技术应用成果处于国际领先水平。</w:t>
      </w:r>
    </w:p>
    <w:p>
      <w:pPr>
        <w:spacing w:after="120"/>
        <w:ind w:firstLine="420"/>
      </w:pPr>
      <w:r>
        <w:rPr>
          <w:rFonts w:ascii="仿宋" w:hAnsi="仿宋" w:eastAsia="仿宋"/>
          <w:sz w:val="24"/>
        </w:rPr>
        <w:t>提名该成果为浙江省科学技术进步奖一等奖。</w:t>
      </w:r>
    </w:p>
    <w:p>
      <w:pPr>
        <w:spacing w:after="240"/>
      </w:pPr>
    </w:p>
    <w:p>
      <w:pPr>
        <w:pStyle w:val="Heading1"/>
        <w:spacing w:before="240" w:after="120"/>
      </w:pPr>
      <w:r>
        <w:rPr>
          <w:rFonts w:ascii="黑体" w:hAnsi="黑体" w:eastAsia="黑体"/>
          <w:sz w:val="32"/>
        </w:rPr>
        <w:t>三、成果简介</w:t>
      </w:r>
    </w:p>
    <w:p>
      <w:pPr>
        <w:spacing w:after="120"/>
        <w:ind w:firstLine="420"/>
      </w:pPr>
      <w:r>
        <w:rPr>
          <w:rFonts w:ascii="仿宋" w:hAnsi="仿宋" w:eastAsia="仿宋"/>
          <w:sz w:val="24"/>
        </w:rPr>
        <w:t>本项目属于计算机科学与人工智能交叉领域，聚焦智能体驱动的网络架构变革方向。我国坚定实施网络强国和人工智能发展战略，智能体技术正推动网络架构发生深刻变革。在传统网络架构中，仍存在网络资源静态配置导致利用率低下、缺乏自主决策能力导致故障响应迟缓、智能体缺乏统一框架导致跨域协同困难等核心痛点。</w:t>
      </w:r>
    </w:p>
    <w:p>
      <w:pPr>
        <w:spacing w:after="120"/>
        <w:ind w:firstLine="420"/>
      </w:pPr>
      <w:r>
        <w:rPr>
          <w:rFonts w:ascii="仿宋" w:hAnsi="仿宋" w:eastAsia="仿宋"/>
          <w:sz w:val="24"/>
        </w:rPr>
        <w:t>围绕在网络资源动态分配、智能体自主决策及跨域协同等方面存在的痛点问题，本项目在国家973计划、国家自然科学基金、欧盟地平线2020及浙江省重点研发计划等多项科研项目的持续资助下，浙江工商大学联合中国移动、浙江大学、UT斯达康持续开展产学研合作。在面向智能体驱动的网络架构关键技术研发领域取得了原创成果、实现了重大突破。包括：软件定义价格（SDP）理论、递归自主式分解框架、软件定义智能体架构。</w:t>
      </w:r>
    </w:p>
    <w:p>
      <w:pPr>
        <w:spacing w:after="120"/>
        <w:ind w:firstLine="420"/>
      </w:pPr>
      <w:r>
        <w:rPr>
          <w:rFonts w:ascii="仿宋" w:hAnsi="仿宋" w:eastAsia="仿宋"/>
          <w:sz w:val="24"/>
        </w:rPr>
        <w:t>本项目积极推动上述关键技术进行产业化落地，项目团队合力攻关，研制了意图驱动的可编程接入网主动式管控系统，以元模型为基础、以智能体为核心，全面覆盖网络全生命周期，实现了软件定义智能体、意图预测系统、主动式管控系统等三大系统。这一系列成果旨在为各类网络应用提供高质量、定制化的承载能力，有力推动了网络资源优化与智能体产业发展的双重目标，彰显了新时代人工智能技术对于实现网络自主可控与产业升级的重要价值。</w:t>
      </w:r>
    </w:p>
    <w:p>
      <w:pPr>
        <w:spacing w:after="240"/>
      </w:pPr>
    </w:p>
    <w:p>
      <w:pPr>
        <w:pStyle w:val="Heading1"/>
        <w:spacing w:before="240" w:after="120"/>
      </w:pPr>
      <w:r>
        <w:rPr>
          <w:rFonts w:ascii="黑体" w:hAnsi="黑体" w:eastAsia="黑体"/>
          <w:sz w:val="32"/>
        </w:rPr>
        <w:t>四、主要科技创新</w:t>
      </w:r>
    </w:p>
    <w:p>
      <w:pPr>
        <w:spacing w:after="120"/>
        <w:ind w:firstLine="420"/>
      </w:pPr>
      <w:r>
        <w:rPr>
          <w:rFonts w:ascii="仿宋" w:hAnsi="仿宋" w:eastAsia="仿宋"/>
          <w:sz w:val="24"/>
        </w:rPr>
        <w:t>本项目属于计算机科学与人工智能交叉领域，聚焦智能体驱动的网络架构变革方向。我国坚定实施网络强国和人工智能发展战略，智能体技术正推动网络架构发生深刻变革。在传统网络架构中，仍存在网络资源静态配置导致利用率低下、缺乏自主决策能力导致故障响应迟缓、智能体缺乏统一框架导致跨域协同困难等核心痛点。</w:t>
      </w:r>
    </w:p>
    <w:p>
      <w:pPr>
        <w:spacing w:after="120"/>
        <w:ind w:firstLine="420"/>
      </w:pPr>
      <w:r>
        <w:rPr>
          <w:rFonts w:ascii="仿宋" w:hAnsi="仿宋" w:eastAsia="仿宋"/>
          <w:sz w:val="24"/>
        </w:rPr>
        <w:t>围绕在网络资源动态分配、智能体自主决策及跨域协同等方面存在的痛点问题，本项目在国家973计划、国家自然科学基金、欧盟地平线2020及浙江省重点研发计划等多项科研项目的持续资助下，浙江工商大学联合中国移动、浙江大学、UT斯达康持续开展产学研合作，主要创新性研究成果包括以下三个方面：</w:t>
      </w:r>
    </w:p>
    <w:p>
      <w:pPr>
        <w:pStyle w:val="Heading2"/>
        <w:spacing w:before="240" w:after="120"/>
      </w:pPr>
      <w:r>
        <w:rPr>
          <w:rFonts w:ascii="黑体" w:hAnsi="黑体" w:eastAsia="黑体"/>
          <w:sz w:val="28"/>
        </w:rPr>
        <w:t>创新点1：提出了意图驱动的可编程接入网主动式管控架构</w:t>
      </w:r>
    </w:p>
    <w:p>
      <w:pPr>
        <w:spacing w:after="120"/>
        <w:ind w:firstLine="420"/>
      </w:pPr>
      <w:r>
        <w:rPr>
          <w:rFonts w:ascii="仿宋" w:hAnsi="仿宋" w:eastAsia="仿宋"/>
          <w:sz w:val="24"/>
        </w:rPr>
        <w:t>针对当前网络架构僵化、资源分配低效及智能体缺乏自主决策能力等问题，本项目研究了意图驱动的可编程接入网主动式管控架构，提出了一种应用意图驱动的内生智能可编程接入网架构。该架构构造出具有系统状态感知、智能决策功能和自主学习能力的软件定义智能体，将应用意图变化趋势抽象为规范化语义描述的网络服务需求，并通过提前性控制数据转发平面具有特定属性集合的元能力，为各类网络应用预先提供支持高质量运行的承载能力。具体的技术创新如下：</w:t>
      </w:r>
    </w:p>
    <w:p>
      <w:pPr>
        <w:spacing w:after="120"/>
        <w:ind w:firstLine="420"/>
      </w:pPr>
      <w:r>
        <w:rPr>
          <w:rFonts w:ascii="仿宋" w:hAnsi="仿宋" w:eastAsia="仿宋"/>
          <w:sz w:val="24"/>
        </w:rPr>
        <w:t>（1）基于意图特征预测的应用闭环生命周期管理技术。该方法构建软件定义接入网应用平面、控制平面、转发平面元模型智能体，通过智能体间结构化通信机制，将预测获得的应用意图特征变化规律转化为规范化语义描述的网络服务需求，利用“意图约束+运行时反馈”双条件触发逻辑实现底层网络资源的智能部署与自动修复，实现应用“意图−验证−执行−再验证”闭环生命周期管理。</w:t>
      </w:r>
    </w:p>
    <w:p>
      <w:pPr>
        <w:spacing w:after="120"/>
        <w:ind w:firstLine="420"/>
      </w:pPr>
      <w:r>
        <w:rPr>
          <w:rFonts w:ascii="仿宋" w:hAnsi="仿宋" w:eastAsia="仿宋"/>
          <w:sz w:val="24"/>
        </w:rPr>
        <w:t>（2）基于元能力主动部署的转发平面可编程控制技术。该方法提出将接入网转发平面功能抽象为具有特定属性组合的元能力，将应用意图特征变化趋势抽象为应用生命周期管理中主动预留的元能力集合，编程控制转发设备在元能力资源池中实例化应用承载网络功能链。项目基于国产主交换芯片盛科CTC8180和国产FPGA芯片紫光同创PANGO PGL50H，研发了运营商级别的、支持元能力抽象与主动式部署的高速可编程转发设备，突破可编程接入网转发平面硬件平台卡脖子技术。</w:t>
      </w:r>
    </w:p>
    <w:p>
      <w:pPr>
        <w:spacing w:after="120"/>
        <w:ind w:firstLine="420"/>
      </w:pPr>
      <w:r>
        <w:rPr>
          <w:rFonts w:ascii="仿宋" w:hAnsi="仿宋" w:eastAsia="仿宋"/>
          <w:sz w:val="24"/>
        </w:rPr>
        <w:t>（3）面向应用意图异常变化的控制平面自安全管理技术。该方法针对传统网络安全技术被动式应对网络攻击反应缓慢的问题，在可编程接入网控制平面通过应用意图分类与预测，先验性分析应用意图异常性变化，采用主动式编程监测、限制、隔离应用底层元能力使用情况，实现系统对恶意攻击影响的提前避免或消减。</w:t>
      </w:r>
    </w:p>
    <w:p>
      <w:pPr>
        <w:spacing w:after="120"/>
        <w:ind w:firstLine="420"/>
      </w:pPr>
      <w:r>
        <w:rPr>
          <w:rFonts w:ascii="仿宋" w:hAnsi="仿宋" w:eastAsia="仿宋"/>
          <w:sz w:val="24"/>
        </w:rPr>
        <w:t>支持成果：</w:t>
      </w:r>
    </w:p>
    <w:p>
      <w:pPr>
        <w:spacing w:after="120"/>
      </w:pPr>
      <w:r>
        <w:rPr>
          <w:rFonts w:ascii="仿宋" w:hAnsi="仿宋" w:eastAsia="仿宋"/>
          <w:sz w:val="24"/>
        </w:rPr>
        <w:t>1. 论文：董黎刚，苟敬文，蒋献，张子天，诸葛斌，ResilM-IBN:一种自愈型多智能体网络管理框架，通信学报，2026, 47(1):250-266.</w:t>
      </w:r>
    </w:p>
    <w:p>
      <w:pPr>
        <w:spacing w:after="120"/>
      </w:pPr>
      <w:r>
        <w:rPr>
          <w:rFonts w:ascii="仿宋" w:hAnsi="仿宋" w:eastAsia="仿宋"/>
          <w:sz w:val="24"/>
        </w:rPr>
        <w:t>2. 授权发明专利：一种面向SDN的业务需求转化和部署方法（CN105406992B）</w:t>
      </w:r>
    </w:p>
    <w:p>
      <w:pPr>
        <w:spacing w:after="120"/>
      </w:pPr>
      <w:r>
        <w:rPr>
          <w:rFonts w:ascii="仿宋" w:hAnsi="仿宋" w:eastAsia="仿宋"/>
          <w:sz w:val="24"/>
        </w:rPr>
        <w:t>3. 授权发明专利：一种二层分布式多控制器架构系统及构建方法（CN105262665B）</w:t>
      </w:r>
    </w:p>
    <w:p>
      <w:pPr>
        <w:spacing w:after="120"/>
      </w:pPr>
      <w:r>
        <w:rPr>
          <w:rFonts w:ascii="仿宋" w:hAnsi="仿宋" w:eastAsia="仿宋"/>
          <w:sz w:val="24"/>
        </w:rPr>
        <w:t>4. 授权发明专利：一种功能链组合方法（CN104301212B）</w:t>
      </w:r>
    </w:p>
    <w:p>
      <w:pPr>
        <w:spacing w:after="120"/>
      </w:pPr>
      <w:r>
        <w:rPr>
          <w:rFonts w:ascii="仿宋" w:hAnsi="仿宋" w:eastAsia="仿宋"/>
          <w:sz w:val="24"/>
        </w:rPr>
        <w:t>5. 授权发明专利：一种系统功能重构过程中保证系统一致性的方法（CN103581026B）</w:t>
      </w:r>
    </w:p>
    <w:p>
      <w:pPr>
        <w:spacing w:after="120"/>
      </w:pPr>
      <w:r>
        <w:rPr>
          <w:rFonts w:ascii="仿宋" w:hAnsi="仿宋" w:eastAsia="仿宋"/>
          <w:sz w:val="24"/>
        </w:rPr>
        <w:t>6. 授权发明专利：一种基于功能块的虚拟网络映射方法（CN103763174B）</w:t>
      </w:r>
    </w:p>
    <w:p>
      <w:pPr>
        <w:spacing w:after="120"/>
      </w:pPr>
      <w:r>
        <w:rPr>
          <w:rFonts w:ascii="仿宋" w:hAnsi="仿宋" w:eastAsia="仿宋"/>
          <w:sz w:val="24"/>
        </w:rPr>
        <w:t>7. UT斯达康专利：5G承载网网络切片的方法、基于SRv6的虚拟子网标识符发布、支持多种粒度的FlexE实现、隧道标签的处理方法等23项。</w:t>
      </w:r>
    </w:p>
    <w:p>
      <w:pPr>
        <w:spacing w:after="120"/>
        <w:ind w:firstLine="420"/>
      </w:pPr>
      <w:r>
        <w:rPr>
          <w:rFonts w:ascii="仿宋" w:hAnsi="仿宋" w:eastAsia="仿宋"/>
          <w:sz w:val="24"/>
        </w:rPr>
        <w:t>创新点1支持项目：浙江省重点研发计划，2020C01079，新型自安全网络技术研究及应用 - 面向 5G 的自安全 SDN 网控器研制及示范应用，2019/06–至今，290 万元，参与，已结题。</w:t>
      </w:r>
    </w:p>
    <w:p>
      <w:pPr>
        <w:pStyle w:val="Heading2"/>
        <w:spacing w:before="240" w:after="120"/>
      </w:pPr>
      <w:r>
        <w:rPr>
          <w:rFonts w:ascii="黑体" w:hAnsi="黑体" w:eastAsia="黑体"/>
          <w:sz w:val="28"/>
        </w:rPr>
        <w:t>创新点2：自主学习能力的网络状态感知和应用意图预测技术</w:t>
      </w:r>
    </w:p>
    <w:p>
      <w:pPr>
        <w:spacing w:after="120"/>
        <w:ind w:firstLine="420"/>
      </w:pPr>
      <w:r>
        <w:rPr>
          <w:rFonts w:ascii="仿宋" w:hAnsi="仿宋" w:eastAsia="仿宋"/>
          <w:sz w:val="24"/>
        </w:rPr>
        <w:t>为准确获取系统状态和应用服务需求，使能软件定义智能体主动式部署、管控转发平面元能力，本项目研究了具备自主学习能力的系统状态轻量级感知技术和面向海量应用的意图特征预测技术。针对系统状态的复杂性，提出采用多模态数据融合方法提升状态感知精度；针对海量应用，提出利用注意力机制捕获其意图特征变化的内在时空相关性，并基于元学习技术提升海量预测模型的学习效率和训练后精度表现。具体的技术创新如下：</w:t>
      </w:r>
    </w:p>
    <w:p>
      <w:pPr>
        <w:spacing w:after="120"/>
        <w:ind w:firstLine="420"/>
      </w:pPr>
      <w:r>
        <w:rPr>
          <w:rFonts w:ascii="仿宋" w:hAnsi="仿宋" w:eastAsia="仿宋"/>
          <w:sz w:val="24"/>
        </w:rPr>
        <w:t>（1）多模态数据融合的分布式网络状态轻量级感知方法。该方法提出控制平面软件定义智能体收集转发平面多模态状态数据，通过深度学习技术智能融合多模态数据，提升状态感知精度。提出了一个以低延迟和高精度提供近似控制平面与转发平面状态同步的轻量级框架，通过绕过转发设备操作系统，在转发设备ASIC与控制平面之间直接传输状态，利用ASIC资源实现速率控制避免状态丢失，并在有限链路容量下约束数据平面与控制平面间状态偏差。</w:t>
      </w:r>
    </w:p>
    <w:p>
      <w:pPr>
        <w:spacing w:after="120"/>
        <w:ind w:firstLine="420"/>
      </w:pPr>
      <w:r>
        <w:rPr>
          <w:rFonts w:ascii="仿宋" w:hAnsi="仿宋" w:eastAsia="仿宋"/>
          <w:sz w:val="24"/>
        </w:rPr>
        <w:t>（2）基于注意力机制的可解释性独立应用意图特征预测方法。该方法采用注意力机制的深度学习算法，捕捉独立应用意图特征变化的时间相关性与空间相关性。形成一种基于图卷积神经网络的分解可解释性时空图卷积神经网络，端到端预测特定独立应用意图特征的变化趋势。利用子成份分解以及时空相关性抽取，有效提高意图特征预测的准确性，同时意图特征分解后的子成份刻画增强了预测结果的可解释性。</w:t>
      </w:r>
    </w:p>
    <w:p>
      <w:pPr>
        <w:spacing w:after="120"/>
        <w:ind w:firstLine="420"/>
      </w:pPr>
      <w:r>
        <w:rPr>
          <w:rFonts w:ascii="仿宋" w:hAnsi="仿宋" w:eastAsia="仿宋"/>
          <w:sz w:val="24"/>
        </w:rPr>
        <w:t>（3）基于深度元学习的海量意图预测模型偏好优化机制。面向海量应用意图特征预测任务，利用深度元学习技术建立处理海量预测任务的自主学习能力。形成深度元学习模型，刻画应用本质特性、意图预测模型超参数与假设空间复杂度间的映射关系。利用计算学习理论，联合优化海量预测模型超参数及初始权重向量，平衡各模型表示能力和假设空间复杂度，达到提升海量模型学习效率与训练后精度的目的。</w:t>
      </w:r>
    </w:p>
    <w:p>
      <w:pPr>
        <w:spacing w:after="120"/>
        <w:ind w:firstLine="420"/>
      </w:pPr>
      <w:r>
        <w:rPr>
          <w:rFonts w:ascii="仿宋" w:hAnsi="仿宋" w:eastAsia="仿宋"/>
          <w:sz w:val="24"/>
        </w:rPr>
        <w:t>支持成果：</w:t>
      </w:r>
    </w:p>
    <w:p>
      <w:pPr>
        <w:spacing w:after="120"/>
      </w:pPr>
      <w:r>
        <w:rPr>
          <w:rFonts w:ascii="仿宋" w:hAnsi="仿宋" w:eastAsia="仿宋"/>
          <w:sz w:val="24"/>
        </w:rPr>
        <w:t>1. 论文：Toward Low-Latency and Accurate State Synchronization for Programmable Network, IEEE/ACM Transactions on Networking, 2023.</w:t>
      </w:r>
    </w:p>
    <w:p>
      <w:pPr>
        <w:spacing w:after="120"/>
      </w:pPr>
      <w:r>
        <w:rPr>
          <w:rFonts w:ascii="仿宋" w:hAnsi="仿宋" w:eastAsia="仿宋"/>
          <w:sz w:val="24"/>
        </w:rPr>
        <w:t>2. 论文：张子天，温之馨，诸葛斌等，基于图卷积神经网络的分解可解释性的蜂窝网络流量预测模型[J]. 电信科学, 2025, 41(9).</w:t>
      </w:r>
    </w:p>
    <w:p>
      <w:pPr>
        <w:spacing w:after="120"/>
      </w:pPr>
      <w:r>
        <w:rPr>
          <w:rFonts w:ascii="仿宋" w:hAnsi="仿宋" w:eastAsia="仿宋"/>
          <w:sz w:val="24"/>
        </w:rPr>
        <w:t>3. 论文：Zitian Zhang et al., "dmTP: A deep meta-learning based framework for mobile traffic prediction," IEEE Wireless Communications, 2021.</w:t>
      </w:r>
    </w:p>
    <w:p>
      <w:pPr>
        <w:spacing w:after="120"/>
      </w:pPr>
      <w:r>
        <w:rPr>
          <w:rFonts w:ascii="仿宋" w:hAnsi="仿宋" w:eastAsia="仿宋"/>
          <w:sz w:val="24"/>
        </w:rPr>
        <w:t>4. 论文：Fuyou Li et al., "A meta-learning based framework for cell-level mobile network traffic prediction," IEEE TWC, 2023.</w:t>
      </w:r>
    </w:p>
    <w:p>
      <w:pPr>
        <w:spacing w:after="120"/>
      </w:pPr>
      <w:r>
        <w:rPr>
          <w:rFonts w:ascii="仿宋" w:hAnsi="仿宋" w:eastAsia="仿宋"/>
          <w:sz w:val="24"/>
        </w:rPr>
        <w:t>5. 申请专利：基于注意力深度学习机制的可解释性应用意图特征预测方法、基于深度元学习的海量应用意图特征预测模型偏好自动化选择机制等。</w:t>
      </w:r>
    </w:p>
    <w:p>
      <w:pPr>
        <w:spacing w:after="120"/>
        <w:ind w:firstLine="420"/>
      </w:pPr>
      <w:r>
        <w:rPr>
          <w:rFonts w:ascii="仿宋" w:hAnsi="仿宋" w:eastAsia="仿宋"/>
          <w:sz w:val="24"/>
        </w:rPr>
        <w:t>创新点2支持项目：浙江省择优项目，2021C01036，以应用为中心的可编程网络虚拟化技术研究及应用，890 万元，参与，已结题；欧盟地平线2020玛丽居里人才资助项目（EU-H2020-MSCA-IF-EF-SE 843401），158万元，主持，已结题。</w:t>
      </w:r>
    </w:p>
    <w:p>
      <w:pPr>
        <w:pStyle w:val="Heading2"/>
        <w:spacing w:before="240" w:after="120"/>
      </w:pPr>
      <w:r>
        <w:rPr>
          <w:rFonts w:ascii="黑体" w:hAnsi="黑体" w:eastAsia="黑体"/>
          <w:sz w:val="28"/>
        </w:rPr>
        <w:t>创新点3：提出应用意图为中心的接入网主动式部署管控技术</w:t>
      </w:r>
    </w:p>
    <w:p>
      <w:pPr>
        <w:spacing w:after="120"/>
        <w:ind w:firstLine="420"/>
      </w:pPr>
      <w:r>
        <w:rPr>
          <w:rFonts w:ascii="仿宋" w:hAnsi="仿宋" w:eastAsia="仿宋"/>
          <w:sz w:val="24"/>
        </w:rPr>
        <w:t>在系统状态捕获和应用意图预测的基础上，本项目进一步提出可编程接入网主动式部署管控技术。面向应用分布变化，创新性提出基于监督学习的系统主动式部署与应用接入路径选择算法，降低系统拥塞风险；面向预期并发出现的多应用链路，提出基于深度强化学习的并发链路波束整形技术，以提升系统整体吞吐量；面向异构接入网存在的高度动态性，提出基于图注意力神经网络的主动式中断避免技术，有效提升应用服务的可靠性。具体的技术创新如下：</w:t>
      </w:r>
    </w:p>
    <w:p>
      <w:pPr>
        <w:spacing w:after="120"/>
        <w:ind w:firstLine="420"/>
      </w:pPr>
      <w:r>
        <w:rPr>
          <w:rFonts w:ascii="仿宋" w:hAnsi="仿宋" w:eastAsia="仿宋"/>
          <w:sz w:val="24"/>
        </w:rPr>
        <w:t>（1）基于线上监督学习的接入网主动式部署与接入路径选择方法。该方法面向应用热点分布不规律现象，基于线上监督学习与匹配理论提出可编程接入网主动式部署与应用接入路径选择方法。构建线上应用分布与接入网最优部署知识规则库，利用K近邻算法针对应用分布预测确定接入网高质量主动式部署策略。基于最优匹配理论与强干扰期望应用正交分离技术形成应用最优接入路径选择方案，在降低拥塞概率的同时最大化系统性能期望。</w:t>
      </w:r>
    </w:p>
    <w:p>
      <w:pPr>
        <w:spacing w:after="120"/>
        <w:ind w:firstLine="420"/>
      </w:pPr>
      <w:r>
        <w:rPr>
          <w:rFonts w:ascii="仿宋" w:hAnsi="仿宋" w:eastAsia="仿宋"/>
          <w:sz w:val="24"/>
        </w:rPr>
        <w:t>（2）基于深度强化学习的并发链路主动式传输波束整形技术。该方法在应用意图预测基础上，考虑并发传输链路传输速率阈值需求，提出一种基于分布式深度强化学习智能体的主动式波束整形技术。各智能体负责计算单一链路未来波束整形策略，极大降低问题线上处理复杂度。提出多智能体“分布式更新-集中式奖励”方案，以在线试错的方式训练各智能体内部神经网络并保障智能体神经网络朝着全局最优的方向更新。</w:t>
      </w:r>
    </w:p>
    <w:p>
      <w:pPr>
        <w:spacing w:after="120"/>
        <w:ind w:firstLine="420"/>
      </w:pPr>
      <w:r>
        <w:rPr>
          <w:rFonts w:ascii="仿宋" w:hAnsi="仿宋" w:eastAsia="仿宋"/>
          <w:sz w:val="24"/>
        </w:rPr>
        <w:t>（3）高动态异构接入网场景下主动式应用传输中断避免技术。该方法考虑到异构接入网场景下接入节点和中断设备的高动态性，基于应用意图预测，提出基于图注意力神经网络的主动式应用传输中断避免技术。图注意力神经网络在分布式信息中加入系统全局状态，各应用链路从全局视角出发通过主动学习的方式主动式获取自身最优接入节点选择策略和转发平面元能力预留策略，保障传输链路在接入节点服务窗口结束前完成完整网络功能链服务，从而避免链路中断并提升系统运行可靠性。</w:t>
      </w:r>
    </w:p>
    <w:p>
      <w:pPr>
        <w:spacing w:after="120"/>
        <w:ind w:firstLine="420"/>
      </w:pPr>
      <w:r>
        <w:rPr>
          <w:rFonts w:ascii="仿宋" w:hAnsi="仿宋" w:eastAsia="仿宋"/>
          <w:sz w:val="24"/>
        </w:rPr>
        <w:t>支持成果：</w:t>
      </w:r>
    </w:p>
    <w:p>
      <w:pPr>
        <w:spacing w:after="120"/>
      </w:pPr>
      <w:r>
        <w:rPr>
          <w:rFonts w:ascii="仿宋" w:hAnsi="仿宋" w:eastAsia="仿宋"/>
          <w:sz w:val="24"/>
        </w:rPr>
        <w:t>1. 论文：Bo Ma, Zitian Zhang* et al., "Time Efficient Joint UAV-BS Deployment and User Association Based on Machine Learning," IEEE IoT Journal, 2023.</w:t>
      </w:r>
    </w:p>
    <w:p>
      <w:pPr>
        <w:spacing w:after="120"/>
      </w:pPr>
      <w:r>
        <w:rPr>
          <w:rFonts w:ascii="仿宋" w:hAnsi="仿宋" w:eastAsia="仿宋"/>
          <w:sz w:val="24"/>
        </w:rPr>
        <w:t>2. 论文：Yuan Gao, Zitian Zhang* et al., "Fair and efficiency coexistence between NR-U and WiGig networks," IEEE TVT, 2023.</w:t>
      </w:r>
    </w:p>
    <w:p>
      <w:pPr>
        <w:spacing w:after="120"/>
      </w:pPr>
      <w:r>
        <w:rPr>
          <w:rFonts w:ascii="仿宋" w:hAnsi="仿宋" w:eastAsia="仿宋"/>
          <w:sz w:val="24"/>
        </w:rPr>
        <w:t>3. 论文：Zitian Zhang, Jinbo Hou et al., "Multi-agent deep reinforcement learning based downlink beamforming," IEEE TWC, 2023.</w:t>
      </w:r>
    </w:p>
    <w:p>
      <w:pPr>
        <w:spacing w:after="120"/>
      </w:pPr>
      <w:r>
        <w:rPr>
          <w:rFonts w:ascii="仿宋" w:hAnsi="仿宋" w:eastAsia="仿宋"/>
          <w:sz w:val="24"/>
        </w:rPr>
        <w:t>4. 论文：Zitian Zhang, Yunqiang Zheng et al., "Low-Latency Content Delivery in High-Speed Railway," IEEE TWC, 2026.</w:t>
      </w:r>
    </w:p>
    <w:p>
      <w:pPr>
        <w:spacing w:after="120"/>
      </w:pPr>
      <w:r>
        <w:rPr>
          <w:rFonts w:ascii="仿宋" w:hAnsi="仿宋" w:eastAsia="仿宋"/>
          <w:sz w:val="24"/>
        </w:rPr>
        <w:t>5. 申请专利：基于线上监督学习的接入网主动式部署与应用接入路径选择方法、基于深度强化学习的并发链路主动式传输波束整形方法、高动态异构接入网场景下主动式应用传输中断避免技术等。</w:t>
      </w:r>
    </w:p>
    <w:p>
      <w:pPr>
        <w:spacing w:after="120"/>
        <w:ind w:firstLine="420"/>
      </w:pPr>
      <w:r>
        <w:rPr>
          <w:rFonts w:ascii="仿宋" w:hAnsi="仿宋" w:eastAsia="仿宋"/>
          <w:sz w:val="24"/>
        </w:rPr>
        <w:t>创新点3支持项目：浙江省择优项目，2021C01036，以应用为中心的可编程网络虚拟化技术研究及应用，890 万元，参与，已结题；国家自然科学基金青年科学基金项目C类（62301488），30万元，主持，在研；国家自然科学基金国际（地区）合作与交流项目（W2421086），9万元，主持，在研。</w:t>
      </w:r>
    </w:p>
    <w:p>
      <w:pPr>
        <w:spacing w:after="240"/>
      </w:pPr>
    </w:p>
    <w:p>
      <w:pPr>
        <w:pStyle w:val="Heading1"/>
        <w:spacing w:before="240" w:after="120"/>
      </w:pPr>
      <w:r>
        <w:rPr>
          <w:rFonts w:ascii="黑体" w:hAnsi="黑体" w:eastAsia="黑体"/>
          <w:sz w:val="32"/>
        </w:rPr>
        <w:t>五、客观评价</w:t>
      </w:r>
    </w:p>
    <w:p>
      <w:pPr>
        <w:spacing w:after="120"/>
        <w:ind w:firstLine="420"/>
      </w:pPr>
      <w:r>
        <w:rPr>
          <w:rFonts w:ascii="仿宋" w:hAnsi="仿宋" w:eastAsia="仿宋"/>
          <w:sz w:val="24"/>
        </w:rPr>
        <w:t>科技成果鉴定结论：浙江省高校教育技术学会主持召开了"意图驱动的可编程接入网主动式管控技术及产业化应用"科技成果鉴定会，鉴定结论：该技术应用成果处于国际领先水平。</w:t>
      </w:r>
    </w:p>
    <w:p>
      <w:pPr>
        <w:spacing w:after="120"/>
        <w:ind w:firstLine="420"/>
      </w:pPr>
      <w:r>
        <w:rPr>
          <w:rFonts w:ascii="仿宋" w:hAnsi="仿宋" w:eastAsia="仿宋"/>
          <w:sz w:val="24"/>
        </w:rPr>
        <w:t>国际查新结论：根据浙江省科技信息研究院国内外查新报告，本项目成果所使用技术在所检索到的国内外相关文献中均未见有具体述及或具有自主知识产权。</w:t>
      </w:r>
    </w:p>
    <w:p>
      <w:pPr>
        <w:spacing w:after="120"/>
        <w:ind w:firstLine="420"/>
      </w:pPr>
      <w:r>
        <w:rPr>
          <w:rFonts w:ascii="仿宋" w:hAnsi="仿宋" w:eastAsia="仿宋"/>
          <w:sz w:val="24"/>
        </w:rPr>
        <w:t>社会评价：1）相关成果获第七届全球未来教育设计大赛一等奖。2）产品被22个省份、1000多所学校和培训机构、超过562万师生认可及常态化使用，获得了100多个政府部门及学校的高度认可与来信感谢。3）事迹在央广网、人民网、凤凰网、学习强国、中国教育报等十多个国家级权威媒体进行报道，阅读量超千万。</w:t>
      </w:r>
    </w:p>
    <w:p>
      <w:pPr>
        <w:spacing w:after="240"/>
      </w:pPr>
    </w:p>
    <w:p>
      <w:pPr>
        <w:pStyle w:val="Heading1"/>
        <w:spacing w:before="240" w:after="120"/>
      </w:pPr>
      <w:r>
        <w:rPr>
          <w:rFonts w:ascii="黑体" w:hAnsi="黑体" w:eastAsia="黑体"/>
          <w:sz w:val="32"/>
        </w:rPr>
        <w:t>六、推广应用情况、经济效益和社会效益</w:t>
      </w:r>
    </w:p>
    <w:p>
      <w:pPr>
        <w:spacing w:after="120"/>
        <w:ind w:firstLine="420"/>
      </w:pPr>
      <w:r>
        <w:rPr>
          <w:rFonts w:ascii="仿宋" w:hAnsi="仿宋" w:eastAsia="仿宋"/>
          <w:sz w:val="24"/>
        </w:rPr>
        <w:t>1. 完成单位应用情况和直接经济效益</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仿宋" w:hAnsi="仿宋" w:eastAsia="仿宋"/>
                <w:b/>
                <w:sz w:val="20"/>
              </w:rPr>
              <w:t>单位名称</w:t>
            </w:r>
          </w:p>
        </w:tc>
        <w:tc>
          <w:tcPr>
            <w:tcW w:type="dxa" w:w="1729"/>
          </w:tcPr>
          <w:p>
            <w:pPr>
              <w:jc w:val="center"/>
            </w:pPr>
            <w:r>
              <w:rPr>
                <w:rFonts w:ascii="仿宋" w:hAnsi="仿宋" w:eastAsia="仿宋"/>
                <w:b/>
                <w:sz w:val="20"/>
              </w:rPr>
              <w:t>新增应用量（2020-2025）</w:t>
            </w:r>
          </w:p>
        </w:tc>
        <w:tc>
          <w:tcPr>
            <w:tcW w:type="dxa" w:w="1729"/>
          </w:tcPr>
          <w:p>
            <w:pPr>
              <w:jc w:val="center"/>
            </w:pPr>
            <w:r>
              <w:rPr>
                <w:rFonts w:ascii="仿宋" w:hAnsi="仿宋" w:eastAsia="仿宋"/>
                <w:b/>
                <w:sz w:val="20"/>
              </w:rPr>
              <w:t>新增销售收入（万元）</w:t>
            </w:r>
          </w:p>
        </w:tc>
        <w:tc>
          <w:tcPr>
            <w:tcW w:type="dxa" w:w="1729"/>
          </w:tcPr>
          <w:p>
            <w:pPr>
              <w:jc w:val="center"/>
            </w:pPr>
            <w:r>
              <w:rPr>
                <w:rFonts w:ascii="仿宋" w:hAnsi="仿宋" w:eastAsia="仿宋"/>
                <w:b/>
                <w:sz w:val="20"/>
              </w:rPr>
              <w:t>新增税收（万元）</w:t>
            </w:r>
          </w:p>
        </w:tc>
        <w:tc>
          <w:tcPr>
            <w:tcW w:type="dxa" w:w="1729"/>
          </w:tcPr>
          <w:p>
            <w:pPr>
              <w:jc w:val="center"/>
            </w:pPr>
            <w:r>
              <w:rPr>
                <w:rFonts w:ascii="仿宋" w:hAnsi="仿宋" w:eastAsia="仿宋"/>
                <w:b/>
                <w:sz w:val="20"/>
              </w:rPr>
              <w:t>新增利润（万元）</w:t>
            </w:r>
          </w:p>
        </w:tc>
      </w:tr>
      <w:tr>
        <w:tc>
          <w:tcPr>
            <w:tcW w:type="dxa" w:w="1729"/>
          </w:tcPr>
          <w:p>
            <w:r>
              <w:rPr>
                <w:rFonts w:ascii="仿宋" w:hAnsi="仿宋" w:eastAsia="仿宋"/>
                <w:sz w:val="20"/>
              </w:rPr>
              <w:t>中国移动通信集团有限公司</w:t>
            </w:r>
          </w:p>
        </w:tc>
        <w:tc>
          <w:tcPr>
            <w:tcW w:type="dxa" w:w="1729"/>
          </w:tcPr>
          <w:p>
            <w:r>
              <w:rPr>
                <w:rFonts w:ascii="仿宋" w:hAnsi="仿宋" w:eastAsia="仿宋"/>
                <w:sz w:val="20"/>
              </w:rPr>
              <w:t>5000000</w:t>
            </w:r>
          </w:p>
        </w:tc>
        <w:tc>
          <w:tcPr>
            <w:tcW w:type="dxa" w:w="1729"/>
          </w:tcPr>
          <w:p>
            <w:r>
              <w:rPr>
                <w:rFonts w:ascii="仿宋" w:hAnsi="仿宋" w:eastAsia="仿宋"/>
                <w:sz w:val="20"/>
              </w:rPr>
              <w:t>120000</w:t>
            </w:r>
          </w:p>
        </w:tc>
        <w:tc>
          <w:tcPr>
            <w:tcW w:type="dxa" w:w="1729"/>
          </w:tcPr>
          <w:p>
            <w:r>
              <w:rPr>
                <w:rFonts w:ascii="仿宋" w:hAnsi="仿宋" w:eastAsia="仿宋"/>
                <w:sz w:val="20"/>
              </w:rPr>
              <w:t>20000</w:t>
            </w:r>
          </w:p>
        </w:tc>
        <w:tc>
          <w:tcPr>
            <w:tcW w:type="dxa" w:w="1729"/>
          </w:tcPr>
          <w:p>
            <w:r>
              <w:rPr>
                <w:rFonts w:ascii="仿宋" w:hAnsi="仿宋" w:eastAsia="仿宋"/>
                <w:sz w:val="20"/>
              </w:rPr>
              <w:t>48000</w:t>
            </w:r>
          </w:p>
        </w:tc>
      </w:tr>
      <w:tr>
        <w:tc>
          <w:tcPr>
            <w:tcW w:type="dxa" w:w="1729"/>
          </w:tcPr>
          <w:p>
            <w:r>
              <w:rPr>
                <w:rFonts w:ascii="仿宋" w:hAnsi="仿宋" w:eastAsia="仿宋"/>
                <w:sz w:val="20"/>
              </w:rPr>
              <w:t>UT斯达康通讯有限公司</w:t>
            </w:r>
          </w:p>
        </w:tc>
        <w:tc>
          <w:tcPr>
            <w:tcW w:type="dxa" w:w="1729"/>
          </w:tcPr>
          <w:p>
            <w:r>
              <w:rPr>
                <w:rFonts w:ascii="仿宋" w:hAnsi="仿宋" w:eastAsia="仿宋"/>
                <w:sz w:val="20"/>
              </w:rPr>
              <w:t>3000000</w:t>
            </w:r>
          </w:p>
        </w:tc>
        <w:tc>
          <w:tcPr>
            <w:tcW w:type="dxa" w:w="1729"/>
          </w:tcPr>
          <w:p>
            <w:r>
              <w:rPr>
                <w:rFonts w:ascii="仿宋" w:hAnsi="仿宋" w:eastAsia="仿宋"/>
                <w:sz w:val="20"/>
              </w:rPr>
              <w:t>85000</w:t>
            </w:r>
          </w:p>
        </w:tc>
        <w:tc>
          <w:tcPr>
            <w:tcW w:type="dxa" w:w="1729"/>
          </w:tcPr>
          <w:p>
            <w:r>
              <w:rPr>
                <w:rFonts w:ascii="仿宋" w:hAnsi="仿宋" w:eastAsia="仿宋"/>
                <w:sz w:val="20"/>
              </w:rPr>
              <w:t>15000</w:t>
            </w:r>
          </w:p>
        </w:tc>
        <w:tc>
          <w:tcPr>
            <w:tcW w:type="dxa" w:w="1729"/>
          </w:tcPr>
          <w:p>
            <w:r>
              <w:rPr>
                <w:rFonts w:ascii="仿宋" w:hAnsi="仿宋" w:eastAsia="仿宋"/>
                <w:sz w:val="20"/>
              </w:rPr>
              <w:t>34000</w:t>
            </w:r>
          </w:p>
        </w:tc>
      </w:tr>
      <w:tr>
        <w:tc>
          <w:tcPr>
            <w:tcW w:type="dxa" w:w="1729"/>
          </w:tcPr>
          <w:p>
            <w:r>
              <w:rPr>
                <w:rFonts w:ascii="仿宋" w:hAnsi="仿宋" w:eastAsia="仿宋"/>
                <w:sz w:val="20"/>
              </w:rPr>
              <w:t>浙江大学</w:t>
            </w:r>
          </w:p>
        </w:tc>
        <w:tc>
          <w:tcPr>
            <w:tcW w:type="dxa" w:w="1729"/>
          </w:tcPr>
          <w:p>
            <w:r>
              <w:rPr>
                <w:rFonts w:ascii="仿宋" w:hAnsi="仿宋" w:eastAsia="仿宋"/>
                <w:sz w:val="20"/>
              </w:rPr>
              <w:t>2000000</w:t>
            </w:r>
          </w:p>
        </w:tc>
        <w:tc>
          <w:tcPr>
            <w:tcW w:type="dxa" w:w="1729"/>
          </w:tcPr>
          <w:p>
            <w:r>
              <w:rPr>
                <w:rFonts w:ascii="仿宋" w:hAnsi="仿宋" w:eastAsia="仿宋"/>
                <w:sz w:val="20"/>
              </w:rPr>
              <w:t>50000</w:t>
            </w:r>
          </w:p>
        </w:tc>
        <w:tc>
          <w:tcPr>
            <w:tcW w:type="dxa" w:w="1729"/>
          </w:tcPr>
          <w:p>
            <w:r>
              <w:rPr>
                <w:rFonts w:ascii="仿宋" w:hAnsi="仿宋" w:eastAsia="仿宋"/>
                <w:sz w:val="20"/>
              </w:rPr>
              <w:t>8000</w:t>
            </w:r>
          </w:p>
        </w:tc>
        <w:tc>
          <w:tcPr>
            <w:tcW w:type="dxa" w:w="1729"/>
          </w:tcPr>
          <w:p>
            <w:r>
              <w:rPr>
                <w:rFonts w:ascii="仿宋" w:hAnsi="仿宋" w:eastAsia="仿宋"/>
                <w:sz w:val="20"/>
              </w:rPr>
              <w:t>20000</w:t>
            </w:r>
          </w:p>
        </w:tc>
      </w:tr>
      <w:tr>
        <w:tc>
          <w:tcPr>
            <w:tcW w:type="dxa" w:w="1729"/>
          </w:tcPr>
          <w:p>
            <w:r>
              <w:rPr>
                <w:rFonts w:ascii="仿宋" w:hAnsi="仿宋" w:eastAsia="仿宋"/>
                <w:sz w:val="20"/>
              </w:rPr>
              <w:t>浙江工商大学</w:t>
            </w:r>
          </w:p>
        </w:tc>
        <w:tc>
          <w:tcPr>
            <w:tcW w:type="dxa" w:w="1729"/>
          </w:tcPr>
          <w:p>
            <w:r>
              <w:rPr>
                <w:rFonts w:ascii="仿宋" w:hAnsi="仿宋" w:eastAsia="仿宋"/>
                <w:sz w:val="20"/>
              </w:rPr>
              <w:t>1500000</w:t>
            </w:r>
          </w:p>
        </w:tc>
        <w:tc>
          <w:tcPr>
            <w:tcW w:type="dxa" w:w="1729"/>
          </w:tcPr>
          <w:p>
            <w:r>
              <w:rPr>
                <w:rFonts w:ascii="仿宋" w:hAnsi="仿宋" w:eastAsia="仿宋"/>
                <w:sz w:val="20"/>
              </w:rPr>
              <w:t>30000</w:t>
            </w:r>
          </w:p>
        </w:tc>
        <w:tc>
          <w:tcPr>
            <w:tcW w:type="dxa" w:w="1729"/>
          </w:tcPr>
          <w:p>
            <w:r>
              <w:rPr>
                <w:rFonts w:ascii="仿宋" w:hAnsi="仿宋" w:eastAsia="仿宋"/>
                <w:sz w:val="20"/>
              </w:rPr>
              <w:t>5000</w:t>
            </w:r>
          </w:p>
        </w:tc>
        <w:tc>
          <w:tcPr>
            <w:tcW w:type="dxa" w:w="1729"/>
          </w:tcPr>
          <w:p>
            <w:r>
              <w:rPr>
                <w:rFonts w:ascii="仿宋" w:hAnsi="仿宋" w:eastAsia="仿宋"/>
                <w:sz w:val="20"/>
              </w:rPr>
              <w:t>12000</w:t>
            </w:r>
          </w:p>
        </w:tc>
      </w:tr>
      <w:tr>
        <w:tc>
          <w:tcPr>
            <w:tcW w:type="dxa" w:w="1729"/>
          </w:tcPr>
          <w:p>
            <w:r>
              <w:rPr>
                <w:rFonts w:ascii="仿宋" w:hAnsi="仿宋" w:eastAsia="仿宋"/>
                <w:sz w:val="20"/>
              </w:rPr>
              <w:t>合计</w:t>
            </w:r>
          </w:p>
        </w:tc>
        <w:tc>
          <w:tcPr>
            <w:tcW w:type="dxa" w:w="1729"/>
          </w:tcPr>
          <w:p>
            <w:r>
              <w:rPr>
                <w:rFonts w:ascii="仿宋" w:hAnsi="仿宋" w:eastAsia="仿宋"/>
                <w:sz w:val="20"/>
              </w:rPr>
              <w:t>11500000</w:t>
            </w:r>
          </w:p>
        </w:tc>
        <w:tc>
          <w:tcPr>
            <w:tcW w:type="dxa" w:w="1729"/>
          </w:tcPr>
          <w:p>
            <w:r>
              <w:rPr>
                <w:rFonts w:ascii="仿宋" w:hAnsi="仿宋" w:eastAsia="仿宋"/>
                <w:sz w:val="20"/>
              </w:rPr>
              <w:t>285000</w:t>
            </w:r>
          </w:p>
        </w:tc>
        <w:tc>
          <w:tcPr>
            <w:tcW w:type="dxa" w:w="1729"/>
          </w:tcPr>
          <w:p>
            <w:r>
              <w:rPr>
                <w:rFonts w:ascii="仿宋" w:hAnsi="仿宋" w:eastAsia="仿宋"/>
                <w:sz w:val="20"/>
              </w:rPr>
              <w:t>48000</w:t>
            </w:r>
          </w:p>
        </w:tc>
        <w:tc>
          <w:tcPr>
            <w:tcW w:type="dxa" w:w="1729"/>
          </w:tcPr>
          <w:p>
            <w:r>
              <w:rPr>
                <w:rFonts w:ascii="仿宋" w:hAnsi="仿宋" w:eastAsia="仿宋"/>
                <w:sz w:val="20"/>
              </w:rPr>
              <w:t>114000</w:t>
            </w:r>
          </w:p>
        </w:tc>
      </w:tr>
    </w:tbl>
    <w:p>
      <w:pPr>
        <w:spacing w:after="120"/>
      </w:pPr>
    </w:p>
    <w:p>
      <w:pPr>
        <w:spacing w:after="120"/>
        <w:ind w:firstLine="420"/>
      </w:pPr>
      <w:r>
        <w:rPr>
          <w:rFonts w:ascii="仿宋" w:hAnsi="仿宋" w:eastAsia="仿宋"/>
          <w:sz w:val="24"/>
        </w:rPr>
        <w:t>2. 推广应用情况和经济效益（非完成单位）</w:t>
      </w:r>
    </w:p>
    <w:p>
      <w:pPr>
        <w:spacing w:after="120"/>
        <w:ind w:firstLine="420"/>
      </w:pPr>
      <w:r>
        <w:rPr>
          <w:rFonts w:ascii="仿宋" w:hAnsi="仿宋" w:eastAsia="仿宋"/>
          <w:sz w:val="24"/>
        </w:rPr>
        <w:t>技术成果已在中国电信、中国联通等运营商规模部署，并进入日本、欧洲、北美、澳大利亚、东南亚等国际市场。</w:t>
      </w:r>
    </w:p>
    <w:p>
      <w:pPr>
        <w:spacing w:after="120"/>
        <w:ind w:firstLine="420"/>
      </w:pPr>
      <w:r>
        <w:rPr>
          <w:rFonts w:ascii="仿宋" w:hAnsi="仿宋" w:eastAsia="仿宋"/>
          <w:sz w:val="24"/>
        </w:rPr>
        <w:t>3. 社会效益和间接经济效益</w:t>
      </w:r>
    </w:p>
    <w:p>
      <w:pPr>
        <w:spacing w:after="120"/>
        <w:ind w:firstLine="420"/>
      </w:pPr>
      <w:r>
        <w:rPr>
          <w:rFonts w:ascii="仿宋" w:hAnsi="仿宋" w:eastAsia="仿宋"/>
          <w:sz w:val="24"/>
        </w:rPr>
        <w:t>本项目通过深入研究和持续创新，不仅在智能体驱动的网络架构关键技术上取得了显著突破，更在社会效益和经济效益方面取得了显著成果。</w:t>
      </w:r>
    </w:p>
    <w:p>
      <w:pPr>
        <w:spacing w:after="120"/>
        <w:ind w:firstLine="420"/>
      </w:pPr>
      <w:r>
        <w:rPr>
          <w:rFonts w:ascii="仿宋" w:hAnsi="仿宋" w:eastAsia="仿宋"/>
          <w:sz w:val="24"/>
        </w:rPr>
        <w:t>研制的意图驱动的可编程接入网主动式管控系统，已在中国移动、中国电信、中国联通等三大运营商规模部署，覆盖22个省份、182个县市，并成功进入国际市场。2020-2025年间新增产值28.5亿元，新增利润11.2亿元，新增税收4.8亿元。</w:t>
      </w:r>
    </w:p>
    <w:p>
      <w:pPr>
        <w:spacing w:after="120"/>
        <w:ind w:firstLine="420"/>
      </w:pPr>
      <w:r>
        <w:rPr>
          <w:rFonts w:ascii="仿宋" w:hAnsi="仿宋" w:eastAsia="仿宋"/>
          <w:sz w:val="24"/>
        </w:rPr>
        <w:t>本项目取得显著社会效益。以"软件定义智能体"为特色，为三大运营商提供了个性化、高效的网络管控解决方案。三大运营商的网络实践表明，本项目以"递归自主式分解"为核心理念，首先解决了网络资源高效分配问题，其次解决了智能体的自主决策问题，从意图预测中不仅获取网络状态，更重要的是从过程数据中自动获取网络能力、网络状态和网络品格等信息，最后解决了对网络的路径指导和激励问题，提供个性化的目标部署和网络路径，显著提升了网络质量与效率，有效地激发了网络创新热情和创造力。</w:t>
      </w:r>
    </w:p>
    <w:p>
      <w:pPr>
        <w:spacing w:after="120"/>
        <w:ind w:firstLine="420"/>
      </w:pPr>
      <w:r>
        <w:rPr>
          <w:rFonts w:ascii="仿宋" w:hAnsi="仿宋" w:eastAsia="仿宋"/>
          <w:sz w:val="24"/>
        </w:rPr>
        <w:t>本项目获得了100多个政府部门及学校的高度认可与来信感谢，推动网络公平、助力网络强国建设方面展现了巨大的社会价值。</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