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sz w:val="32"/>
        </w:rPr>
        <w:t>浙江省自然科学基金项目申请书正文</w:t>
      </w:r>
    </w:p>
    <w:p>
      <w:pPr>
        <w:spacing w:after="240"/>
        <w:jc w:val="center"/>
      </w:pPr>
      <w:r>
        <w:rPr>
          <w:rFonts w:ascii="黑体" w:hAnsi="黑体" w:eastAsia="黑体"/>
          <w:b/>
          <w:sz w:val="28"/>
        </w:rPr>
        <w:t>项目名称：基于深度学习的高维时序网络流量预测与资源调度研究</w:t>
      </w:r>
    </w:p>
    <w:p>
      <w:pPr>
        <w:spacing w:before="200" w:after="80"/>
        <w:jc w:val="left"/>
      </w:pPr>
      <w:r>
        <w:rPr>
          <w:rFonts w:ascii="黑体" w:hAnsi="黑体" w:eastAsia="黑体"/>
          <w:b/>
          <w:sz w:val="28"/>
        </w:rPr>
        <w:t>1 研究工作的科学意义与拟解决的关键科学问题</w:t>
      </w:r>
    </w:p>
    <w:p>
      <w:pPr>
        <w:spacing w:before="160" w:after="80"/>
        <w:jc w:val="left"/>
      </w:pPr>
      <w:r>
        <w:rPr>
          <w:rFonts w:ascii="黑体" w:hAnsi="黑体" w:eastAsia="黑体"/>
          <w:b/>
          <w:sz w:val="24"/>
        </w:rPr>
        <w:t>1.1 科学意义</w:t>
      </w:r>
    </w:p>
    <w:p>
      <w:pPr>
        <w:spacing w:after="60" w:line="360" w:lineRule="auto"/>
        <w:ind w:firstLine="420"/>
      </w:pPr>
      <w:r>
        <w:rPr>
          <w:rFonts w:ascii="宋体" w:hAnsi="宋体" w:eastAsia="宋体"/>
          <w:sz w:val="24"/>
        </w:rPr>
        <w:t>随着5G网络的规模化应用与6G技术的前瞻性布局，移动通信网络正从"连接赋能"向"智能内生"演进。据行业数据，全球月均网络流量已从2021年的49EB（艾字节）迅速攀升至2025年的200EB，5G/6G网络产生的海量时序流量呈现出显著的非线性、非平稳及复杂的空间关联特征。精准的网络流量感知是实现主动式资源管理、拥塞控制与能效优化的核心前提，对构建绿色、智能的下一代通信网络具有重要的科学意义和工程价值。</w:t>
      </w:r>
    </w:p>
    <w:p>
      <w:pPr>
        <w:spacing w:after="60" w:line="360" w:lineRule="auto"/>
        <w:ind w:firstLine="420"/>
      </w:pPr>
      <w:r>
        <w:rPr>
          <w:rFonts w:ascii="宋体" w:hAnsi="宋体" w:eastAsia="宋体"/>
          <w:sz w:val="24"/>
        </w:rPr>
        <w:t>然而，当前高维时序网络流量的特征表征、可解释预测、自动化参数优化及高效资源调度等方面仍面临以下技术瓶颈：</w:t>
      </w:r>
    </w:p>
    <w:p>
      <w:pPr>
        <w:spacing w:after="60" w:line="360" w:lineRule="auto"/>
        <w:ind w:firstLine="420"/>
      </w:pPr>
      <w:r>
        <w:rPr>
          <w:rFonts w:ascii="宋体" w:hAnsi="宋体" w:eastAsia="宋体"/>
          <w:b/>
          <w:sz w:val="24"/>
        </w:rPr>
        <w:t>（1）</w:t>
      </w:r>
      <w:r>
        <w:rPr>
          <w:rFonts w:ascii="宋体" w:hAnsi="宋体" w:eastAsia="宋体"/>
          <w:b/>
          <w:sz w:val="24"/>
        </w:rPr>
        <w:t>数据表征层面：</w:t>
      </w:r>
      <w:r>
        <w:rPr>
          <w:rFonts w:ascii="宋体" w:hAnsi="宋体" w:eastAsia="宋体"/>
          <w:sz w:val="24"/>
        </w:rPr>
        <w:t>传统统计方法在处理高维非欧几里得空间中的关联数据时面临"维度灾难"与表征能力不足的局限，难以将海量非结构化流量序列转化为适配深度学习模型的结构化输入。</w:t>
      </w:r>
    </w:p>
    <w:p>
      <w:pPr>
        <w:spacing w:after="60" w:line="360" w:lineRule="auto"/>
        <w:ind w:firstLine="420"/>
      </w:pPr>
      <w:r>
        <w:rPr>
          <w:rFonts w:ascii="宋体" w:hAnsi="宋体" w:eastAsia="宋体"/>
          <w:b/>
          <w:sz w:val="24"/>
        </w:rPr>
        <w:t>（2）</w:t>
      </w:r>
      <w:r>
        <w:rPr>
          <w:rFonts w:ascii="宋体" w:hAnsi="宋体" w:eastAsia="宋体"/>
          <w:b/>
          <w:sz w:val="24"/>
        </w:rPr>
        <w:t>模型可解释性层面：</w:t>
      </w:r>
      <w:r>
        <w:rPr>
          <w:rFonts w:ascii="宋体" w:hAnsi="宋体" w:eastAsia="宋体"/>
          <w:sz w:val="24"/>
        </w:rPr>
        <w:t>现有深度学习模型（如LSTM、Transformer、图神经网络）在流量预测中表现优异，但其固有的"黑箱"属性使预测过程缺乏统计可解释性，难以满足电信级运维对决策结果可信度的严苛要求。</w:t>
      </w:r>
    </w:p>
    <w:p>
      <w:pPr>
        <w:spacing w:after="60" w:line="360" w:lineRule="auto"/>
        <w:ind w:firstLine="420"/>
      </w:pPr>
      <w:r>
        <w:rPr>
          <w:rFonts w:ascii="宋体" w:hAnsi="宋体" w:eastAsia="宋体"/>
          <w:b/>
          <w:sz w:val="24"/>
        </w:rPr>
        <w:t>（3）</w:t>
      </w:r>
      <w:r>
        <w:rPr>
          <w:rFonts w:ascii="宋体" w:hAnsi="宋体" w:eastAsia="宋体"/>
          <w:b/>
          <w:sz w:val="24"/>
        </w:rPr>
        <w:t>超参数适配层面：</w:t>
      </w:r>
      <w:r>
        <w:rPr>
          <w:rFonts w:ascii="宋体" w:hAnsi="宋体" w:eastAsia="宋体"/>
          <w:sz w:val="24"/>
        </w:rPr>
        <w:t>深度学习模型的性能高度依赖于超参数配置，传统网格搜索、随机搜索等方法在异构网络环境下的参数适配效率低下，计算成本高昂。</w:t>
      </w:r>
    </w:p>
    <w:p>
      <w:pPr>
        <w:spacing w:after="60" w:line="360" w:lineRule="auto"/>
        <w:ind w:firstLine="420"/>
      </w:pPr>
      <w:r>
        <w:rPr>
          <w:rFonts w:ascii="宋体" w:hAnsi="宋体" w:eastAsia="宋体"/>
          <w:b/>
          <w:sz w:val="24"/>
        </w:rPr>
        <w:t>（4）</w:t>
      </w:r>
      <w:r>
        <w:rPr>
          <w:rFonts w:ascii="宋体" w:hAnsi="宋体" w:eastAsia="宋体"/>
          <w:b/>
          <w:sz w:val="24"/>
        </w:rPr>
        <w:t>资源调度层面：</w:t>
      </w:r>
      <w:r>
        <w:rPr>
          <w:rFonts w:ascii="宋体" w:hAnsi="宋体" w:eastAsia="宋体"/>
          <w:sz w:val="24"/>
        </w:rPr>
        <w:t>在设备到设备（D2D）中继与蜂窝网络共存场景下，资源调度面临吞吐量、时延与能耗多目标协同优化的复杂挑战，亟需建立基于精准预测的智能化资源分配机制。</w:t>
      </w:r>
    </w:p>
    <w:p>
      <w:pPr>
        <w:spacing w:after="60" w:line="360" w:lineRule="auto"/>
        <w:ind w:firstLine="420"/>
      </w:pPr>
      <w:r>
        <w:rPr>
          <w:rFonts w:ascii="宋体" w:hAnsi="宋体" w:eastAsia="宋体"/>
          <w:sz w:val="24"/>
        </w:rPr>
        <w:t>本研究依托大数据统计学与人工智能技术，系统开展高维时序网络流量预测与资源调度研究，旨在为下一代移动通信系统的智能化管理提供理论支撑。研究成果不仅拓展大数据统计学在高维时序处理领域的应用边界，也为构建高效、绿色、可信的下一代移动通信系统提供切实可行的技术路径，契合浙江省数字经济创新提质"一号发展工程"的战略部署。</w:t>
      </w:r>
    </w:p>
    <w:p>
      <w:pPr>
        <w:spacing w:before="160" w:after="80"/>
        <w:jc w:val="left"/>
      </w:pPr>
      <w:r>
        <w:rPr>
          <w:rFonts w:ascii="黑体" w:hAnsi="黑体" w:eastAsia="黑体"/>
          <w:b/>
          <w:sz w:val="24"/>
        </w:rPr>
        <w:t>1.2 拟解决的关键科学问题</w:t>
      </w:r>
    </w:p>
    <w:p>
      <w:pPr>
        <w:spacing w:after="60" w:line="360" w:lineRule="auto"/>
        <w:ind w:firstLine="420"/>
      </w:pPr>
      <w:r>
        <w:rPr>
          <w:rFonts w:ascii="宋体" w:hAnsi="宋体" w:eastAsia="宋体"/>
          <w:sz w:val="24"/>
        </w:rPr>
        <w:t>基于上述分析，本项目拟解决以下三个关键科学问题：</w:t>
      </w:r>
    </w:p>
    <w:p>
      <w:pPr>
        <w:spacing w:after="60" w:line="360" w:lineRule="auto"/>
        <w:ind w:firstLine="420"/>
      </w:pPr>
      <w:r>
        <w:rPr>
          <w:rFonts w:ascii="宋体" w:hAnsi="宋体" w:eastAsia="宋体"/>
          <w:b/>
          <w:sz w:val="24"/>
        </w:rPr>
        <w:t>关键科学问题一：</w:t>
      </w:r>
      <w:r>
        <w:rPr>
          <w:rFonts w:ascii="宋体" w:hAnsi="宋体" w:eastAsia="宋体"/>
          <w:sz w:val="24"/>
        </w:rPr>
        <w:t>高维非平稳时序网络流量的结构化表征与深层统计特征提取。网络流量数据兼具时间维度的长程依赖性和空间维度的非欧几里得拓扑关联性，如何在保持数据内蕴物理结构的前提下，实现从原始高维流量轨迹向深层统计特征张量的有效映射？本项目拟通过张量分解、流形建模及38维统计元特征提取方法，构建适配深度学习模型的高维结构化输入空间。</w:t>
      </w:r>
    </w:p>
    <w:p>
      <w:pPr>
        <w:spacing w:after="60" w:line="360" w:lineRule="auto"/>
        <w:ind w:firstLine="420"/>
      </w:pPr>
      <w:r>
        <w:rPr>
          <w:rFonts w:ascii="宋体" w:hAnsi="宋体" w:eastAsia="宋体"/>
          <w:b/>
          <w:sz w:val="24"/>
        </w:rPr>
        <w:t>关键科学问题二：</w:t>
      </w:r>
      <w:r>
        <w:rPr>
          <w:rFonts w:ascii="宋体" w:hAnsi="宋体" w:eastAsia="宋体"/>
          <w:sz w:val="24"/>
        </w:rPr>
        <w:t>复杂网络拓扑下时空依赖关系的可解释性建模。传统图神经网络虽能捕捉基站间的空间关联，但缺乏对依赖关系形成机理的显式刻画。如何在对流量空间非欧几何属性建模的同时，赋予预测过程可追溯的统计解释性？本项目拟提出语义原型驱动的可解释时空图卷积网络（ISTGCN），通过可学习的语义原型记忆库，显式建模地理分布与业务模式间的统计关联。</w:t>
      </w:r>
    </w:p>
    <w:p>
      <w:pPr>
        <w:spacing w:after="60" w:line="360" w:lineRule="auto"/>
        <w:ind w:firstLine="420"/>
      </w:pPr>
      <w:r>
        <w:rPr>
          <w:rFonts w:ascii="宋体" w:hAnsi="宋体" w:eastAsia="宋体"/>
          <w:b/>
          <w:sz w:val="24"/>
        </w:rPr>
        <w:t>关键科学问题三：</w:t>
      </w:r>
      <w:r>
        <w:rPr>
          <w:rFonts w:ascii="宋体" w:hAnsi="宋体" w:eastAsia="宋体"/>
          <w:sz w:val="24"/>
        </w:rPr>
        <w:t>超参数智能优化与预测-调度闭环的资源协同机制。深度学习模型在异构网络场景下的自动部署效率低，且预测结果与资源调度决策之间缺乏有效耦合。如何实现从元特征到最优预测算子的智能映射，并将预测信息深度嵌入资源调度的优化决策？本项目拟构建基于元特征映射与经验黑翅鸢优化的自动化预测框架，并在D2D中继通信场景下建立传输时间选择与功率管理（TTSPM）博弈模型。</w:t>
      </w:r>
    </w:p>
    <w:p>
      <w:pPr>
        <w:spacing w:before="200" w:after="80"/>
        <w:jc w:val="left"/>
      </w:pPr>
      <w:r>
        <w:rPr>
          <w:rFonts w:ascii="黑体" w:hAnsi="黑体" w:eastAsia="黑体"/>
          <w:b/>
          <w:sz w:val="28"/>
        </w:rPr>
        <w:t>2 本项目研究目标，以及与申请者研究工作长期目标的关系</w:t>
      </w:r>
    </w:p>
    <w:p>
      <w:pPr>
        <w:spacing w:before="160" w:after="80"/>
        <w:jc w:val="left"/>
      </w:pPr>
      <w:r>
        <w:rPr>
          <w:rFonts w:ascii="黑体" w:hAnsi="黑体" w:eastAsia="黑体"/>
          <w:b/>
          <w:sz w:val="24"/>
        </w:rPr>
        <w:t>2.1 研究目标</w:t>
      </w:r>
    </w:p>
    <w:p>
      <w:pPr>
        <w:spacing w:after="60" w:line="360" w:lineRule="auto"/>
        <w:ind w:firstLine="420"/>
      </w:pPr>
      <w:r>
        <w:rPr>
          <w:rFonts w:ascii="宋体" w:hAnsi="宋体" w:eastAsia="宋体"/>
          <w:sz w:val="24"/>
        </w:rPr>
        <w:t>本项目面向未来智能移动通信网络发展需求，针对网络流量数据特征工程、流量预测、超参数优化及资源调度等领域的关键科学与技术问题，达成以下研究目标：</w:t>
      </w:r>
    </w:p>
    <w:p>
      <w:pPr>
        <w:spacing w:after="60" w:line="360" w:lineRule="auto"/>
        <w:ind w:firstLine="420"/>
      </w:pPr>
      <w:r>
        <w:rPr>
          <w:rFonts w:ascii="宋体" w:hAnsi="宋体" w:eastAsia="宋体"/>
          <w:b/>
          <w:sz w:val="24"/>
        </w:rPr>
        <w:t>目标一：</w:t>
      </w:r>
      <w:r>
        <w:rPr>
          <w:rFonts w:ascii="宋体" w:hAnsi="宋体" w:eastAsia="宋体"/>
          <w:sz w:val="24"/>
        </w:rPr>
        <w:t>构建跨域网络流量基准数据集与深层语义表征体系。整合Milan、Trentino、MAWI等典型流量数据，构建涵盖城市与省域维度的跨域网络流量基准数据集（NetTra-2025）。通过赫斯特（Hurst）指数、重尾分布及莫兰（Moran's I）指数，从数理层面刻画流量的长程依赖性与空间集聚性，提取38维统计元特征，实现原始高维流量轨迹向深层统计特征张量的表征映射。</w:t>
      </w:r>
    </w:p>
    <w:p>
      <w:pPr>
        <w:spacing w:after="60" w:line="360" w:lineRule="auto"/>
        <w:ind w:firstLine="420"/>
      </w:pPr>
      <w:r>
        <w:rPr>
          <w:rFonts w:ascii="宋体" w:hAnsi="宋体" w:eastAsia="宋体"/>
          <w:b/>
          <w:sz w:val="24"/>
        </w:rPr>
        <w:t>目标二：</w:t>
      </w:r>
      <w:r>
        <w:rPr>
          <w:rFonts w:ascii="宋体" w:hAnsi="宋体" w:eastAsia="宋体"/>
          <w:sz w:val="24"/>
        </w:rPr>
        <w:t>提出可解释的时空图卷积网络预测模型（ISTGCN）。通过在特征提取网络中引入语义原型记忆库，将高维时序特征映射至典型演化模式原型，实现对基站间复杂时空依赖的透明化建模，在保持高精度预测的同时赋予流量时空表征显式的物理意义与统计解释。</w:t>
      </w:r>
    </w:p>
    <w:p>
      <w:pPr>
        <w:spacing w:after="60" w:line="360" w:lineRule="auto"/>
        <w:ind w:firstLine="420"/>
      </w:pPr>
      <w:r>
        <w:rPr>
          <w:rFonts w:ascii="宋体" w:hAnsi="宋体" w:eastAsia="宋体"/>
          <w:b/>
          <w:sz w:val="24"/>
        </w:rPr>
        <w:t>目标三：</w:t>
      </w:r>
      <w:r>
        <w:rPr>
          <w:rFonts w:ascii="宋体" w:hAnsi="宋体" w:eastAsia="宋体"/>
          <w:sz w:val="24"/>
        </w:rPr>
        <w:t>设计基于混沌映射与自适应学习的改进樽海鞘群超参数优化算法（SSA-CMAL）。将超参数优化问题转化为组合规划问题，设计融合混沌映射与自适应学习策略的改进樽海鞘算法，提升算法在复杂非凸空间中的寻优效能，为大规模网络环境下的模型自动标定提供有效的算法支撑。</w:t>
      </w:r>
    </w:p>
    <w:p>
      <w:pPr>
        <w:spacing w:after="60" w:line="360" w:lineRule="auto"/>
        <w:ind w:firstLine="420"/>
      </w:pPr>
      <w:r>
        <w:rPr>
          <w:rFonts w:ascii="宋体" w:hAnsi="宋体" w:eastAsia="宋体"/>
          <w:b/>
          <w:sz w:val="24"/>
        </w:rPr>
        <w:t>目标四：</w:t>
      </w:r>
      <w:r>
        <w:rPr>
          <w:rFonts w:ascii="宋体" w:hAnsi="宋体" w:eastAsia="宋体"/>
          <w:sz w:val="24"/>
        </w:rPr>
        <w:t>构建自动化网络流量预测框架（MFM-BKOA-NTP）。利用38维元特征构建网络流量"数据画像"，微调DeepSeek大语言模型实现从元特征到最优预测算子的智能映射。同时设计经验驱动的改进黑翅鸢算法，实现全流程自动化预测。</w:t>
      </w:r>
    </w:p>
    <w:p>
      <w:pPr>
        <w:spacing w:after="60" w:line="360" w:lineRule="auto"/>
        <w:ind w:firstLine="420"/>
      </w:pPr>
      <w:r>
        <w:rPr>
          <w:rFonts w:ascii="宋体" w:hAnsi="宋体" w:eastAsia="宋体"/>
          <w:b/>
          <w:sz w:val="24"/>
        </w:rPr>
        <w:t>目标五：</w:t>
      </w:r>
      <w:r>
        <w:rPr>
          <w:rFonts w:ascii="宋体" w:hAnsi="宋体" w:eastAsia="宋体"/>
          <w:sz w:val="24"/>
        </w:rPr>
        <w:t>建立D2D中继通信资源调度的博弈论求解框架。构建TTSPM博弈模型，利用格利克斯贝格不动点定理证明纳什均衡的存在性，推导出四种资源共享场景下的局部最优解，实现系统总能耗降低48%至77%。</w:t>
      </w:r>
    </w:p>
    <w:p>
      <w:pPr>
        <w:spacing w:before="160" w:after="80"/>
        <w:jc w:val="left"/>
      </w:pPr>
      <w:r>
        <w:rPr>
          <w:rFonts w:ascii="黑体" w:hAnsi="黑体" w:eastAsia="黑体"/>
          <w:b/>
          <w:sz w:val="24"/>
        </w:rPr>
        <w:t>2.2 与申请者研究工作长期目标的关系</w:t>
      </w:r>
    </w:p>
    <w:p>
      <w:pPr>
        <w:spacing w:after="60" w:line="360" w:lineRule="auto"/>
        <w:ind w:firstLine="420"/>
      </w:pPr>
      <w:r>
        <w:rPr>
          <w:rFonts w:ascii="宋体" w:hAnsi="宋体" w:eastAsia="宋体"/>
          <w:sz w:val="24"/>
        </w:rPr>
        <w:t>申请者蒋献长期从事基于大数据和深度学习的网络流量分析与资源调度研究，其研究工作长期目标为：构建从数据感知、智能预测到资源自主管控的全流程智能化移动通信网络管理体系。</w:t>
      </w:r>
    </w:p>
    <w:p>
      <w:pPr>
        <w:spacing w:after="60" w:line="360" w:lineRule="auto"/>
        <w:ind w:firstLine="420"/>
      </w:pPr>
      <w:r>
        <w:rPr>
          <w:rFonts w:ascii="宋体" w:hAnsi="宋体" w:eastAsia="宋体"/>
          <w:sz w:val="24"/>
        </w:rPr>
        <w:t>本项目是申请者研究工作长期目标的核心组成部分。申请者此前已围绕网络业务行为表征建模与预测、空天地一体化网络部署与业务接入控制、接入网通信资源管理等方向开展了系统研究，在《通信学报》、IEEE Transactions on Wireless Communications等国内外主流期刊发表多篇学术论文。本项目将在已有研究基础上，进一步深化高维时序流量的结构化表征与可解释预测研究，并将研究成果从蜂窝网络扩展至更广泛的空天地一体化网络场景，为申请者长期目标中"全流程智能化网络管理"愿景提供关键算法支撑和理论保障。</w:t>
      </w:r>
    </w:p>
    <w:p>
      <w:pPr>
        <w:spacing w:before="200" w:after="80"/>
        <w:jc w:val="left"/>
      </w:pPr>
      <w:r>
        <w:rPr>
          <w:rFonts w:ascii="黑体" w:hAnsi="黑体" w:eastAsia="黑体"/>
          <w:b/>
          <w:sz w:val="28"/>
        </w:rPr>
        <w:t>3 项目研究内容、研究方案和进度安排</w:t>
      </w:r>
    </w:p>
    <w:p>
      <w:pPr>
        <w:spacing w:before="160" w:after="80"/>
        <w:jc w:val="left"/>
      </w:pPr>
      <w:r>
        <w:rPr>
          <w:rFonts w:ascii="黑体" w:hAnsi="黑体" w:eastAsia="黑体"/>
          <w:b/>
          <w:sz w:val="24"/>
        </w:rPr>
        <w:t>3.1 研究内容</w:t>
      </w:r>
    </w:p>
    <w:p>
      <w:pPr>
        <w:spacing w:after="60" w:line="360" w:lineRule="auto"/>
        <w:ind w:firstLine="420"/>
      </w:pPr>
      <w:r>
        <w:rPr>
          <w:rFonts w:ascii="宋体" w:hAnsi="宋体" w:eastAsia="宋体"/>
          <w:sz w:val="24"/>
        </w:rPr>
        <w:t>本项目围绕高维时序网络流量预测与资源调度，设置以下五个研究内容：</w:t>
      </w:r>
    </w:p>
    <w:p>
      <w:pPr>
        <w:spacing w:after="60" w:line="360" w:lineRule="auto"/>
        <w:ind w:firstLine="420"/>
      </w:pPr>
      <w:r>
        <w:rPr>
          <w:rFonts w:ascii="宋体" w:hAnsi="宋体" w:eastAsia="宋体"/>
          <w:b/>
          <w:sz w:val="24"/>
        </w:rPr>
        <w:t>研究内容一：网络流量统计特性分析与元特征工程。</w:t>
      </w:r>
      <w:r>
        <w:rPr>
          <w:rFonts w:ascii="宋体" w:hAnsi="宋体" w:eastAsia="宋体"/>
          <w:sz w:val="24"/>
        </w:rPr>
        <w:t>针对多源异构数据融合及空间异质性对流量预测的限制，构建涵盖城市级与省域级的跨域网络流量基准数据集（NetTra-2025）。具体内容包括：（1）数据集成：整合意大利米兰（Milan）、特伦托（Trentino）、美国-日本骨干网（MAWI）等典型流量数据集，通过规则网格映射完成空间解构。（2）缺失值补全：利用低秩张量分解技术（CP分解、Tucker分解），对原始流量矩阵进行空间缺失值的高精度补全。（3）统计特性分析：通过Hurst指数、重尾分布检验及全局Moran's I指数，系统分析流量的长程依赖性、重尾分布特性与时空自相关性。（4）元特征提取：构建涵盖时域（均值、方差、偏度、峰度等）、频域（主频率、频谱能量、频谱熵等）及拓扑域（Hurst指数、Moran's I等）的38维统计元特征空间，实现从原始序列到结构化语义向量的转化。</w:t>
      </w:r>
    </w:p>
    <w:p>
      <w:pPr>
        <w:spacing w:after="60" w:line="360" w:lineRule="auto"/>
        <w:ind w:firstLine="420"/>
      </w:pPr>
      <w:r>
        <w:rPr>
          <w:rFonts w:ascii="宋体" w:hAnsi="宋体" w:eastAsia="宋体"/>
          <w:b/>
          <w:sz w:val="24"/>
        </w:rPr>
        <w:t>研究内容二：基于图神经网络的可解释性网络流量预测算法。</w:t>
      </w:r>
      <w:r>
        <w:rPr>
          <w:rFonts w:ascii="宋体" w:hAnsi="宋体" w:eastAsia="宋体"/>
          <w:sz w:val="24"/>
        </w:rPr>
        <w:t>针对深度学习模型在复杂网络拓扑建模中的"黑箱"局限，提出ISTGCN模型。具体内容包括：（1）语义原型空间构建：构建可学习的语义原型记忆库，将节点隐状态映射至典型业务演化模式。（2）原型驱动的自适应图结构学习：基于语义原型与节点特征的余弦相似度，动态生成自适应邻接矩阵，替代传统固定拓扑假设。（3）空间特征提取：通过k阶图扩散算子，以自适应聚合的方式捕获多跳空间依赖。（4）门控时序递推：采用类GRU的时间状态更新机制，融合历史信息与当前空间输入。（5）记忆增强多步解码：将编码后的隐状态与语义原型进行注意力匹配，实现多步自回归预测。</w:t>
      </w:r>
    </w:p>
    <w:p>
      <w:pPr>
        <w:spacing w:after="60" w:line="360" w:lineRule="auto"/>
        <w:ind w:firstLine="420"/>
      </w:pPr>
      <w:r>
        <w:rPr>
          <w:rFonts w:ascii="宋体" w:hAnsi="宋体" w:eastAsia="宋体"/>
          <w:b/>
          <w:sz w:val="24"/>
        </w:rPr>
        <w:t>研究内容三：基于改进樽海鞘群算法的超参数优化。</w:t>
      </w:r>
      <w:r>
        <w:rPr>
          <w:rFonts w:ascii="宋体" w:hAnsi="宋体" w:eastAsia="宋体"/>
          <w:sz w:val="24"/>
        </w:rPr>
        <w:t>针对深度预测模型对人工调参经验的过度依赖，设计SSA-CMAL算法。具体内容包括：（1）增强型正弦映射初始化：利用混沌正弦映射替代随机初始化，确保解空间的遍历性与均匀分布。（2）自适应种群划分：设计动态领导者/跟随者比例因子，平衡全局勘探与局部开发能力。（3）正余弦更新策略：为领导者樽海鞘引入正余弦扰动机制，增强算法跳出局部最优的能力。（4）动态学习跟随者更新：为跟随者樽海鞘设计基于适应度比值的动态学习系数，抑制非精英个体的负面影响。</w:t>
      </w:r>
    </w:p>
    <w:p>
      <w:pPr>
        <w:spacing w:after="60" w:line="360" w:lineRule="auto"/>
        <w:ind w:firstLine="420"/>
      </w:pPr>
      <w:r>
        <w:rPr>
          <w:rFonts w:ascii="宋体" w:hAnsi="宋体" w:eastAsia="宋体"/>
          <w:b/>
          <w:sz w:val="24"/>
        </w:rPr>
        <w:t>研究内容四：基于元特征映射与经验黑翅鸢优化的自动化预测框架。</w:t>
      </w:r>
      <w:r>
        <w:rPr>
          <w:rFonts w:ascii="宋体" w:hAnsi="宋体" w:eastAsia="宋体"/>
          <w:sz w:val="24"/>
        </w:rPr>
        <w:t>构建MFM-BKOA-NTP全流程自动化预测框架。具体内容包括：（1）经验库构建：基于38维元特征与多模型性能指标，构建包含（元特征、最优模型、最优超参数、性能评分）的高质量经验元组。（2）DeepSeek大模型微调：利用LoRA（Low-Rank Adaptation）技术对DeepSeek-1.5B模型进行参数高效微调，实现从元特征向量到最优预测模型与超参数配置的智能映射。（3）改进黑翅鸢优化算法（EBKA）：引入经验库引导初始化、动态种群队形调整及领袖更迭机制，提升超参数搜索的全局寻优能力。（4）滑动窗口预测：设计自适应滑动窗口机制，实现不同时间尺度预测分支的动态加权融合。</w:t>
      </w:r>
    </w:p>
    <w:p>
      <w:pPr>
        <w:spacing w:after="60" w:line="360" w:lineRule="auto"/>
        <w:ind w:firstLine="420"/>
      </w:pPr>
      <w:r>
        <w:rPr>
          <w:rFonts w:ascii="宋体" w:hAnsi="宋体" w:eastAsia="宋体"/>
          <w:b/>
          <w:sz w:val="24"/>
        </w:rPr>
        <w:t>研究内容五：基于网络流量预测的D2D中继通信资源调度。</w:t>
      </w:r>
      <w:r>
        <w:rPr>
          <w:rFonts w:ascii="宋体" w:hAnsi="宋体" w:eastAsia="宋体"/>
          <w:sz w:val="24"/>
        </w:rPr>
        <w:t>将预测信息深度嵌入资源调度决策，构建TTSPM博弈模型。具体内容包括：（1）系统建模：刻画上行蜂窝连接与中继辅助D2D连接共享上行子信道的四种资源共享场景。（2）分治求解：对于前三种可转化为凸优化的场景，设计基于注水算法的高效闭合解求解器；对于非凸的第四种场景，建立非合作博弈模型。（3）纳什均衡证明：利用格利克斯贝格（Glicksberg）不动点定理证明TTSPM博弈中纳什均衡的存在性。（4）迭代算法设计：设计蜂窝通信参与者与D2D参与者的最优响应策略迭代算法，实现系统总能耗最小化。</w:t>
      </w:r>
    </w:p>
    <w:p>
      <w:pPr>
        <w:spacing w:before="160" w:after="80"/>
        <w:jc w:val="left"/>
      </w:pPr>
      <w:r>
        <w:rPr>
          <w:rFonts w:ascii="黑体" w:hAnsi="黑体" w:eastAsia="黑体"/>
          <w:b/>
          <w:sz w:val="24"/>
        </w:rPr>
        <w:t>3.2 研究方案</w:t>
      </w:r>
    </w:p>
    <w:p>
      <w:pPr>
        <w:spacing w:before="160" w:after="80"/>
        <w:jc w:val="left"/>
      </w:pPr>
      <w:r>
        <w:rPr>
          <w:rFonts w:ascii="黑体" w:hAnsi="黑体" w:eastAsia="黑体"/>
          <w:b/>
          <w:sz w:val="24"/>
        </w:rPr>
        <w:t>3.2.1 技术路线</w:t>
      </w:r>
    </w:p>
    <w:p>
      <w:pPr>
        <w:spacing w:after="60" w:line="360" w:lineRule="auto"/>
        <w:ind w:firstLine="420"/>
      </w:pPr>
      <w:r>
        <w:rPr>
          <w:rFonts w:ascii="宋体" w:hAnsi="宋体" w:eastAsia="宋体"/>
          <w:sz w:val="24"/>
        </w:rPr>
        <w:t>本项目遵循"数据解析→可解释预测→超参数优化→自动化框架→资源调度"的技术路线，构建从底层数据表征到顶层资源优化的完整闭环：（1）数据层：通过张量补全与元特征提取，将原始流量数据转化为38维结构化特征向量，为下游模型提供规范化输入。（2）算法层：开发ISTGCN模型实现可解释预测，SSA-CMAL算法实现高效超参数搜索，EBKA算法实现经验驱动的参数优化。（3）框架层：集成大语言模型微调与元特征映射，构建端到端的自动化预测框架MFM-BKOA-NTP。（4）应用层：在D2D中继通信场景下验证预测-调度闭环的有效性，通过博弈论方法实现资源的最优配置。</w:t>
      </w:r>
    </w:p>
    <w:p>
      <w:pPr>
        <w:spacing w:before="160" w:after="80"/>
        <w:jc w:val="left"/>
      </w:pPr>
      <w:r>
        <w:rPr>
          <w:rFonts w:ascii="黑体" w:hAnsi="黑体" w:eastAsia="黑体"/>
          <w:b/>
          <w:sz w:val="24"/>
        </w:rPr>
        <w:t>3.2.2 实验验证方案</w:t>
      </w:r>
    </w:p>
    <w:p>
      <w:pPr>
        <w:spacing w:after="60" w:line="360" w:lineRule="auto"/>
        <w:ind w:firstLine="420"/>
      </w:pPr>
      <w:r>
        <w:rPr>
          <w:rFonts w:ascii="宋体" w:hAnsi="宋体" w:eastAsia="宋体"/>
          <w:sz w:val="24"/>
        </w:rPr>
        <w:t>数据集：使用NetTra-2025基准数据集（含Milan、Trentino、MAWI等多源数据）进行模型训练与测试。</w:t>
      </w:r>
    </w:p>
    <w:p>
      <w:pPr>
        <w:spacing w:after="60" w:line="360" w:lineRule="auto"/>
        <w:ind w:firstLine="420"/>
      </w:pPr>
      <w:r>
        <w:rPr>
          <w:rFonts w:ascii="宋体" w:hAnsi="宋体" w:eastAsia="宋体"/>
          <w:sz w:val="24"/>
        </w:rPr>
        <w:t>基线模型：选取ARIMA、LSTM、GRU、STGCN、ASTGCN、DCRNN等经典模型作为对比基线。</w:t>
      </w:r>
    </w:p>
    <w:p>
      <w:pPr>
        <w:spacing w:after="60" w:line="360" w:lineRule="auto"/>
        <w:ind w:firstLine="420"/>
      </w:pPr>
      <w:r>
        <w:rPr>
          <w:rFonts w:ascii="宋体" w:hAnsi="宋体" w:eastAsia="宋体"/>
          <w:sz w:val="24"/>
        </w:rPr>
        <w:t>评价指标：采用RMSE、MAE、MAPE、SMAPE、R²等多维度指标评估预测精度；采用计算时间、收敛代数评估算法效率。</w:t>
      </w:r>
    </w:p>
    <w:p>
      <w:pPr>
        <w:spacing w:after="60" w:line="360" w:lineRule="auto"/>
        <w:ind w:firstLine="420"/>
      </w:pPr>
      <w:r>
        <w:rPr>
          <w:rFonts w:ascii="宋体" w:hAnsi="宋体" w:eastAsia="宋体"/>
          <w:sz w:val="24"/>
        </w:rPr>
        <w:t>仿真平台：在MATLAB及Python环境下实现D2D资源调度仿真，验证TTSPM模型的节能效果。</w:t>
      </w:r>
    </w:p>
    <w:p>
      <w:pPr>
        <w:spacing w:before="160" w:after="80"/>
        <w:jc w:val="left"/>
      </w:pPr>
      <w:r>
        <w:rPr>
          <w:rFonts w:ascii="黑体" w:hAnsi="黑体" w:eastAsia="黑体"/>
          <w:b/>
          <w:sz w:val="24"/>
        </w:rPr>
        <w:t>3.3 进度安排</w:t>
      </w:r>
    </w:p>
    <w:p>
      <w:pPr>
        <w:spacing w:after="60" w:line="360" w:lineRule="auto"/>
        <w:ind w:firstLine="420"/>
      </w:pPr>
      <w:r>
        <w:rPr>
          <w:rFonts w:ascii="宋体" w:hAnsi="宋体" w:eastAsia="宋体"/>
          <w:sz w:val="24"/>
        </w:rPr>
        <w:t>本项目计划执行期为2年（2026年9月至2028年8月），具体进度安排如下：</w:t>
      </w:r>
    </w:p>
    <w:tbl>
      <w:tblPr>
        <w:tblW w:type="auto" w:w="0"/>
        <w:jc w:val="center"/>
        <w:tblLook w:firstColumn="1" w:firstRow="1" w:lastColumn="0" w:lastRow="0" w:noHBand="0" w:noVBand="1" w:val="04A0"/>
      </w:tblPr>
      <w:tblGrid>
        <w:gridCol w:w="3211"/>
        <w:gridCol w:w="3211"/>
        <w:gridCol w:w="3211"/>
      </w:tblGrid>
      <w:tr>
        <w:tc>
          <w:tcPr>
            <w:tcW w:type="dxa" w:w="2268"/>
          </w:tcPr>
          <w:p>
            <w:pPr>
              <w:jc w:val="center"/>
            </w:pPr>
            <w:r>
              <w:rPr>
                <w:rFonts w:ascii="黑体" w:hAnsi="黑体" w:eastAsia="黑体"/>
                <w:b/>
                <w:sz w:val="22"/>
              </w:rPr>
              <w:t>时间</w:t>
            </w:r>
          </w:p>
        </w:tc>
        <w:tc>
          <w:tcPr>
            <w:tcW w:type="dxa" w:w="5102"/>
          </w:tcPr>
          <w:p>
            <w:pPr>
              <w:jc w:val="center"/>
            </w:pPr>
            <w:r>
              <w:rPr>
                <w:rFonts w:ascii="黑体" w:hAnsi="黑体" w:eastAsia="黑体"/>
                <w:b/>
                <w:sz w:val="22"/>
              </w:rPr>
              <w:t>研究任务</w:t>
            </w:r>
          </w:p>
        </w:tc>
        <w:tc>
          <w:tcPr>
            <w:tcW w:type="dxa" w:w="1984"/>
          </w:tcPr>
          <w:p>
            <w:pPr>
              <w:jc w:val="center"/>
            </w:pPr>
            <w:r>
              <w:rPr>
                <w:rFonts w:ascii="黑体" w:hAnsi="黑体" w:eastAsia="黑体"/>
                <w:b/>
                <w:sz w:val="22"/>
              </w:rPr>
              <w:t>预期交付</w:t>
            </w:r>
          </w:p>
        </w:tc>
      </w:tr>
      <w:tr>
        <w:tc>
          <w:tcPr>
            <w:tcW w:type="dxa" w:w="2268"/>
          </w:tcPr>
          <w:p>
            <w:r>
              <w:rPr>
                <w:rFonts w:ascii="宋体" w:hAnsi="宋体" w:eastAsia="宋体"/>
                <w:sz w:val="20"/>
              </w:rPr>
              <w:t>2026.09—2026.12</w:t>
            </w:r>
          </w:p>
        </w:tc>
        <w:tc>
          <w:tcPr>
            <w:tcW w:type="dxa" w:w="5102"/>
          </w:tcPr>
          <w:p>
            <w:r>
              <w:rPr>
                <w:rFonts w:ascii="宋体" w:hAnsi="宋体" w:eastAsia="宋体"/>
                <w:sz w:val="20"/>
              </w:rPr>
              <w:t>完成NetTra-2025数据集构建；完成38维元特征提取方法设计与验证</w:t>
            </w:r>
          </w:p>
        </w:tc>
        <w:tc>
          <w:tcPr>
            <w:tcW w:type="dxa" w:w="1984"/>
          </w:tcPr>
          <w:p>
            <w:r>
              <w:rPr>
                <w:rFonts w:ascii="宋体" w:hAnsi="宋体" w:eastAsia="宋体"/>
                <w:sz w:val="20"/>
              </w:rPr>
              <w:t>数据集；技术报告1份</w:t>
            </w:r>
          </w:p>
        </w:tc>
      </w:tr>
      <w:tr>
        <w:tc>
          <w:tcPr>
            <w:tcW w:type="dxa" w:w="2268"/>
          </w:tcPr>
          <w:p>
            <w:r>
              <w:rPr>
                <w:rFonts w:ascii="宋体" w:hAnsi="宋体" w:eastAsia="宋体"/>
                <w:sz w:val="20"/>
              </w:rPr>
              <w:t>2027.01—2027.04</w:t>
            </w:r>
          </w:p>
        </w:tc>
        <w:tc>
          <w:tcPr>
            <w:tcW w:type="dxa" w:w="5102"/>
          </w:tcPr>
          <w:p>
            <w:r>
              <w:rPr>
                <w:rFonts w:ascii="宋体" w:hAnsi="宋体" w:eastAsia="宋体"/>
                <w:sz w:val="20"/>
              </w:rPr>
              <w:t>完成ISTGCN模型设计与实现；开展对比实验与可解释性分析</w:t>
            </w:r>
          </w:p>
        </w:tc>
        <w:tc>
          <w:tcPr>
            <w:tcW w:type="dxa" w:w="1984"/>
          </w:tcPr>
          <w:p>
            <w:r>
              <w:rPr>
                <w:rFonts w:ascii="宋体" w:hAnsi="宋体" w:eastAsia="宋体"/>
                <w:sz w:val="20"/>
              </w:rPr>
              <w:t>算法代码；论文1篇</w:t>
            </w:r>
          </w:p>
        </w:tc>
      </w:tr>
      <w:tr>
        <w:tc>
          <w:tcPr>
            <w:tcW w:type="dxa" w:w="2268"/>
          </w:tcPr>
          <w:p>
            <w:r>
              <w:rPr>
                <w:rFonts w:ascii="宋体" w:hAnsi="宋体" w:eastAsia="宋体"/>
                <w:sz w:val="20"/>
              </w:rPr>
              <w:t>2027.05—2027.08</w:t>
            </w:r>
          </w:p>
        </w:tc>
        <w:tc>
          <w:tcPr>
            <w:tcW w:type="dxa" w:w="5102"/>
          </w:tcPr>
          <w:p>
            <w:r>
              <w:rPr>
                <w:rFonts w:ascii="宋体" w:hAnsi="宋体" w:eastAsia="宋体"/>
                <w:sz w:val="20"/>
              </w:rPr>
              <w:t>完成SSA-CMAL算法设计与对比实验；完成EBKA算法设计与实现</w:t>
            </w:r>
          </w:p>
        </w:tc>
        <w:tc>
          <w:tcPr>
            <w:tcW w:type="dxa" w:w="1984"/>
          </w:tcPr>
          <w:p>
            <w:r>
              <w:rPr>
                <w:rFonts w:ascii="宋体" w:hAnsi="宋体" w:eastAsia="宋体"/>
                <w:sz w:val="20"/>
              </w:rPr>
              <w:t>算法代码；论文1篇</w:t>
            </w:r>
          </w:p>
        </w:tc>
      </w:tr>
      <w:tr>
        <w:tc>
          <w:tcPr>
            <w:tcW w:type="dxa" w:w="2268"/>
          </w:tcPr>
          <w:p>
            <w:r>
              <w:rPr>
                <w:rFonts w:ascii="宋体" w:hAnsi="宋体" w:eastAsia="宋体"/>
                <w:sz w:val="20"/>
              </w:rPr>
              <w:t>2027.09—2027.12</w:t>
            </w:r>
          </w:p>
        </w:tc>
        <w:tc>
          <w:tcPr>
            <w:tcW w:type="dxa" w:w="5102"/>
          </w:tcPr>
          <w:p>
            <w:r>
              <w:rPr>
                <w:rFonts w:ascii="宋体" w:hAnsi="宋体" w:eastAsia="宋体"/>
                <w:sz w:val="20"/>
              </w:rPr>
              <w:t>完成MFM-BKOA-NTP框架集成；开展跨域泛化实验与消融实验</w:t>
            </w:r>
          </w:p>
        </w:tc>
        <w:tc>
          <w:tcPr>
            <w:tcW w:type="dxa" w:w="1984"/>
          </w:tcPr>
          <w:p>
            <w:r>
              <w:rPr>
                <w:rFonts w:ascii="宋体" w:hAnsi="宋体" w:eastAsia="宋体"/>
                <w:sz w:val="20"/>
              </w:rPr>
              <w:t>框架代码；论文1篇</w:t>
            </w:r>
          </w:p>
        </w:tc>
      </w:tr>
      <w:tr>
        <w:tc>
          <w:tcPr>
            <w:tcW w:type="dxa" w:w="2268"/>
          </w:tcPr>
          <w:p>
            <w:r>
              <w:rPr>
                <w:rFonts w:ascii="宋体" w:hAnsi="宋体" w:eastAsia="宋体"/>
                <w:sz w:val="20"/>
              </w:rPr>
              <w:t>2028.01—2028.04</w:t>
            </w:r>
          </w:p>
        </w:tc>
        <w:tc>
          <w:tcPr>
            <w:tcW w:type="dxa" w:w="5102"/>
          </w:tcPr>
          <w:p>
            <w:r>
              <w:rPr>
                <w:rFonts w:ascii="宋体" w:hAnsi="宋体" w:eastAsia="宋体"/>
                <w:sz w:val="20"/>
              </w:rPr>
              <w:t>完成TTSPM博弈模型设计与求解；开展D2D资源调度仿真实验</w:t>
            </w:r>
          </w:p>
        </w:tc>
        <w:tc>
          <w:tcPr>
            <w:tcW w:type="dxa" w:w="1984"/>
          </w:tcPr>
          <w:p>
            <w:r>
              <w:rPr>
                <w:rFonts w:ascii="宋体" w:hAnsi="宋体" w:eastAsia="宋体"/>
                <w:sz w:val="20"/>
              </w:rPr>
              <w:t>仿真代码；论文1篇</w:t>
            </w:r>
          </w:p>
        </w:tc>
      </w:tr>
      <w:tr>
        <w:tc>
          <w:tcPr>
            <w:tcW w:type="dxa" w:w="2268"/>
          </w:tcPr>
          <w:p>
            <w:r>
              <w:rPr>
                <w:rFonts w:ascii="宋体" w:hAnsi="宋体" w:eastAsia="宋体"/>
                <w:sz w:val="20"/>
              </w:rPr>
              <w:t>2028.05—2028.08</w:t>
            </w:r>
          </w:p>
        </w:tc>
        <w:tc>
          <w:tcPr>
            <w:tcW w:type="dxa" w:w="5102"/>
          </w:tcPr>
          <w:p>
            <w:r>
              <w:rPr>
                <w:rFonts w:ascii="宋体" w:hAnsi="宋体" w:eastAsia="宋体"/>
                <w:sz w:val="20"/>
              </w:rPr>
              <w:t>整理研究成果；撰写结题报告；准备学术论文投稿</w:t>
            </w:r>
          </w:p>
        </w:tc>
        <w:tc>
          <w:tcPr>
            <w:tcW w:type="dxa" w:w="1984"/>
          </w:tcPr>
          <w:p>
            <w:r>
              <w:rPr>
                <w:rFonts w:ascii="宋体" w:hAnsi="宋体" w:eastAsia="宋体"/>
                <w:sz w:val="20"/>
              </w:rPr>
              <w:t>结题报告；论文1—2篇</w:t>
            </w:r>
          </w:p>
        </w:tc>
      </w:tr>
    </w:tbl>
    <w:p>
      <w:pPr>
        <w:spacing w:before="200" w:after="80"/>
        <w:jc w:val="left"/>
      </w:pPr>
      <w:r>
        <w:rPr>
          <w:rFonts w:ascii="黑体" w:hAnsi="黑体" w:eastAsia="黑体"/>
          <w:b/>
          <w:sz w:val="28"/>
        </w:rPr>
        <w:t>4 项目创新之处</w:t>
      </w:r>
    </w:p>
    <w:p>
      <w:pPr>
        <w:spacing w:after="60" w:line="360" w:lineRule="auto"/>
        <w:ind w:firstLine="420"/>
      </w:pPr>
      <w:r>
        <w:rPr>
          <w:rFonts w:ascii="宋体" w:hAnsi="宋体" w:eastAsia="宋体"/>
          <w:b/>
          <w:sz w:val="24"/>
        </w:rPr>
        <w:t>（1）语义原型驱动的可解释图结构学习机制。</w:t>
      </w:r>
      <w:r>
        <w:rPr>
          <w:rFonts w:ascii="宋体" w:hAnsi="宋体" w:eastAsia="宋体"/>
          <w:sz w:val="24"/>
        </w:rPr>
        <w:t>现有图神经网络模型通常依赖固定的邻接矩阵（如地理距离）或完全数据驱动的自适应邻接矩阵，缺乏对依赖关系形成机理的显式刻画。本项目创新性地引入可学习的语义原型记忆库，将节点隐状态映射至典型业务演化模式，通过语义相似度动态生成自适应图结构。该机制不仅提升了模型对动态业务场景的适应能力，还为基站间流量关联提供了可追溯的物理解释，突破了传统GNN"黑箱"属性的局限。</w:t>
      </w:r>
    </w:p>
    <w:p>
      <w:pPr>
        <w:spacing w:after="60" w:line="360" w:lineRule="auto"/>
        <w:ind w:firstLine="420"/>
      </w:pPr>
      <w:r>
        <w:rPr>
          <w:rFonts w:ascii="宋体" w:hAnsi="宋体" w:eastAsia="宋体"/>
          <w:b/>
          <w:sz w:val="24"/>
        </w:rPr>
        <w:t>（2）混沌映射与自适应学习融合的樽海鞘群优化算法。</w:t>
      </w:r>
      <w:r>
        <w:rPr>
          <w:rFonts w:ascii="宋体" w:hAnsi="宋体" w:eastAsia="宋体"/>
          <w:sz w:val="24"/>
        </w:rPr>
        <w:t>传统群体智能优化算法（如PSO、GA、SSA）在初始化阶段采用随机策略，易导致解空间覆盖不均匀。本项目将混沌正弦映射引入种群初始化，结合自适应领导者/跟随者比例划分策略，有效平衡全局勘探与局部开发能力。同时，为跟随者设计基于适应度比值的动态学习系数，使算法在迭代过程中自动调整搜索步长，显著提升了在高维非凸空间中的收敛速度与全局寻优效能。</w:t>
      </w:r>
    </w:p>
    <w:p>
      <w:pPr>
        <w:spacing w:after="60" w:line="360" w:lineRule="auto"/>
        <w:ind w:firstLine="420"/>
      </w:pPr>
      <w:r>
        <w:rPr>
          <w:rFonts w:ascii="宋体" w:hAnsi="宋体" w:eastAsia="宋体"/>
          <w:b/>
          <w:sz w:val="24"/>
        </w:rPr>
        <w:t>（3）大语言模型微调驱动的自动化模型选择与超参数优化。</w:t>
      </w:r>
      <w:r>
        <w:rPr>
          <w:rFonts w:ascii="宋体" w:hAnsi="宋体" w:eastAsia="宋体"/>
          <w:sz w:val="24"/>
        </w:rPr>
        <w:t>现有AutoML方法（如AutoGluon、TPOT）主要依赖启发式搜索或元学习表格匹配进行模型选择，在面对跨域、异构数据时泛化能力有限。本项目创新性地利用LoRA微调技术对DeepSeek大语言模型进行适配，以38维元特征为输入，通过大模型的逻辑推理能力实现从数据统计特征到最优预测算子的智能映射。同时，结合经验驱动的黑翅鸢优化算法，实现端到端的全流程自动化预测，显著降低了模型部署的人工干预成本。</w:t>
      </w:r>
    </w:p>
    <w:p>
      <w:pPr>
        <w:spacing w:after="60" w:line="360" w:lineRule="auto"/>
        <w:ind w:firstLine="420"/>
      </w:pPr>
      <w:r>
        <w:rPr>
          <w:rFonts w:ascii="宋体" w:hAnsi="宋体" w:eastAsia="宋体"/>
          <w:b/>
          <w:sz w:val="24"/>
        </w:rPr>
        <w:t>（4）基于博弈论的D2D中继通信资源联合调度方法。</w:t>
      </w:r>
      <w:r>
        <w:rPr>
          <w:rFonts w:ascii="宋体" w:hAnsi="宋体" w:eastAsia="宋体"/>
          <w:sz w:val="24"/>
        </w:rPr>
        <w:t>传统D2D资源分配方法通常采用固定时长或固定功率的策略，难以适配动态变化的信道条件。本项目将传输时间选择与功率管理整合为统一的混合整数非线性规划模型，并创造性地引入非合作博弈机制处理非凸场景。通过Glicksberg不动点定理严格证明纳什均衡的存在性，为算法收敛性提供理论保障。仿真结果表明，所提方法在保障服务质量的前提下，系统总能耗降低48%至77%，失败率较基准方法降低约88%至94%。</w:t>
      </w:r>
    </w:p>
    <w:p>
      <w:pPr>
        <w:spacing w:before="200" w:after="80"/>
        <w:jc w:val="left"/>
      </w:pPr>
      <w:r>
        <w:rPr>
          <w:rFonts w:ascii="黑体" w:hAnsi="黑体" w:eastAsia="黑体"/>
          <w:b/>
          <w:sz w:val="28"/>
        </w:rPr>
        <w:t>5 工作基础与工作条件</w:t>
      </w:r>
    </w:p>
    <w:p>
      <w:pPr>
        <w:spacing w:before="160" w:after="80"/>
        <w:jc w:val="left"/>
      </w:pPr>
      <w:r>
        <w:rPr>
          <w:rFonts w:ascii="黑体" w:hAnsi="黑体" w:eastAsia="黑体"/>
          <w:b/>
          <w:sz w:val="24"/>
        </w:rPr>
        <w:t>5.1 工作基础</w:t>
      </w:r>
    </w:p>
    <w:p>
      <w:pPr>
        <w:spacing w:after="60" w:line="360" w:lineRule="auto"/>
        <w:ind w:firstLine="420"/>
      </w:pPr>
      <w:r>
        <w:rPr>
          <w:rFonts w:ascii="宋体" w:hAnsi="宋体" w:eastAsia="宋体"/>
          <w:sz w:val="24"/>
        </w:rPr>
        <w:t>申请者及项目团队在高维时序网络流量预测与资源调度领域已积累了扎实的研究基础：</w:t>
      </w:r>
    </w:p>
    <w:p>
      <w:pPr>
        <w:spacing w:after="60" w:line="360" w:lineRule="auto"/>
        <w:ind w:firstLine="420"/>
      </w:pPr>
      <w:r>
        <w:rPr>
          <w:rFonts w:ascii="宋体" w:hAnsi="宋体" w:eastAsia="宋体"/>
          <w:b/>
          <w:sz w:val="24"/>
        </w:rPr>
        <w:t>（1）网络业务预测与智能管理相关研究积累。</w:t>
      </w:r>
      <w:r>
        <w:rPr>
          <w:rFonts w:ascii="宋体" w:hAnsi="宋体" w:eastAsia="宋体"/>
          <w:sz w:val="24"/>
        </w:rPr>
        <w:t>项目团队针对海量业务行为表征分析与预测，与英国谢菲尔德大学Jie Zhang教授、Xiaoli Chu教授团队及美国佛罗里达大学Yuguang Fang教授合作，初步筛选出能够反映预测任务属性的元特征候选集合，并借助元特征提取与元学习理论，提出了基于深度学习、遗传优化算法和大语言模型的海量网络业务行为表征预测模型超参数黑盒式优化算法。相关研究成果已在《IEEE Wireless Communications》和《IEEE Transactions on Wireless Communications》等通信领域国内外主流期刊发表。项目团队针对网络业务时空分布特征和业务间互相关性，提出了一种基于深度注意力机制的可解释性行为表征建模与预测方法，为本项目ISTGCN模型的语义原型设计奠定了理论与方法基础。</w:t>
      </w:r>
    </w:p>
    <w:p>
      <w:pPr>
        <w:spacing w:after="60" w:line="360" w:lineRule="auto"/>
        <w:ind w:firstLine="420"/>
      </w:pPr>
      <w:r>
        <w:rPr>
          <w:rFonts w:ascii="宋体" w:hAnsi="宋体" w:eastAsia="宋体"/>
          <w:b/>
          <w:sz w:val="24"/>
        </w:rPr>
        <w:t>（2）接入网通信资源管理相关研究积累。</w:t>
      </w:r>
      <w:r>
        <w:rPr>
          <w:rFonts w:ascii="宋体" w:hAnsi="宋体" w:eastAsia="宋体"/>
          <w:sz w:val="24"/>
        </w:rPr>
        <w:t>项目团队针对复用相同网络资源的共存传输链路，提出了一系列基于现代优化理论的通信资源管理算法，相关研究成果已发表在《IEEE Transactions on Vehicular Technology》、《IEEE Communications Letters》与《IEEE Wireless Communications Letters》等通信领域主流期刊。面向连续时间片和确定性信道条件假设，项目团队将考虑网络拓扑/终端设备动态性的接入网通信资源管理问题转化为连续马尔可夫决策过程，提出基于多智能体深度强化学习的问题求解架构。特别地，申请者已在D2D中继通信资源调度方向取得阶段性成果：以第一作者在《The Journal of Supercomputing》（SCI）发表"Energy-saving transmission time and power management for D2D connection with a relay node using the same band with a cellular connection"，为本项目TTSPM博弈模型的构建提供了直接的前期基础。</w:t>
      </w:r>
    </w:p>
    <w:p>
      <w:pPr>
        <w:spacing w:after="60" w:line="360" w:lineRule="auto"/>
        <w:ind w:firstLine="420"/>
      </w:pPr>
      <w:r>
        <w:rPr>
          <w:rFonts w:ascii="宋体" w:hAnsi="宋体" w:eastAsia="宋体"/>
          <w:b/>
          <w:sz w:val="24"/>
        </w:rPr>
        <w:t>（3）已取得的代表性成果。</w:t>
      </w:r>
      <w:r>
        <w:rPr>
          <w:rFonts w:ascii="宋体" w:hAnsi="宋体" w:eastAsia="宋体"/>
          <w:sz w:val="24"/>
        </w:rPr>
        <w:t>申请者以第一作者或通信作者在国内外核心期刊发表学术论文：[1]蒋献等，基于元特征映射与经验黑翅鸢优化的自动化网络流量预测框架，《通信学报》，2025,46(12):326-346（第一作者，国内一级期刊）；[2]Jiang X et al., Energy-saving transmission time and power management for D2D connection, The Journal of Supercomputing, 2025, 81:1150（第一作者，SCI）；[3]董黎刚等，ResilM-IBN：一种自愈型多智能体网络管理框架，《通信学报》，2026,47(01):250-266（通信作者，国内一级期刊）。</w:t>
      </w:r>
    </w:p>
    <w:p>
      <w:pPr>
        <w:spacing w:before="160" w:after="80"/>
        <w:jc w:val="left"/>
      </w:pPr>
      <w:r>
        <w:rPr>
          <w:rFonts w:ascii="黑体" w:hAnsi="黑体" w:eastAsia="黑体"/>
          <w:b/>
          <w:sz w:val="24"/>
        </w:rPr>
        <w:t>5.2 工作条件</w:t>
      </w:r>
    </w:p>
    <w:p>
      <w:pPr>
        <w:spacing w:after="60" w:line="360" w:lineRule="auto"/>
        <w:ind w:firstLine="420"/>
      </w:pPr>
      <w:r>
        <w:rPr>
          <w:rFonts w:ascii="宋体" w:hAnsi="宋体" w:eastAsia="宋体"/>
          <w:sz w:val="24"/>
        </w:rPr>
        <w:t>本项目依托浙江工商大学"浙江省新型网络标准及应用技术重点实验室"（省级重点实验室），拥有优越的软硬件研究环境：</w:t>
      </w:r>
    </w:p>
    <w:p>
      <w:pPr>
        <w:spacing w:after="60" w:line="360" w:lineRule="auto"/>
        <w:ind w:firstLine="420"/>
      </w:pPr>
      <w:r>
        <w:rPr>
          <w:rFonts w:ascii="宋体" w:hAnsi="宋体" w:eastAsia="宋体"/>
          <w:b/>
          <w:sz w:val="24"/>
        </w:rPr>
        <w:t>（1）人工智能超算中心：</w:t>
      </w:r>
      <w:r>
        <w:rPr>
          <w:rFonts w:ascii="宋体" w:hAnsi="宋体" w:eastAsia="宋体"/>
          <w:sz w:val="24"/>
        </w:rPr>
        <w:t>配备NVIDIA A40显卡26块（每块48GB显存），可提供972.4 TFLOPS计算能力，支持深度学习模型（ISTGCN、DeepSeek大模型等）的训练、测试与验证。</w:t>
      </w:r>
    </w:p>
    <w:p>
      <w:pPr>
        <w:spacing w:after="60" w:line="360" w:lineRule="auto"/>
        <w:ind w:firstLine="420"/>
      </w:pPr>
      <w:r>
        <w:rPr>
          <w:rFonts w:ascii="宋体" w:hAnsi="宋体" w:eastAsia="宋体"/>
          <w:b/>
          <w:sz w:val="24"/>
        </w:rPr>
        <w:t>（2）网络功能资源池：</w:t>
      </w:r>
      <w:r>
        <w:rPr>
          <w:rFonts w:ascii="宋体" w:hAnsi="宋体" w:eastAsia="宋体"/>
          <w:sz w:val="24"/>
        </w:rPr>
        <w:t>配备HP DL380、HP DL580系列服务器24台，光交换机2台，专业云存储设备4台/套，具备虚拟网络功能设备实例化能力。</w:t>
      </w:r>
    </w:p>
    <w:p>
      <w:pPr>
        <w:spacing w:after="60" w:line="360" w:lineRule="auto"/>
        <w:ind w:firstLine="420"/>
      </w:pPr>
      <w:r>
        <w:rPr>
          <w:rFonts w:ascii="宋体" w:hAnsi="宋体" w:eastAsia="宋体"/>
          <w:b/>
          <w:sz w:val="24"/>
        </w:rPr>
        <w:t>（3）高端网络测试设备：</w:t>
      </w:r>
      <w:r>
        <w:rPr>
          <w:rFonts w:ascii="宋体" w:hAnsi="宋体" w:eastAsia="宋体"/>
          <w:sz w:val="24"/>
        </w:rPr>
        <w:t>Spirent TESTCENTER高性能网络综合业务测试系统、SmartBits 600百兆级网络及路由测试仪、Avalanche 290千兆级高性能网络安全测试仪。</w:t>
      </w:r>
    </w:p>
    <w:p>
      <w:pPr>
        <w:spacing w:after="60" w:line="360" w:lineRule="auto"/>
        <w:ind w:firstLine="420"/>
      </w:pPr>
      <w:r>
        <w:rPr>
          <w:rFonts w:ascii="宋体" w:hAnsi="宋体" w:eastAsia="宋体"/>
          <w:b/>
          <w:sz w:val="24"/>
        </w:rPr>
        <w:t>（4）无人机开发平台：</w:t>
      </w:r>
      <w:r>
        <w:rPr>
          <w:rFonts w:ascii="宋体" w:hAnsi="宋体" w:eastAsia="宋体"/>
          <w:sz w:val="24"/>
        </w:rPr>
        <w:t>sp-plane4a开源无人机2架、大疆RoboMaster TT可编程无人机10架，可用于构建空天地一体化低空接入网半实物实验演示平台。</w:t>
      </w:r>
    </w:p>
    <w:p>
      <w:pPr>
        <w:spacing w:after="60" w:line="360" w:lineRule="auto"/>
        <w:ind w:firstLine="420"/>
      </w:pPr>
      <w:r>
        <w:rPr>
          <w:rFonts w:ascii="宋体" w:hAnsi="宋体" w:eastAsia="宋体"/>
          <w:b/>
          <w:sz w:val="24"/>
        </w:rPr>
        <w:t>（5）博士后在站单位支撑：</w:t>
      </w:r>
      <w:r>
        <w:rPr>
          <w:rFonts w:ascii="宋体" w:hAnsi="宋体" w:eastAsia="宋体"/>
          <w:sz w:val="24"/>
        </w:rPr>
        <w:t>申请者在职博士后在站单位南京大学"空天地一体化智能信息网络研究所"，拥有高水平研究团队。团队开发的空天地一体化低空接入网仿真软件Ultra Star（获中国通信学会、中国电子学会"年度中国物联网领域十大科技进展"）可为本项目系统级仿真平台提供技术支撑。</w:t>
      </w:r>
    </w:p>
    <w:p>
      <w:pPr>
        <w:spacing w:after="60" w:line="360" w:lineRule="auto"/>
        <w:ind w:firstLine="420"/>
      </w:pPr>
      <w:r>
        <w:rPr>
          <w:rFonts w:ascii="宋体" w:hAnsi="宋体" w:eastAsia="宋体"/>
          <w:sz w:val="24"/>
        </w:rPr>
        <w:t>综上，本项目研究已具备齐全的软硬件设备环境。在以上研究条件的基础上，申请团队有信心通过本项目的资助，高效高质量地完成项目的研究目标。</w:t>
      </w:r>
    </w:p>
    <w:p>
      <w:pPr>
        <w:spacing w:before="200" w:after="80"/>
        <w:jc w:val="left"/>
      </w:pPr>
      <w:r>
        <w:rPr>
          <w:rFonts w:ascii="黑体" w:hAnsi="黑体" w:eastAsia="黑体"/>
          <w:b/>
          <w:sz w:val="28"/>
        </w:rPr>
        <w:t>6 预期研究结果</w:t>
      </w:r>
    </w:p>
    <w:p>
      <w:pPr>
        <w:spacing w:before="160" w:after="80"/>
        <w:jc w:val="left"/>
      </w:pPr>
      <w:r>
        <w:rPr>
          <w:rFonts w:ascii="黑体" w:hAnsi="黑体" w:eastAsia="黑体"/>
          <w:b/>
          <w:sz w:val="24"/>
        </w:rPr>
        <w:t>6.1 学术成果</w:t>
      </w:r>
    </w:p>
    <w:p>
      <w:pPr>
        <w:spacing w:after="60" w:line="360" w:lineRule="auto"/>
        <w:ind w:firstLine="420"/>
      </w:pPr>
      <w:r>
        <w:rPr>
          <w:rFonts w:ascii="宋体" w:hAnsi="宋体" w:eastAsia="宋体"/>
          <w:sz w:val="24"/>
        </w:rPr>
        <w:t>在IEEE Transactions on Wireless Communications、IEEE Internet of Things Journal、通信学报等国内外高水平期刊和会议上发表学术论文3—5篇；申请国家发明专利2—3项。</w:t>
      </w:r>
    </w:p>
    <w:p>
      <w:pPr>
        <w:spacing w:before="160" w:after="80"/>
        <w:jc w:val="left"/>
      </w:pPr>
      <w:r>
        <w:rPr>
          <w:rFonts w:ascii="黑体" w:hAnsi="黑体" w:eastAsia="黑体"/>
          <w:b/>
          <w:sz w:val="24"/>
        </w:rPr>
        <w:t>6.2 技术成果</w:t>
      </w:r>
    </w:p>
    <w:p>
      <w:pPr>
        <w:spacing w:after="60" w:line="360" w:lineRule="auto"/>
        <w:ind w:firstLine="420"/>
      </w:pPr>
      <w:r>
        <w:rPr>
          <w:rFonts w:ascii="宋体" w:hAnsi="宋体" w:eastAsia="宋体"/>
          <w:sz w:val="24"/>
        </w:rPr>
        <w:t>构建跨域网络流量基准数据集（NetTra-2025）；开发ISTGCN可解释性网络流量预测模型、SSA-CMAL超参数优化算法、EBKA经验驱动优化算法及MFM-BKOA-NTP自动化预测框架，形成完整的算法代码库；建立D2D中继通信TTSPM博弈模型与仿真平台。</w:t>
      </w:r>
    </w:p>
    <w:p>
      <w:pPr>
        <w:spacing w:before="160" w:after="80"/>
        <w:jc w:val="left"/>
      </w:pPr>
      <w:r>
        <w:rPr>
          <w:rFonts w:ascii="黑体" w:hAnsi="黑体" w:eastAsia="黑体"/>
          <w:b/>
          <w:sz w:val="24"/>
        </w:rPr>
        <w:t>6.3 人才培养</w:t>
      </w:r>
    </w:p>
    <w:p>
      <w:pPr>
        <w:spacing w:after="60" w:line="360" w:lineRule="auto"/>
        <w:ind w:firstLine="420"/>
      </w:pPr>
      <w:r>
        <w:rPr>
          <w:rFonts w:ascii="宋体" w:hAnsi="宋体" w:eastAsia="宋体"/>
          <w:sz w:val="24"/>
        </w:rPr>
        <w:t>培养硕士研究生2—3名，协助培养博士研究生1名。</w:t>
      </w:r>
    </w:p>
    <w:p>
      <w:pPr>
        <w:spacing w:before="160" w:after="80"/>
        <w:jc w:val="left"/>
      </w:pPr>
      <w:r>
        <w:rPr>
          <w:rFonts w:ascii="黑体" w:hAnsi="黑体" w:eastAsia="黑体"/>
          <w:b/>
          <w:sz w:val="24"/>
        </w:rPr>
        <w:t>6.4 社会经济效益</w:t>
      </w:r>
    </w:p>
    <w:p>
      <w:pPr>
        <w:spacing w:after="60" w:line="360" w:lineRule="auto"/>
        <w:ind w:firstLine="420"/>
      </w:pPr>
      <w:r>
        <w:rPr>
          <w:rFonts w:ascii="宋体" w:hAnsi="宋体" w:eastAsia="宋体"/>
          <w:sz w:val="24"/>
        </w:rPr>
        <w:t>研究成果可直接应用于移动通信网络的智能运维与资源管理，提升网络流量预测精度与资源利用效率，降低通信系统能耗，为浙江省数字经济和5G/6G产业发展提供技术支撑。自动化预测框架可降低AI模型部署的人工成本，推动大数据统计与人工智能技术在通信领域的深度融合与产业化应用。</w:t>
      </w:r>
    </w:p>
    <w:p>
      <w:pPr>
        <w:spacing w:before="200" w:after="80"/>
        <w:jc w:val="left"/>
      </w:pPr>
      <w:r>
        <w:rPr>
          <w:rFonts w:ascii="黑体" w:hAnsi="黑体" w:eastAsia="黑体"/>
          <w:b/>
          <w:sz w:val="28"/>
        </w:rPr>
        <w:t>7 参考文献</w:t>
      </w:r>
    </w:p>
    <w:p>
      <w:pPr>
        <w:spacing w:after="40" w:line="300" w:lineRule="auto"/>
        <w:ind w:firstLine="420"/>
      </w:pPr>
      <w:r>
        <w:rPr>
          <w:rFonts w:ascii="宋体" w:hAnsi="宋体" w:eastAsia="宋体"/>
          <w:sz w:val="20"/>
        </w:rPr>
        <w:t>[1] 覃雄派, 王会举, 杜小勇, 等. 大数据分析—RDBMS与MapReduce的竞争与共生[J]. 软件学报, 2012, 23(1): 1-13.</w:t>
      </w:r>
    </w:p>
    <w:p>
      <w:pPr>
        <w:spacing w:after="40" w:line="300" w:lineRule="auto"/>
        <w:ind w:firstLine="420"/>
      </w:pPr>
      <w:r>
        <w:rPr>
          <w:rFonts w:ascii="宋体" w:hAnsi="宋体" w:eastAsia="宋体"/>
          <w:sz w:val="20"/>
        </w:rPr>
        <w:t>[2] Ferreira G O, Ravazzi C, Dabbene F, et al. Forecasting network traffic: A survey and tutorial with open-source comparative evaluation[J]. IEEE Access, 2023, 11: 6018-6044.</w:t>
      </w:r>
    </w:p>
    <w:p>
      <w:pPr>
        <w:spacing w:after="40" w:line="300" w:lineRule="auto"/>
        <w:ind w:firstLine="420"/>
      </w:pPr>
      <w:r>
        <w:rPr>
          <w:rFonts w:ascii="宋体" w:hAnsi="宋体" w:eastAsia="宋体"/>
          <w:sz w:val="20"/>
        </w:rPr>
        <w:t>[3] 康梦轩, 宋俊平, 范鹏飞, 等. 基于深度学习的网络流量预测研究综述[J]. 计算机工程与应用, 2021, 57(10): 9-16.</w:t>
      </w:r>
    </w:p>
    <w:p>
      <w:pPr>
        <w:spacing w:after="40" w:line="300" w:lineRule="auto"/>
        <w:ind w:firstLine="420"/>
      </w:pPr>
      <w:r>
        <w:rPr>
          <w:rFonts w:ascii="宋体" w:hAnsi="宋体" w:eastAsia="宋体"/>
          <w:sz w:val="20"/>
        </w:rPr>
        <w:t>[4] Li Y, Yu R, Shahabi C, et al. Diffusion convolutional recurrent neural network: Data-driven traffic forecasting[J]. arXiv preprint arXiv:1707.01926, 2017.</w:t>
      </w:r>
    </w:p>
    <w:p>
      <w:pPr>
        <w:spacing w:after="40" w:line="300" w:lineRule="auto"/>
        <w:ind w:firstLine="420"/>
      </w:pPr>
      <w:r>
        <w:rPr>
          <w:rFonts w:ascii="宋体" w:hAnsi="宋体" w:eastAsia="宋体"/>
          <w:sz w:val="20"/>
        </w:rPr>
        <w:t>[5] Guo S, Lin Y, Feng N, et al. Attention based spatial-temporal graph convolutional networks for traffic flow forecasting[C]//Proceedings of the AAAI Conference on Artificial Intelligence. 2019, 33(1): 922-929.</w:t>
      </w:r>
    </w:p>
    <w:p>
      <w:pPr>
        <w:spacing w:after="40" w:line="300" w:lineRule="auto"/>
        <w:ind w:firstLine="420"/>
      </w:pPr>
      <w:r>
        <w:rPr>
          <w:rFonts w:ascii="宋体" w:hAnsi="宋体" w:eastAsia="宋体"/>
          <w:sz w:val="20"/>
        </w:rPr>
        <w:t>[6] Vaswani A, Shazeer N, Parmar N, et al. Attention is all you need[J]. Advances in Neural Information Processing Systems, 2017, 30: 5998-6008.</w:t>
      </w:r>
    </w:p>
    <w:p>
      <w:pPr>
        <w:spacing w:after="40" w:line="300" w:lineRule="auto"/>
        <w:ind w:firstLine="420"/>
      </w:pPr>
      <w:r>
        <w:rPr>
          <w:rFonts w:ascii="宋体" w:hAnsi="宋体" w:eastAsia="宋体"/>
          <w:sz w:val="20"/>
        </w:rPr>
        <w:t>[7] Bergstra J, Bengio Y. Random search for hyper-parameter optimization[J]. The Journal of Machine Learning Research, 2012, 13(1): 281-305.</w:t>
      </w:r>
    </w:p>
    <w:p>
      <w:pPr>
        <w:spacing w:after="40" w:line="300" w:lineRule="auto"/>
        <w:ind w:firstLine="420"/>
      </w:pPr>
      <w:r>
        <w:rPr>
          <w:rFonts w:ascii="宋体" w:hAnsi="宋体" w:eastAsia="宋体"/>
          <w:sz w:val="20"/>
        </w:rPr>
        <w:t>[8] Snoek J, Larochelle H, Adams R P. Practical bayesian optimization of machine learning algorithms[J]. Advances in Neural Information Processing Systems, 2012, 25: 1-9.</w:t>
      </w:r>
    </w:p>
    <w:p>
      <w:pPr>
        <w:spacing w:after="40" w:line="300" w:lineRule="auto"/>
        <w:ind w:firstLine="420"/>
      </w:pPr>
      <w:r>
        <w:rPr>
          <w:rFonts w:ascii="宋体" w:hAnsi="宋体" w:eastAsia="宋体"/>
          <w:sz w:val="20"/>
        </w:rPr>
        <w:t>[9] Li L, Jamieson K, DeSalvo G, et al. Hyperband: A novel bandit-based approach to hyperparameter optimization[J]. Journal of Machine Learning Research, 2018, 18(185): 1-52.</w:t>
      </w:r>
    </w:p>
    <w:p>
      <w:pPr>
        <w:spacing w:after="40" w:line="300" w:lineRule="auto"/>
        <w:ind w:firstLine="420"/>
      </w:pPr>
      <w:r>
        <w:rPr>
          <w:rFonts w:ascii="宋体" w:hAnsi="宋体" w:eastAsia="宋体"/>
          <w:sz w:val="20"/>
        </w:rPr>
        <w:t>[10] Mirjalili S, Gandomi A H, Mirjalili S Z, et al. Salp Swarm Algorithm: A bio-inspired optimizer for engineering design problems[J]. Advances in Engineering Software, 2017, 114: 163-191.</w:t>
      </w:r>
    </w:p>
    <w:p>
      <w:pPr>
        <w:spacing w:after="40" w:line="300" w:lineRule="auto"/>
        <w:ind w:firstLine="420"/>
      </w:pPr>
      <w:r>
        <w:rPr>
          <w:rFonts w:ascii="宋体" w:hAnsi="宋体" w:eastAsia="宋体"/>
          <w:sz w:val="20"/>
        </w:rPr>
        <w:t>[11] Zhang Z, Wu Y, Chu X, et al. Energy-efficient transmission rate selection and power control for relay-assisted device-to-device communications underlaying cellular networks[J]. IEEE Wireless Communications Letters, 2020, 9(8): 1133-1136.</w:t>
      </w:r>
    </w:p>
    <w:p>
      <w:pPr>
        <w:spacing w:after="40" w:line="300" w:lineRule="auto"/>
        <w:ind w:firstLine="420"/>
      </w:pPr>
      <w:r>
        <w:rPr>
          <w:rFonts w:ascii="宋体" w:hAnsi="宋体" w:eastAsia="宋体"/>
          <w:sz w:val="20"/>
        </w:rPr>
        <w:t>[12] Jiang X, Chen S, Gou J, et al. Meta-feature mapping and black-winged kite optimization-based automated network traffic prediction framework[J]. 通信学报, 2025, 46(12): 326-346.</w:t>
      </w:r>
    </w:p>
    <w:p>
      <w:pPr>
        <w:spacing w:after="40" w:line="300" w:lineRule="auto"/>
        <w:ind w:firstLine="420"/>
      </w:pPr>
      <w:r>
        <w:rPr>
          <w:rFonts w:ascii="宋体" w:hAnsi="宋体" w:eastAsia="宋体"/>
          <w:sz w:val="20"/>
        </w:rPr>
        <w:t>[13] 张子天*, 温之馨, 诸葛斌, 等. 基于图卷积神经网络的分解可解释性的蜂窝网络流量预测模型[J]. 电信科学, 2025, 41(9).</w:t>
      </w:r>
    </w:p>
    <w:p>
      <w:pPr>
        <w:spacing w:after="40" w:line="300" w:lineRule="auto"/>
        <w:ind w:firstLine="420"/>
      </w:pPr>
      <w:r>
        <w:rPr>
          <w:rFonts w:ascii="宋体" w:hAnsi="宋体" w:eastAsia="宋体"/>
          <w:sz w:val="20"/>
        </w:rPr>
        <w:t>[14] Wang L, Zhang J, Gao Y, et al. Hyperparameter optimization for wireless network traffic prediction models with a novel meta-learning framework[J]. IEEE Internet of Things Journal, 2025, 12(15): 29514-29528.</w:t>
      </w:r>
    </w:p>
    <w:p>
      <w:pPr>
        <w:spacing w:after="40" w:line="300" w:lineRule="auto"/>
        <w:ind w:firstLine="420"/>
      </w:pPr>
      <w:r>
        <w:rPr>
          <w:rFonts w:ascii="宋体" w:hAnsi="宋体" w:eastAsia="宋体"/>
          <w:sz w:val="20"/>
        </w:rPr>
        <w:t>[15] Li F, Zhang Z, Chu X, et al. A meta-learning based framework for cell-level mobile network traffic prediction[J]. IEEE Transactions on Wireless Communications, 2023, 22(6): 4264-4280.</w:t>
      </w:r>
    </w:p>
    <w:p>
      <w:pPr>
        <w:spacing w:after="40" w:line="300" w:lineRule="auto"/>
        <w:ind w:firstLine="420"/>
      </w:pPr>
      <w:r>
        <w:rPr>
          <w:rFonts w:ascii="宋体" w:hAnsi="宋体" w:eastAsia="宋体"/>
          <w:sz w:val="20"/>
        </w:rPr>
        <w:t>[16] Zhang Z, Zheng Y, Chu X, et al. Low-latency content delivery in high-speed railway communication systems enabled by space-terrestrial integrated networks[J]. IEEE Transactions on Wireless Communications, early access.</w:t>
      </w:r>
    </w:p>
    <w:p>
      <w:pPr>
        <w:spacing w:after="40" w:line="300" w:lineRule="auto"/>
        <w:ind w:firstLine="420"/>
      </w:pPr>
      <w:r>
        <w:rPr>
          <w:rFonts w:ascii="宋体" w:hAnsi="宋体" w:eastAsia="宋体"/>
          <w:sz w:val="20"/>
        </w:rPr>
        <w:t>[17] Ma B, Zhang Z, Zhang J, et al. Time efficient joint UAV-BS deployment and user association based on machine learning[J]. IEEE Internet of Things Journal, 2023, 10(14): 13077-13094.</w:t>
      </w:r>
    </w:p>
    <w:p>
      <w:pPr>
        <w:spacing w:after="40" w:line="300" w:lineRule="auto"/>
        <w:ind w:firstLine="420"/>
      </w:pPr>
      <w:r>
        <w:rPr>
          <w:rFonts w:ascii="宋体" w:hAnsi="宋体" w:eastAsia="宋体"/>
          <w:sz w:val="20"/>
        </w:rPr>
        <w:t>[18] Zhang Z, Hou J, Chu X, et al. Multi-agent deep reinforcement learning based downlink beamforming in heterogeneous networks[J]. IEEE Transactions on Wireless Communications, 2023, 22(6): 4247-4263.</w:t>
      </w:r>
    </w:p>
    <w:p>
      <w:pPr>
        <w:spacing w:after="40" w:line="300" w:lineRule="auto"/>
        <w:ind w:firstLine="420"/>
      </w:pPr>
      <w:r>
        <w:rPr>
          <w:rFonts w:ascii="宋体" w:hAnsi="宋体" w:eastAsia="宋体"/>
          <w:sz w:val="20"/>
        </w:rPr>
        <w:t>[19] Gao Y, Zhang Z, Hu H, et al. Fair and efficiency coexistence between NR-U and WiGig networks enabled by a matching-based framework with forbidden pairs[J]. IEEE Transactions on Vehicular Technology, 2023, 72(9): 11814-11827.</w:t>
      </w:r>
    </w:p>
    <w:p>
      <w:pPr>
        <w:spacing w:after="40" w:line="300" w:lineRule="auto"/>
        <w:ind w:firstLine="420"/>
      </w:pPr>
      <w:r>
        <w:rPr>
          <w:rFonts w:ascii="宋体" w:hAnsi="宋体" w:eastAsia="宋体"/>
          <w:sz w:val="20"/>
        </w:rPr>
        <w:t>[20] Yang S, Zhang Z, Zhang J, et al. Impact of rotary-wing UAV wobbling on millimeter-wave air-to-ground wireless channel[J]. IEEE Transactions on Vehicular Technology, 2022, 71(9): 9174-9185.</w:t>
      </w:r>
    </w:p>
    <w:p>
      <w:pPr>
        <w:spacing w:after="40" w:line="300" w:lineRule="auto"/>
        <w:ind w:firstLine="420"/>
      </w:pPr>
      <w:r>
        <w:rPr>
          <w:rFonts w:ascii="宋体" w:hAnsi="宋体" w:eastAsia="宋体"/>
          <w:sz w:val="20"/>
        </w:rPr>
        <w:t>[21] Nie Y, Nguyen N, Sinha S, et al. A time series is worth 16 words: An efficient and scalable transformer-based model for time series forecasting[C]//International Conference on Learning Representations. 2023.</w:t>
      </w:r>
    </w:p>
    <w:p>
      <w:pPr>
        <w:spacing w:after="40" w:line="300" w:lineRule="auto"/>
        <w:ind w:firstLine="420"/>
      </w:pPr>
      <w:r>
        <w:rPr>
          <w:rFonts w:ascii="宋体" w:hAnsi="宋体" w:eastAsia="宋体"/>
          <w:sz w:val="20"/>
        </w:rPr>
        <w:t>[22] Zhou H, Zhang S, Peng J, et al. Informer: Beyond efficient transformer for long sequence time-series forecasting[C]//Proceedings of the AAAI Conference on Artificial Intelligence. 2021, 35(12): 11106-11115.</w:t>
      </w:r>
    </w:p>
    <w:p>
      <w:pPr>
        <w:spacing w:after="40" w:line="300" w:lineRule="auto"/>
        <w:ind w:firstLine="420"/>
      </w:pPr>
      <w:r>
        <w:rPr>
          <w:rFonts w:ascii="宋体" w:hAnsi="宋体" w:eastAsia="宋体"/>
          <w:sz w:val="20"/>
        </w:rPr>
        <w:t>[23] Wu H, Xu J, Wang J, et al. Autoformer: Decomposition transformers with auto-correlation for long-term series forecasting[J]. Advances in Neural Information Processing Systems, 2021, 34: 22419-22430.</w:t>
      </w:r>
    </w:p>
    <w:p>
      <w:pPr>
        <w:spacing w:after="40" w:line="300" w:lineRule="auto"/>
        <w:ind w:firstLine="420"/>
      </w:pPr>
      <w:r>
        <w:rPr>
          <w:rFonts w:ascii="宋体" w:hAnsi="宋体" w:eastAsia="宋体"/>
          <w:sz w:val="20"/>
        </w:rPr>
        <w:t>[24] Falkner S, Klein A, Hutter F. BOHB: Robust and efficient hyperparameter optimization at scale[C]//International Conference on Machine Learning. PMLR, 2018: 1437-1446.</w:t>
      </w:r>
    </w:p>
    <w:p>
      <w:pPr>
        <w:spacing w:after="40" w:line="300" w:lineRule="auto"/>
        <w:ind w:firstLine="420"/>
      </w:pPr>
      <w:r>
        <w:rPr>
          <w:rFonts w:ascii="宋体" w:hAnsi="宋体" w:eastAsia="宋体"/>
          <w:sz w:val="20"/>
        </w:rPr>
        <w:t>[25] Abualigah L, Shehab M, Alshinwan M, et al. Salp swarm algorithm: A comprehensive survey[J]. Neural Computing and Applications, 2020, 32(15): 11195-11215.</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