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时代中职学校计算机专业教学创新的研究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技术快速发展，改变就业市场</w:t>
      </w:r>
      <w:r>
        <w:t xml:space="preserve"> </w:t>
      </w:r>
      <w:r>
        <w:t xml:space="preserve">- AI </w:t>
      </w:r>
      <w:r>
        <w:rPr>
          <w:rFonts w:hint="eastAsia"/>
        </w:rPr>
        <w:t xml:space="preserve">相关岗位需求年增长</w:t>
      </w:r>
      <w:r>
        <w:t xml:space="preserve"> 45%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中职计算机专业面临转型压力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课程内容滞后于技术发展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教学方法单一，学生被动学习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评价方式落后，重知识轻能力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</w:t>
      </w:r>
      <w:r>
        <w:t xml:space="preserve"> AI </w:t>
      </w:r>
      <w:r>
        <w:rPr>
          <w:rFonts w:hint="eastAsia"/>
        </w:rPr>
        <w:t xml:space="preserve">素养不足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时代职业教育教学创新理论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实践价值：为中职计算机专业改革提供可操作策略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中职计算机专业教师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教育行政部门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人工智能技术广泛应用的时代背景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课程、方法、评价、师资的系统变革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中职学校计算机应用、软件技术等专业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：教育信息化</w:t>
      </w:r>
      <w:r>
        <w:t xml:space="preserve"> 2.0 </w:t>
      </w:r>
      <w:r>
        <w:rPr>
          <w:rFonts w:hint="eastAsia"/>
        </w:rPr>
        <w:t xml:space="preserve">行动计划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赋能教育理论、职业教育改革理论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：中职计算机专业教学质量调查报告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辅助教学实践研究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时代中职计算机专业研究较少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缺乏系统教学创新模型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需求分析（AI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时代人才需求变化）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现状调查（教学问题诊断）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创新路径（四位一体模型）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“课程重构—方法创新—评价改革—师资提升”</w:t>
      </w:r>
      <w:r>
        <w:rPr>
          <w:rFonts w:hint="eastAsia"/>
        </w:rPr>
        <w:t xml:space="preserve">四位一体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不是替代教师，而是增强教学能力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时代计算机专业人才需求发生显著变化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中职计算机专业教学存在四大问题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四位一体模型可有效推动教学创新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实验班专业技能和满意度显著提升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行业报告数据、岗位分析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调查数据（85</w:t>
            </w:r>
            <w:r>
              <w:t xml:space="preserve"> </w:t>
            </w:r>
            <w:r>
              <w:rPr>
                <w:rFonts w:hint="eastAsia"/>
              </w:rPr>
              <w:t xml:space="preserve">名教师、680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实践数据（108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四位一体模型自主构建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增加调查数据细节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加入实践案例描述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使用具体统计数据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时代教育变革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学习教学创新设计方法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仅覆盖部分课程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2026-04-23T06:07:12Z</dcterms:created>
  <dcterms:modified xsi:type="dcterms:W3CDTF">2026-04-23T06:07:12Z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