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黑体" w:hAnsi="黑体" w:eastAsia="黑体"/>
          <w:b/>
          <w:sz w:val="44"/>
        </w:rPr>
        <w:t>设计内容_2026.5.10（优化版）</w:t>
        <w:br/>
        <w:t>递归自主式分解与人机协作新范式</w:t>
        <w:br/>
        <w:t>——意图驱动的可编程接入网主动式管控技术及产业化应用</w:t>
      </w:r>
    </w:p>
    <w:p>
      <w:pPr>
        <w:spacing w:after="120"/>
        <w:jc w:val="center"/>
      </w:pPr>
      <w:r>
        <w:rPr>
          <w:rFonts w:ascii="楷体" w:hAnsi="楷体" w:eastAsia="楷体"/>
          <w:sz w:val="28"/>
        </w:rPr>
        <w:t>浙江工商大学 · 浙江大学 · UT斯达康 · 中国移动</w:t>
      </w:r>
    </w:p>
    <w:p>
      <w:pPr>
        <w:spacing w:after="360"/>
        <w:jc w:val="center"/>
      </w:pPr>
      <w:r>
        <w:rPr>
          <w:sz w:val="24"/>
        </w:rPr>
        <w:t>2026年5月17日</w:t>
      </w:r>
    </w:p>
    <w:p>
      <w:pPr>
        <w:spacing w:after="240"/>
      </w:pPr>
      <w:r>
        <w:t>________________________________________________________________________________</w:t>
      </w:r>
    </w:p>
    <w:p>
      <w:pPr>
        <w:pStyle w:val="Heading1"/>
        <w:spacing w:before="240" w:after="120"/>
      </w:pPr>
      <w:r>
        <w:rPr>
          <w:rFonts w:ascii="黑体" w:hAnsi="黑体" w:eastAsia="黑体"/>
          <w:sz w:val="32"/>
        </w:rPr>
        <w:t>一、成果摘要</w:t>
      </w:r>
    </w:p>
    <w:p>
      <w:pPr>
        <w:spacing w:after="120"/>
        <w:ind w:firstLine="420"/>
      </w:pPr>
      <w:r>
        <w:rPr>
          <w:rFonts w:ascii="仿宋" w:hAnsi="仿宋" w:eastAsia="仿宋"/>
          <w:sz w:val="24"/>
        </w:rPr>
        <w:t>在国家973计划课题、国家自然科学基金、欧盟地平线2020及浙江省重点研发计划等多项科研项目的连续支持下，浙江工商大学联合中国移动通信集团公司、浙江大学、UT斯达康通讯有限公司完成了"递归自主式分解与人机协作新范式——意图驱动的可编程接入网主动式管控技术及产业化应用"项目。</w:t>
      </w:r>
    </w:p>
    <w:p>
      <w:pPr>
        <w:spacing w:after="120"/>
        <w:ind w:firstLine="420"/>
      </w:pPr>
      <w:r>
        <w:rPr>
          <w:rFonts w:ascii="仿宋" w:hAnsi="仿宋" w:eastAsia="仿宋"/>
          <w:sz w:val="24"/>
        </w:rPr>
        <w:t>项目在原始创新思想、理论体系和技术体系方面均取得关键技术突破，提出了软件定义价格（SDP）理论、递归自主式分解框架、软件定义智能体架构三大原创成果，研制了具备内生智能的接入网控制器及支持可编程主动式管控的接入节点和移动终端通信模块，已规模部署于中国移动、中国电信、中国联通等移动网络运营商，并进入日本、欧洲、北美、澳大利亚、东南亚等国际市场。</w:t>
      </w:r>
    </w:p>
    <w:p>
      <w:pPr>
        <w:spacing w:after="120"/>
        <w:ind w:firstLine="420"/>
      </w:pPr>
      <w:r>
        <w:rPr>
          <w:rFonts w:ascii="仿宋" w:hAnsi="仿宋" w:eastAsia="仿宋"/>
          <w:sz w:val="24"/>
        </w:rPr>
        <w:t>项目提出的相关技术以及基于这些技术研制的接入网控制器、接入节点、移动终端通信模块等产品，为国内首创，整体技术达到了国际先进水平。获得授权发明专利85项、软件著作权120项、发表高质量论文28篇，2020-2025年间新增产值28.5亿元，新增利润11.2亿元，新增税收4.8亿元。</w:t>
      </w:r>
    </w:p>
    <w:p>
      <w:pPr>
        <w:pStyle w:val="Heading1"/>
        <w:spacing w:before="240" w:after="120"/>
      </w:pPr>
      <w:r>
        <w:rPr>
          <w:rFonts w:ascii="黑体" w:hAnsi="黑体" w:eastAsia="黑体"/>
          <w:sz w:val="32"/>
        </w:rPr>
        <w:t>二、研究背景</w:t>
      </w:r>
    </w:p>
    <w:p>
      <w:pPr>
        <w:spacing w:after="120"/>
        <w:ind w:firstLine="420"/>
      </w:pPr>
      <w:r>
        <w:rPr>
          <w:rFonts w:ascii="仿宋" w:hAnsi="仿宋" w:eastAsia="仿宋"/>
          <w:sz w:val="24"/>
        </w:rPr>
        <w:t>互联网的飞速发展正不断地影响着世界的方方面面。传统的网络已无法满足当今互联网高速发展的需求。SDN改变了应用与数据及应用程式之间的关系，不再是仅仅局限于服务器和基础设施上的虚拟化，而是为数字化服务开辟了一条可以传递和消费模式的道路。</w:t>
      </w:r>
    </w:p>
    <w:p>
      <w:pPr>
        <w:spacing w:after="120"/>
        <w:ind w:firstLine="420"/>
      </w:pPr>
      <w:r>
        <w:rPr>
          <w:rFonts w:ascii="仿宋" w:hAnsi="仿宋" w:eastAsia="仿宋"/>
          <w:sz w:val="24"/>
        </w:rPr>
        <w:t>SDN控制与转发分离和可编程的特点使得网络资源能够定义一个动态的价格。由于资源价格可动态调整，高负载资源会大幅度提高其资源价格，促使占用该资源的应用放弃该资源而选择其他资源，从而实现对资源的负载均衡。因此，从SDN网络资源合理分配的角度，可以利用价格因素来抑制SDN网络资源的浪费，以达到实现SDN网络资源合理分配的目的。</w:t>
      </w:r>
    </w:p>
    <w:p>
      <w:pPr>
        <w:spacing w:after="120"/>
        <w:ind w:firstLine="420"/>
      </w:pPr>
      <w:r>
        <w:rPr>
          <w:rFonts w:ascii="仿宋" w:hAnsi="仿宋" w:eastAsia="仿宋"/>
          <w:sz w:val="24"/>
        </w:rPr>
        <w:t>2026年5月，国家网信办等三部委联合发布《智能体规范应用与创新发展实施意见》，这是中国首份国家级智能体专项政策。政策首次明确了智能体的核心定义——具备自主感知、记忆、决策、交互与执行能力的独立系统。在此背景下，本项目将SDP理论与当代大模型智能体工程实践深度融合，构建了"递归分解层—动态匹配层—执行协调层"三层架构，提出了意图驱动的可编程接入网主动式管控技术。</w:t>
      </w:r>
    </w:p>
    <w:p>
      <w:pPr>
        <w:pStyle w:val="Heading1"/>
        <w:spacing w:before="240" w:after="120"/>
      </w:pPr>
      <w:r>
        <w:rPr>
          <w:rFonts w:ascii="黑体" w:hAnsi="黑体" w:eastAsia="黑体"/>
          <w:sz w:val="32"/>
        </w:rPr>
        <w:t>三、总体框架</w:t>
      </w:r>
    </w:p>
    <w:p>
      <w:pPr>
        <w:spacing w:after="120"/>
        <w:ind w:firstLine="420"/>
      </w:pPr>
      <w:r>
        <w:rPr>
          <w:rFonts w:ascii="仿宋" w:hAnsi="仿宋" w:eastAsia="仿宋"/>
          <w:sz w:val="24"/>
        </w:rPr>
        <w:t>本项目提出了六层技术体系：</w:t>
      </w:r>
    </w:p>
    <w:tbl>
      <w:tblPr>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Pr>
                <w:rFonts w:ascii="仿宋" w:hAnsi="仿宋" w:eastAsia="仿宋"/>
                <w:b/>
                <w:sz w:val="20"/>
              </w:rPr>
              <w:t>层级</w:t>
            </w:r>
          </w:p>
        </w:tc>
        <w:tc>
          <w:tcPr>
            <w:tcW w:type="dxa" w:w="2161"/>
          </w:tcPr>
          <w:p>
            <w:pPr>
              <w:jc w:val="center"/>
            </w:pPr>
            <w:r>
              <w:rPr>
                <w:rFonts w:ascii="仿宋" w:hAnsi="仿宋" w:eastAsia="仿宋"/>
                <w:b/>
                <w:sz w:val="20"/>
              </w:rPr>
              <w:t>内容</w:t>
            </w:r>
          </w:p>
        </w:tc>
        <w:tc>
          <w:tcPr>
            <w:tcW w:type="dxa" w:w="2161"/>
          </w:tcPr>
          <w:p>
            <w:pPr>
              <w:jc w:val="center"/>
            </w:pPr>
            <w:r>
              <w:rPr>
                <w:rFonts w:ascii="仿宋" w:hAnsi="仿宋" w:eastAsia="仿宋"/>
                <w:b/>
                <w:sz w:val="20"/>
              </w:rPr>
              <w:t>代表成果</w:t>
            </w:r>
          </w:p>
        </w:tc>
        <w:tc>
          <w:tcPr>
            <w:tcW w:type="dxa" w:w="2161"/>
          </w:tcPr>
          <w:p>
            <w:pPr>
              <w:jc w:val="center"/>
            </w:pPr>
            <w:r>
              <w:rPr>
                <w:rFonts w:ascii="仿宋" w:hAnsi="仿宋" w:eastAsia="仿宋"/>
                <w:b/>
                <w:sz w:val="20"/>
              </w:rPr>
              <w:t>政策对标</w:t>
            </w:r>
          </w:p>
        </w:tc>
      </w:tr>
      <w:tr>
        <w:tc>
          <w:tcPr>
            <w:tcW w:type="dxa" w:w="2161"/>
          </w:tcPr>
          <w:p>
            <w:r>
              <w:rPr>
                <w:rFonts w:ascii="仿宋" w:hAnsi="仿宋" w:eastAsia="仿宋"/>
                <w:sz w:val="20"/>
              </w:rPr>
              <w:t>政策层</w:t>
            </w:r>
          </w:p>
        </w:tc>
        <w:tc>
          <w:tcPr>
            <w:tcW w:type="dxa" w:w="2161"/>
          </w:tcPr>
          <w:p>
            <w:r>
              <w:rPr>
                <w:rFonts w:ascii="仿宋" w:hAnsi="仿宋" w:eastAsia="仿宋"/>
                <w:sz w:val="20"/>
              </w:rPr>
              <w:t>国家级智能体政策</w:t>
            </w:r>
          </w:p>
        </w:tc>
        <w:tc>
          <w:tcPr>
            <w:tcW w:type="dxa" w:w="2161"/>
          </w:tcPr>
          <w:p>
            <w:r>
              <w:rPr>
                <w:rFonts w:ascii="仿宋" w:hAnsi="仿宋" w:eastAsia="仿宋"/>
                <w:sz w:val="20"/>
              </w:rPr>
              <w:t>2026年三部委文件</w:t>
            </w:r>
          </w:p>
        </w:tc>
        <w:tc>
          <w:tcPr>
            <w:tcW w:type="dxa" w:w="2161"/>
          </w:tcPr>
          <w:p>
            <w:r>
              <w:rPr>
                <w:rFonts w:ascii="仿宋" w:hAnsi="仿宋" w:eastAsia="仿宋"/>
                <w:sz w:val="20"/>
              </w:rPr>
              <w:t>顶层设计</w:t>
            </w:r>
          </w:p>
        </w:tc>
      </w:tr>
      <w:tr>
        <w:tc>
          <w:tcPr>
            <w:tcW w:type="dxa" w:w="2161"/>
          </w:tcPr>
          <w:p>
            <w:r>
              <w:rPr>
                <w:rFonts w:ascii="仿宋" w:hAnsi="仿宋" w:eastAsia="仿宋"/>
                <w:sz w:val="20"/>
              </w:rPr>
              <w:t>方法层</w:t>
            </w:r>
          </w:p>
        </w:tc>
        <w:tc>
          <w:tcPr>
            <w:tcW w:type="dxa" w:w="2161"/>
          </w:tcPr>
          <w:p>
            <w:r>
              <w:rPr>
                <w:rFonts w:ascii="仿宋" w:hAnsi="仿宋" w:eastAsia="仿宋"/>
                <w:sz w:val="20"/>
              </w:rPr>
              <w:t>递归自主式分解框架</w:t>
            </w:r>
          </w:p>
        </w:tc>
        <w:tc>
          <w:tcPr>
            <w:tcW w:type="dxa" w:w="2161"/>
          </w:tcPr>
          <w:p>
            <w:r>
              <w:rPr>
                <w:rFonts w:ascii="仿宋" w:hAnsi="仿宋" w:eastAsia="仿宋"/>
                <w:sz w:val="20"/>
              </w:rPr>
              <w:t>元业务+动态匹配</w:t>
            </w:r>
          </w:p>
        </w:tc>
        <w:tc>
          <w:tcPr>
            <w:tcW w:type="dxa" w:w="2161"/>
          </w:tcPr>
          <w:p>
            <w:r>
              <w:rPr>
                <w:rFonts w:ascii="仿宋" w:hAnsi="仿宋" w:eastAsia="仿宋"/>
                <w:sz w:val="20"/>
              </w:rPr>
              <w:t>方法论</w:t>
            </w:r>
          </w:p>
        </w:tc>
      </w:tr>
      <w:tr>
        <w:tc>
          <w:tcPr>
            <w:tcW w:type="dxa" w:w="2161"/>
          </w:tcPr>
          <w:p>
            <w:r>
              <w:rPr>
                <w:rFonts w:ascii="仿宋" w:hAnsi="仿宋" w:eastAsia="仿宋"/>
                <w:sz w:val="20"/>
              </w:rPr>
              <w:t>经济层</w:t>
            </w:r>
          </w:p>
        </w:tc>
        <w:tc>
          <w:tcPr>
            <w:tcW w:type="dxa" w:w="2161"/>
          </w:tcPr>
          <w:p>
            <w:r>
              <w:rPr>
                <w:rFonts w:ascii="仿宋" w:hAnsi="仿宋" w:eastAsia="仿宋"/>
                <w:sz w:val="20"/>
              </w:rPr>
              <w:t>SDP理论</w:t>
            </w:r>
          </w:p>
        </w:tc>
        <w:tc>
          <w:tcPr>
            <w:tcW w:type="dxa" w:w="2161"/>
          </w:tcPr>
          <w:p>
            <w:r>
              <w:rPr>
                <w:rFonts w:ascii="仿宋" w:hAnsi="仿宋" w:eastAsia="仿宋"/>
                <w:sz w:val="20"/>
              </w:rPr>
              <w:t>价格驱动资源分配</w:t>
            </w:r>
          </w:p>
        </w:tc>
        <w:tc>
          <w:tcPr>
            <w:tcW w:type="dxa" w:w="2161"/>
          </w:tcPr>
          <w:p>
            <w:r>
              <w:rPr>
                <w:rFonts w:ascii="仿宋" w:hAnsi="仿宋" w:eastAsia="仿宋"/>
                <w:sz w:val="20"/>
              </w:rPr>
              <w:t>经济学底座</w:t>
            </w:r>
          </w:p>
        </w:tc>
      </w:tr>
      <w:tr>
        <w:tc>
          <w:tcPr>
            <w:tcW w:type="dxa" w:w="2161"/>
          </w:tcPr>
          <w:p>
            <w:r>
              <w:rPr>
                <w:rFonts w:ascii="仿宋" w:hAnsi="仿宋" w:eastAsia="仿宋"/>
                <w:sz w:val="20"/>
              </w:rPr>
              <w:t>设施层</w:t>
            </w:r>
          </w:p>
        </w:tc>
        <w:tc>
          <w:tcPr>
            <w:tcW w:type="dxa" w:w="2161"/>
          </w:tcPr>
          <w:p>
            <w:r>
              <w:rPr>
                <w:rFonts w:ascii="仿宋" w:hAnsi="仿宋" w:eastAsia="仿宋"/>
                <w:sz w:val="20"/>
              </w:rPr>
              <w:t>UT斯达康专利</w:t>
            </w:r>
          </w:p>
        </w:tc>
        <w:tc>
          <w:tcPr>
            <w:tcW w:type="dxa" w:w="2161"/>
          </w:tcPr>
          <w:p>
            <w:r>
              <w:rPr>
                <w:rFonts w:ascii="仿宋" w:hAnsi="仿宋" w:eastAsia="仿宋"/>
                <w:sz w:val="20"/>
              </w:rPr>
              <w:t>SRv6+FlexE+5G切片</w:t>
            </w:r>
          </w:p>
        </w:tc>
        <w:tc>
          <w:tcPr>
            <w:tcW w:type="dxa" w:w="2161"/>
          </w:tcPr>
          <w:p>
            <w:r>
              <w:rPr>
                <w:rFonts w:ascii="仿宋" w:hAnsi="仿宋" w:eastAsia="仿宋"/>
                <w:sz w:val="20"/>
              </w:rPr>
              <w:t>基础设施</w:t>
            </w:r>
          </w:p>
        </w:tc>
      </w:tr>
      <w:tr>
        <w:tc>
          <w:tcPr>
            <w:tcW w:type="dxa" w:w="2161"/>
          </w:tcPr>
          <w:p>
            <w:r>
              <w:rPr>
                <w:rFonts w:ascii="仿宋" w:hAnsi="仿宋" w:eastAsia="仿宋"/>
                <w:sz w:val="20"/>
              </w:rPr>
              <w:t>安全层</w:t>
            </w:r>
          </w:p>
        </w:tc>
        <w:tc>
          <w:tcPr>
            <w:tcW w:type="dxa" w:w="2161"/>
          </w:tcPr>
          <w:p>
            <w:r>
              <w:rPr>
                <w:rFonts w:ascii="仿宋" w:hAnsi="仿宋" w:eastAsia="仿宋"/>
                <w:sz w:val="20"/>
              </w:rPr>
              <w:t>吴春明专利</w:t>
            </w:r>
          </w:p>
        </w:tc>
        <w:tc>
          <w:tcPr>
            <w:tcW w:type="dxa" w:w="2161"/>
          </w:tcPr>
          <w:p>
            <w:r>
              <w:rPr>
                <w:rFonts w:ascii="仿宋" w:hAnsi="仿宋" w:eastAsia="仿宋"/>
                <w:sz w:val="20"/>
              </w:rPr>
              <w:t>拟态防御+SDN安全</w:t>
            </w:r>
          </w:p>
        </w:tc>
        <w:tc>
          <w:tcPr>
            <w:tcW w:type="dxa" w:w="2161"/>
          </w:tcPr>
          <w:p>
            <w:r>
              <w:rPr>
                <w:rFonts w:ascii="仿宋" w:hAnsi="仿宋" w:eastAsia="仿宋"/>
                <w:sz w:val="20"/>
              </w:rPr>
              <w:t>安全保障</w:t>
            </w:r>
          </w:p>
        </w:tc>
      </w:tr>
      <w:tr>
        <w:tc>
          <w:tcPr>
            <w:tcW w:type="dxa" w:w="2161"/>
          </w:tcPr>
          <w:p>
            <w:r>
              <w:rPr>
                <w:rFonts w:ascii="仿宋" w:hAnsi="仿宋" w:eastAsia="仿宋"/>
                <w:sz w:val="20"/>
              </w:rPr>
              <w:t>应用层</w:t>
            </w:r>
          </w:p>
        </w:tc>
        <w:tc>
          <w:tcPr>
            <w:tcW w:type="dxa" w:w="2161"/>
          </w:tcPr>
          <w:p>
            <w:r>
              <w:rPr>
                <w:rFonts w:ascii="仿宋" w:hAnsi="仿宋" w:eastAsia="仿宋"/>
                <w:sz w:val="20"/>
              </w:rPr>
              <w:t>可编程接入网</w:t>
            </w:r>
          </w:p>
        </w:tc>
        <w:tc>
          <w:tcPr>
            <w:tcW w:type="dxa" w:w="2161"/>
          </w:tcPr>
          <w:p>
            <w:r>
              <w:rPr>
                <w:rFonts w:ascii="仿宋" w:hAnsi="仿宋" w:eastAsia="仿宋"/>
                <w:sz w:val="20"/>
              </w:rPr>
              <w:t>软件定义智能体+意图预测</w:t>
            </w:r>
          </w:p>
        </w:tc>
        <w:tc>
          <w:tcPr>
            <w:tcW w:type="dxa" w:w="2161"/>
          </w:tcPr>
          <w:p>
            <w:r>
              <w:rPr>
                <w:rFonts w:ascii="仿宋" w:hAnsi="仿宋" w:eastAsia="仿宋"/>
                <w:sz w:val="20"/>
              </w:rPr>
              <w:t>产业落地</w:t>
            </w:r>
          </w:p>
        </w:tc>
      </w:tr>
    </w:tbl>
    <w:p>
      <w:pPr>
        <w:spacing w:after="120"/>
      </w:pPr>
    </w:p>
    <w:p>
      <w:pPr>
        <w:spacing w:after="120"/>
        <w:ind w:firstLine="420"/>
      </w:pPr>
      <w:r>
        <w:rPr>
          <w:rFonts w:ascii="仿宋" w:hAnsi="仿宋" w:eastAsia="仿宋"/>
          <w:sz w:val="24"/>
        </w:rPr>
        <w:t>如图1所示，六层技术体系形成了从理论到实践、从网络到AI、从经济学到工程学的完整技术体系。</w:t>
      </w:r>
    </w:p>
    <w:p>
      <w:pPr>
        <w:pStyle w:val="Heading1"/>
        <w:spacing w:before="240" w:after="120"/>
      </w:pPr>
      <w:r>
        <w:rPr>
          <w:rFonts w:ascii="黑体" w:hAnsi="黑体" w:eastAsia="黑体"/>
          <w:sz w:val="32"/>
        </w:rPr>
        <w:t>四、主要科技创新</w:t>
      </w:r>
    </w:p>
    <w:p>
      <w:pPr>
        <w:pStyle w:val="Heading2"/>
        <w:spacing w:before="240" w:after="120"/>
      </w:pPr>
      <w:r>
        <w:rPr>
          <w:rFonts w:ascii="黑体" w:hAnsi="黑体" w:eastAsia="黑体"/>
          <w:sz w:val="28"/>
        </w:rPr>
        <w:t>创新点1：提出了意图驱动的可编程接入网主动式管控架构</w:t>
      </w:r>
    </w:p>
    <w:p>
      <w:pPr>
        <w:spacing w:after="120"/>
        <w:ind w:firstLine="420"/>
      </w:pPr>
      <w:r>
        <w:rPr>
          <w:rFonts w:ascii="仿宋" w:hAnsi="仿宋" w:eastAsia="仿宋"/>
          <w:sz w:val="24"/>
        </w:rPr>
        <w:t>项目突破性提出了一种应用意图驱动的可编程接入网主动式管控架构，实现基于应用意图预特征测智能部署、管控转发平面网络资源。该架构构造出具有系统状态感知、智能决策功能和自主学习能力的软件定义智能体，智能体将应用意图变化趋势抽象为规范化语义描述的网络服务需求，并通过提前性控制数据转发平面具有特定属性集合的元能力，为各类网络应用预先提供支持高质量运行的承载能力，形成一个具有高度智能化与灵活性的接入网系统。</w:t>
      </w:r>
    </w:p>
    <w:p>
      <w:pPr>
        <w:spacing w:after="120"/>
        <w:ind w:firstLine="420"/>
      </w:pPr>
      <w:r>
        <w:rPr>
          <w:rFonts w:ascii="仿宋" w:hAnsi="仿宋" w:eastAsia="仿宋"/>
          <w:sz w:val="24"/>
        </w:rPr>
        <w:t>该创新与递归自主式分解框架的对应关系：</w:t>
      </w:r>
    </w:p>
    <w:tbl>
      <w:tblPr>
        <w:tblW w:type="auto" w:w="0"/>
        <w:jc w:val="center"/>
        <w:tblLook w:firstColumn="1" w:firstRow="1" w:lastColumn="0" w:lastRow="0" w:noHBand="0" w:noVBand="1" w:val="04A0"/>
      </w:tblPr>
      <w:tblGrid>
        <w:gridCol w:w="2882"/>
        <w:gridCol w:w="2882"/>
        <w:gridCol w:w="2882"/>
      </w:tblGrid>
      <w:tr>
        <w:tc>
          <w:tcPr>
            <w:tcW w:type="dxa" w:w="2882"/>
          </w:tcPr>
          <w:p>
            <w:pPr>
              <w:jc w:val="center"/>
            </w:pPr>
            <w:r>
              <w:rPr>
                <w:rFonts w:ascii="仿宋" w:hAnsi="仿宋" w:eastAsia="仿宋"/>
                <w:b/>
                <w:sz w:val="20"/>
              </w:rPr>
              <w:t>智能体功能</w:t>
            </w:r>
          </w:p>
        </w:tc>
        <w:tc>
          <w:tcPr>
            <w:tcW w:type="dxa" w:w="2882"/>
          </w:tcPr>
          <w:p>
            <w:pPr>
              <w:jc w:val="center"/>
            </w:pPr>
            <w:r>
              <w:rPr>
                <w:rFonts w:ascii="仿宋" w:hAnsi="仿宋" w:eastAsia="仿宋"/>
                <w:b/>
                <w:sz w:val="20"/>
              </w:rPr>
              <w:t>递归框架对应</w:t>
            </w:r>
          </w:p>
        </w:tc>
        <w:tc>
          <w:tcPr>
            <w:tcW w:type="dxa" w:w="2882"/>
          </w:tcPr>
          <w:p>
            <w:pPr>
              <w:jc w:val="center"/>
            </w:pPr>
            <w:r>
              <w:rPr>
                <w:rFonts w:ascii="仿宋" w:hAnsi="仿宋" w:eastAsia="仿宋"/>
                <w:b/>
                <w:sz w:val="20"/>
              </w:rPr>
              <w:t>说明</w:t>
            </w:r>
          </w:p>
        </w:tc>
      </w:tr>
      <w:tr>
        <w:tc>
          <w:tcPr>
            <w:tcW w:type="dxa" w:w="2882"/>
          </w:tcPr>
          <w:p>
            <w:r>
              <w:rPr>
                <w:rFonts w:ascii="仿宋" w:hAnsi="仿宋" w:eastAsia="仿宋"/>
                <w:sz w:val="20"/>
              </w:rPr>
              <w:t>系统状态感知</w:t>
            </w:r>
          </w:p>
        </w:tc>
        <w:tc>
          <w:tcPr>
            <w:tcW w:type="dxa" w:w="2882"/>
          </w:tcPr>
          <w:p>
            <w:r>
              <w:rPr>
                <w:rFonts w:ascii="仿宋" w:hAnsi="仿宋" w:eastAsia="仿宋"/>
                <w:sz w:val="20"/>
              </w:rPr>
              <w:t>自主感知层</w:t>
            </w:r>
          </w:p>
        </w:tc>
        <w:tc>
          <w:tcPr>
            <w:tcW w:type="dxa" w:w="2882"/>
          </w:tcPr>
          <w:p>
            <w:r>
              <w:rPr>
                <w:rFonts w:ascii="仿宋" w:hAnsi="仿宋" w:eastAsia="仿宋"/>
                <w:sz w:val="20"/>
              </w:rPr>
              <w:t>环境监听+事件触发</w:t>
            </w:r>
          </w:p>
        </w:tc>
      </w:tr>
      <w:tr>
        <w:tc>
          <w:tcPr>
            <w:tcW w:type="dxa" w:w="2882"/>
          </w:tcPr>
          <w:p>
            <w:r>
              <w:rPr>
                <w:rFonts w:ascii="仿宋" w:hAnsi="仿宋" w:eastAsia="仿宋"/>
                <w:sz w:val="20"/>
              </w:rPr>
              <w:t>智能决策</w:t>
            </w:r>
          </w:p>
        </w:tc>
        <w:tc>
          <w:tcPr>
            <w:tcW w:type="dxa" w:w="2882"/>
          </w:tcPr>
          <w:p>
            <w:r>
              <w:rPr>
                <w:rFonts w:ascii="仿宋" w:hAnsi="仿宋" w:eastAsia="仿宋"/>
                <w:sz w:val="20"/>
              </w:rPr>
              <w:t>动态匹配层</w:t>
            </w:r>
          </w:p>
        </w:tc>
        <w:tc>
          <w:tcPr>
            <w:tcW w:type="dxa" w:w="2882"/>
          </w:tcPr>
          <w:p>
            <w:r>
              <w:rPr>
                <w:rFonts w:ascii="仿宋" w:hAnsi="仿宋" w:eastAsia="仿宋"/>
                <w:sz w:val="20"/>
              </w:rPr>
              <w:t>工具选择+路径规划</w:t>
            </w:r>
          </w:p>
        </w:tc>
      </w:tr>
      <w:tr>
        <w:tc>
          <w:tcPr>
            <w:tcW w:type="dxa" w:w="2882"/>
          </w:tcPr>
          <w:p>
            <w:r>
              <w:rPr>
                <w:rFonts w:ascii="仿宋" w:hAnsi="仿宋" w:eastAsia="仿宋"/>
                <w:sz w:val="20"/>
              </w:rPr>
              <w:t>自主学习</w:t>
            </w:r>
          </w:p>
        </w:tc>
        <w:tc>
          <w:tcPr>
            <w:tcW w:type="dxa" w:w="2882"/>
          </w:tcPr>
          <w:p>
            <w:r>
              <w:rPr>
                <w:rFonts w:ascii="仿宋" w:hAnsi="仿宋" w:eastAsia="仿宋"/>
                <w:sz w:val="20"/>
              </w:rPr>
              <w:t>记忆系统</w:t>
            </w:r>
          </w:p>
        </w:tc>
        <w:tc>
          <w:tcPr>
            <w:tcW w:type="dxa" w:w="2882"/>
          </w:tcPr>
          <w:p>
            <w:r>
              <w:rPr>
                <w:rFonts w:ascii="仿宋" w:hAnsi="仿宋" w:eastAsia="仿宋"/>
                <w:sz w:val="20"/>
              </w:rPr>
              <w:t>历史案例复用+经验积累</w:t>
            </w:r>
          </w:p>
        </w:tc>
      </w:tr>
      <w:tr>
        <w:tc>
          <w:tcPr>
            <w:tcW w:type="dxa" w:w="2882"/>
          </w:tcPr>
          <w:p>
            <w:r>
              <w:rPr>
                <w:rFonts w:ascii="仿宋" w:hAnsi="仿宋" w:eastAsia="仿宋"/>
                <w:sz w:val="20"/>
              </w:rPr>
              <w:t>元能力控制</w:t>
            </w:r>
          </w:p>
        </w:tc>
        <w:tc>
          <w:tcPr>
            <w:tcW w:type="dxa" w:w="2882"/>
          </w:tcPr>
          <w:p>
            <w:r>
              <w:rPr>
                <w:rFonts w:ascii="仿宋" w:hAnsi="仿宋" w:eastAsia="仿宋"/>
                <w:sz w:val="20"/>
              </w:rPr>
              <w:t>执行协调层</w:t>
            </w:r>
          </w:p>
        </w:tc>
        <w:tc>
          <w:tcPr>
            <w:tcW w:type="dxa" w:w="2882"/>
          </w:tcPr>
          <w:p>
            <w:r>
              <w:rPr>
                <w:rFonts w:ascii="仿宋" w:hAnsi="仿宋" w:eastAsia="仿宋"/>
                <w:sz w:val="20"/>
              </w:rPr>
              <w:t>API调用+外部系统对接</w:t>
            </w:r>
          </w:p>
        </w:tc>
      </w:tr>
    </w:tbl>
    <w:p>
      <w:pPr>
        <w:spacing w:after="120"/>
      </w:pPr>
    </w:p>
    <w:p>
      <w:pPr>
        <w:spacing w:after="120"/>
        <w:ind w:firstLine="420"/>
      </w:pPr>
      <w:r>
        <w:rPr>
          <w:rFonts w:ascii="仿宋" w:hAnsi="仿宋" w:eastAsia="仿宋"/>
          <w:sz w:val="24"/>
        </w:rPr>
        <w:t>（1）基于意图特征预测的应用闭环生命周期管理技术</w:t>
      </w:r>
    </w:p>
    <w:p>
      <w:pPr>
        <w:spacing w:after="120"/>
        <w:ind w:firstLine="420"/>
      </w:pPr>
      <w:r>
        <w:rPr>
          <w:rFonts w:ascii="仿宋" w:hAnsi="仿宋" w:eastAsia="仿宋"/>
          <w:sz w:val="24"/>
        </w:rPr>
        <w:t>项目构建软件定义接入网应用平面、控制平面、转发平面元模型智能体，通过智能体间结构化通信机制，将预测获得的应用意图特征变化规律转化为规范化语义描述的网络服务需求，利用"意图约束+运行时反馈"双条件触发逻辑实现底层网络资源的智能部署与自动修复，实现应用"意图−验证−执行−再验证"闭环生命周期管理。</w:t>
      </w:r>
    </w:p>
    <w:p>
      <w:pPr>
        <w:spacing w:after="120"/>
        <w:ind w:firstLine="420"/>
      </w:pPr>
      <w:r>
        <w:rPr>
          <w:rFonts w:ascii="仿宋" w:hAnsi="仿宋" w:eastAsia="仿宋"/>
          <w:sz w:val="24"/>
        </w:rPr>
        <w:t>该技术与递归分解框架的完全对应：</w:t>
      </w:r>
    </w:p>
    <w:p>
      <w:pPr>
        <w:spacing w:after="120"/>
      </w:pPr>
      <w:r>
        <w:rPr>
          <w:rFonts w:ascii="仿宋" w:hAnsi="仿宋" w:eastAsia="仿宋"/>
          <w:sz w:val="24"/>
        </w:rPr>
        <w:t>递归分解框架：分解→匹配→执行→验证→反馈</w:t>
      </w:r>
    </w:p>
    <w:p>
      <w:pPr>
        <w:spacing w:after="120"/>
      </w:pPr>
      <w:r>
        <w:rPr>
          <w:rFonts w:ascii="仿宋" w:hAnsi="仿宋" w:eastAsia="仿宋"/>
          <w:sz w:val="24"/>
        </w:rPr>
        <w:t>意图闭环：    意图→验证→执行→再验证→修复</w:t>
      </w:r>
    </w:p>
    <w:p>
      <w:pPr>
        <w:spacing w:after="120"/>
      </w:pPr>
      <w:r>
        <w:rPr>
          <w:rFonts w:ascii="仿宋" w:hAnsi="仿宋" w:eastAsia="仿宋"/>
          <w:sz w:val="24"/>
        </w:rPr>
        <w:t>完全一致！</w:t>
      </w:r>
    </w:p>
    <w:p>
      <w:pPr>
        <w:spacing w:after="120"/>
        <w:ind w:firstLine="420"/>
      </w:pPr>
      <w:r>
        <w:rPr>
          <w:rFonts w:ascii="仿宋" w:hAnsi="仿宋" w:eastAsia="仿宋"/>
          <w:sz w:val="24"/>
        </w:rPr>
        <w:t>（2）基于元能力主动部署的转发平面可编程控制技术</w:t>
      </w:r>
    </w:p>
    <w:p>
      <w:pPr>
        <w:spacing w:after="120"/>
        <w:ind w:firstLine="420"/>
      </w:pPr>
      <w:r>
        <w:rPr>
          <w:rFonts w:ascii="仿宋" w:hAnsi="仿宋" w:eastAsia="仿宋"/>
          <w:sz w:val="24"/>
        </w:rPr>
        <w:t>项目提出将接入网转发平面功能抽象为具有特定属性组合的元能力，将应用意图特征变化趋势抽象为应用生命周期管理中主动预留的元能力集合，编程控制转发设备在元能力资源池中实例化应用承载网络功能链的方法。项目基于国产主交换芯片盛科CTC8180和国产FPGA芯片紫光同创PANGO PGL50H，研发了运营商级别的、支持元能力抽象与主动式部署的的高速可编程转发设备，突破可编程接入网转发平面硬件平台卡脖子技术。</w:t>
      </w:r>
    </w:p>
    <w:p>
      <w:pPr>
        <w:spacing w:after="120"/>
        <w:ind w:firstLine="420"/>
      </w:pPr>
      <w:r>
        <w:rPr>
          <w:rFonts w:ascii="仿宋" w:hAnsi="仿宋" w:eastAsia="仿宋"/>
          <w:sz w:val="24"/>
        </w:rPr>
        <w:t>该技术与SDP理论的完全对应：</w:t>
      </w:r>
    </w:p>
    <w:tbl>
      <w:tblPr>
        <w:tblW w:type="auto" w:w="0"/>
        <w:jc w:val="center"/>
        <w:tblLook w:firstColumn="1" w:firstRow="1" w:lastColumn="0" w:lastRow="0" w:noHBand="0" w:noVBand="1" w:val="04A0"/>
      </w:tblPr>
      <w:tblGrid>
        <w:gridCol w:w="2882"/>
        <w:gridCol w:w="2882"/>
        <w:gridCol w:w="2882"/>
      </w:tblGrid>
      <w:tr>
        <w:tc>
          <w:tcPr>
            <w:tcW w:type="dxa" w:w="2882"/>
          </w:tcPr>
          <w:p>
            <w:pPr>
              <w:jc w:val="center"/>
            </w:pPr>
            <w:r>
              <w:rPr>
                <w:rFonts w:ascii="仿宋" w:hAnsi="仿宋" w:eastAsia="仿宋"/>
                <w:b/>
                <w:sz w:val="20"/>
              </w:rPr>
              <w:t>SDP概念</w:t>
            </w:r>
          </w:p>
        </w:tc>
        <w:tc>
          <w:tcPr>
            <w:tcW w:type="dxa" w:w="2882"/>
          </w:tcPr>
          <w:p>
            <w:pPr>
              <w:jc w:val="center"/>
            </w:pPr>
            <w:r>
              <w:rPr>
                <w:rFonts w:ascii="仿宋" w:hAnsi="仿宋" w:eastAsia="仿宋"/>
                <w:b/>
                <w:sz w:val="20"/>
              </w:rPr>
              <w:t>本技术对应</w:t>
            </w:r>
          </w:p>
        </w:tc>
        <w:tc>
          <w:tcPr>
            <w:tcW w:type="dxa" w:w="2882"/>
          </w:tcPr>
          <w:p>
            <w:pPr>
              <w:jc w:val="center"/>
            </w:pPr>
            <w:r>
              <w:rPr>
                <w:rFonts w:ascii="仿宋" w:hAnsi="仿宋" w:eastAsia="仿宋"/>
                <w:b/>
                <w:sz w:val="20"/>
              </w:rPr>
              <w:t>说明</w:t>
            </w:r>
          </w:p>
        </w:tc>
      </w:tr>
      <w:tr>
        <w:tc>
          <w:tcPr>
            <w:tcW w:type="dxa" w:w="2882"/>
          </w:tcPr>
          <w:p>
            <w:r>
              <w:rPr>
                <w:rFonts w:ascii="仿宋" w:hAnsi="仿宋" w:eastAsia="仿宋"/>
                <w:sz w:val="20"/>
              </w:rPr>
              <w:t>元能力（带宽型/时延型）</w:t>
            </w:r>
          </w:p>
        </w:tc>
        <w:tc>
          <w:tcPr>
            <w:tcW w:type="dxa" w:w="2882"/>
          </w:tcPr>
          <w:p>
            <w:r>
              <w:rPr>
                <w:rFonts w:ascii="仿宋" w:hAnsi="仿宋" w:eastAsia="仿宋"/>
                <w:sz w:val="20"/>
              </w:rPr>
              <w:t>元能力（特定属性组合）</w:t>
            </w:r>
          </w:p>
        </w:tc>
        <w:tc>
          <w:tcPr>
            <w:tcW w:type="dxa" w:w="2882"/>
          </w:tcPr>
          <w:p>
            <w:r>
              <w:rPr>
                <w:rFonts w:ascii="仿宋" w:hAnsi="仿宋" w:eastAsia="仿宋"/>
                <w:sz w:val="20"/>
              </w:rPr>
              <w:t>完全一致！</w:t>
            </w:r>
          </w:p>
        </w:tc>
      </w:tr>
      <w:tr>
        <w:tc>
          <w:tcPr>
            <w:tcW w:type="dxa" w:w="2882"/>
          </w:tcPr>
          <w:p>
            <w:r>
              <w:rPr>
                <w:rFonts w:ascii="仿宋" w:hAnsi="仿宋" w:eastAsia="仿宋"/>
                <w:sz w:val="20"/>
              </w:rPr>
              <w:t>元服务组合</w:t>
            </w:r>
          </w:p>
        </w:tc>
        <w:tc>
          <w:tcPr>
            <w:tcW w:type="dxa" w:w="2882"/>
          </w:tcPr>
          <w:p>
            <w:r>
              <w:rPr>
                <w:rFonts w:ascii="仿宋" w:hAnsi="仿宋" w:eastAsia="仿宋"/>
                <w:sz w:val="20"/>
              </w:rPr>
              <w:t>网络功能链实例化</w:t>
            </w:r>
          </w:p>
        </w:tc>
        <w:tc>
          <w:tcPr>
            <w:tcW w:type="dxa" w:w="2882"/>
          </w:tcPr>
          <w:p>
            <w:r>
              <w:rPr>
                <w:rFonts w:ascii="仿宋" w:hAnsi="仿宋" w:eastAsia="仿宋"/>
                <w:sz w:val="20"/>
              </w:rPr>
              <w:t>从资源组合→功能链组合</w:t>
            </w:r>
          </w:p>
        </w:tc>
      </w:tr>
      <w:tr>
        <w:tc>
          <w:tcPr>
            <w:tcW w:type="dxa" w:w="2882"/>
          </w:tcPr>
          <w:p>
            <w:r>
              <w:rPr>
                <w:rFonts w:ascii="仿宋" w:hAnsi="仿宋" w:eastAsia="仿宋"/>
                <w:sz w:val="20"/>
              </w:rPr>
              <w:t>拍卖机制</w:t>
            </w:r>
          </w:p>
        </w:tc>
        <w:tc>
          <w:tcPr>
            <w:tcW w:type="dxa" w:w="2882"/>
          </w:tcPr>
          <w:p>
            <w:r>
              <w:rPr>
                <w:rFonts w:ascii="仿宋" w:hAnsi="仿宋" w:eastAsia="仿宋"/>
                <w:sz w:val="20"/>
              </w:rPr>
              <w:t>主动预留机制</w:t>
            </w:r>
          </w:p>
        </w:tc>
        <w:tc>
          <w:tcPr>
            <w:tcW w:type="dxa" w:w="2882"/>
          </w:tcPr>
          <w:p>
            <w:r>
              <w:rPr>
                <w:rFonts w:ascii="仿宋" w:hAnsi="仿宋" w:eastAsia="仿宋"/>
                <w:sz w:val="20"/>
              </w:rPr>
              <w:t>从竞争→预判</w:t>
            </w:r>
          </w:p>
        </w:tc>
      </w:tr>
      <w:tr>
        <w:tc>
          <w:tcPr>
            <w:tcW w:type="dxa" w:w="2882"/>
          </w:tcPr>
          <w:p>
            <w:r>
              <w:rPr>
                <w:rFonts w:ascii="仿宋" w:hAnsi="仿宋" w:eastAsia="仿宋"/>
                <w:sz w:val="20"/>
              </w:rPr>
              <w:t>动态定价</w:t>
            </w:r>
          </w:p>
        </w:tc>
        <w:tc>
          <w:tcPr>
            <w:tcW w:type="dxa" w:w="2882"/>
          </w:tcPr>
          <w:p>
            <w:r>
              <w:rPr>
                <w:rFonts w:ascii="仿宋" w:hAnsi="仿宋" w:eastAsia="仿宋"/>
                <w:sz w:val="20"/>
              </w:rPr>
              <w:t>主动部署</w:t>
            </w:r>
          </w:p>
        </w:tc>
        <w:tc>
          <w:tcPr>
            <w:tcW w:type="dxa" w:w="2882"/>
          </w:tcPr>
          <w:p>
            <w:r>
              <w:rPr>
                <w:rFonts w:ascii="仿宋" w:hAnsi="仿宋" w:eastAsia="仿宋"/>
                <w:sz w:val="20"/>
              </w:rPr>
              <w:t>从价格驱动→意图驱动</w:t>
            </w:r>
          </w:p>
        </w:tc>
      </w:tr>
    </w:tbl>
    <w:p>
      <w:pPr>
        <w:spacing w:after="120"/>
      </w:pPr>
    </w:p>
    <w:p>
      <w:pPr>
        <w:spacing w:after="120"/>
        <w:ind w:firstLine="420"/>
      </w:pPr>
      <w:r>
        <w:rPr>
          <w:rFonts w:ascii="仿宋" w:hAnsi="仿宋" w:eastAsia="仿宋"/>
          <w:sz w:val="24"/>
        </w:rPr>
        <w:t>（3）面向应用意图异常变化的控制平面自安全管理技术</w:t>
      </w:r>
    </w:p>
    <w:p>
      <w:pPr>
        <w:spacing w:after="120"/>
        <w:ind w:firstLine="420"/>
      </w:pPr>
      <w:r>
        <w:rPr>
          <w:rFonts w:ascii="仿宋" w:hAnsi="仿宋" w:eastAsia="仿宋"/>
          <w:sz w:val="24"/>
        </w:rPr>
        <w:t>为解决传统网络安全技术被动式应对网络攻击反应缓慢的问题，项目提出一种面向应用意图异常变化的控制平面自安全管理技术。该技术在可编程接入网控制平面通过应用意图分类与预测，先验性分析应用意图异常性变化，采用主动式编程监测、限制、隔离应用底层元能力使用情况，实现系统对恶意攻击影响的提前避免或消减。</w:t>
      </w:r>
    </w:p>
    <w:p>
      <w:pPr>
        <w:spacing w:after="120"/>
        <w:ind w:firstLine="420"/>
      </w:pPr>
      <w:r>
        <w:rPr>
          <w:rFonts w:ascii="仿宋" w:hAnsi="仿宋" w:eastAsia="仿宋"/>
          <w:sz w:val="24"/>
        </w:rPr>
        <w:t>支持成果（36项）：</w:t>
      </w:r>
    </w:p>
    <w:p>
      <w:pPr>
        <w:spacing w:after="120"/>
      </w:pPr>
      <w:r>
        <w:rPr>
          <w:rFonts w:ascii="仿宋" w:hAnsi="仿宋" w:eastAsia="仿宋"/>
          <w:sz w:val="24"/>
        </w:rPr>
        <w:t>论文：ResilM-IBN自愈型多智能体网络管理框架（通信学报，2026）</w:t>
      </w:r>
    </w:p>
    <w:p>
      <w:pPr>
        <w:spacing w:after="120"/>
      </w:pPr>
      <w:r>
        <w:rPr>
          <w:rFonts w:ascii="仿宋" w:hAnsi="仿宋" w:eastAsia="仿宋"/>
          <w:sz w:val="24"/>
        </w:rPr>
        <w:t>专利：SDN业务需求转化和部署方法、二层分布式多控制器架构、功能链组合方法等（授权）</w:t>
      </w:r>
    </w:p>
    <w:p>
      <w:pPr>
        <w:spacing w:after="120"/>
      </w:pPr>
      <w:r>
        <w:rPr>
          <w:rFonts w:ascii="仿宋" w:hAnsi="仿宋" w:eastAsia="仿宋"/>
          <w:sz w:val="24"/>
        </w:rPr>
        <w:t>UT专利：5G承载网网络切片、SRv6虚拟子网、FlexE实现、隧道标签处理等（23项）</w:t>
      </w:r>
    </w:p>
    <w:p>
      <w:pPr>
        <w:spacing w:after="120"/>
      </w:pPr>
      <w:r>
        <w:rPr>
          <w:rFonts w:ascii="仿宋" w:hAnsi="仿宋" w:eastAsia="仿宋"/>
          <w:sz w:val="24"/>
        </w:rPr>
        <w:t>课题组专利：多级流表设计、多控制器管理、逻辑功能块动态拓扑等（10项）</w:t>
      </w:r>
    </w:p>
    <w:p>
      <w:pPr>
        <w:pStyle w:val="Heading2"/>
        <w:spacing w:before="240" w:after="120"/>
      </w:pPr>
      <w:r>
        <w:rPr>
          <w:rFonts w:ascii="黑体" w:hAnsi="黑体" w:eastAsia="黑体"/>
          <w:sz w:val="28"/>
        </w:rPr>
        <w:t>创新点2：自主学习能力的网络状态感知和应用意图预测技术</w:t>
      </w:r>
    </w:p>
    <w:p>
      <w:pPr>
        <w:spacing w:after="120"/>
        <w:ind w:firstLine="420"/>
      </w:pPr>
      <w:r>
        <w:rPr>
          <w:rFonts w:ascii="仿宋" w:hAnsi="仿宋" w:eastAsia="仿宋"/>
          <w:sz w:val="24"/>
        </w:rPr>
        <w:t>为准确获取系统状态和应用服务需求，使能软件定义智能体主动式部署、管控转发平面元能力，项目创新性提出具备自主学习能力的系统状态轻量级感知技术和面向海量应用的意图特征预测技术。针对系统状态的复杂性，项目提出采用多模态数据融合方法提升状态感知精度。针对海量应用，项目提出利用注意力机制捕获其意图特征变化的内在时空相关性，并基于元学习技术提升海量预测模型的学习效率和训练后精度表现。</w:t>
      </w:r>
    </w:p>
    <w:p>
      <w:pPr>
        <w:spacing w:after="120"/>
        <w:ind w:firstLine="420"/>
      </w:pPr>
      <w:r>
        <w:rPr>
          <w:rFonts w:ascii="仿宋" w:hAnsi="仿宋" w:eastAsia="仿宋"/>
          <w:sz w:val="24"/>
        </w:rPr>
        <w:t>该创新与递归分解框架"动态匹配层"的对应关系：</w:t>
      </w:r>
    </w:p>
    <w:tbl>
      <w:tblPr>
        <w:tblW w:type="auto" w:w="0"/>
        <w:jc w:val="center"/>
        <w:tblLook w:firstColumn="1" w:firstRow="1" w:lastColumn="0" w:lastRow="0" w:noHBand="0" w:noVBand="1" w:val="04A0"/>
      </w:tblPr>
      <w:tblGrid>
        <w:gridCol w:w="2882"/>
        <w:gridCol w:w="2882"/>
        <w:gridCol w:w="2882"/>
      </w:tblGrid>
      <w:tr>
        <w:tc>
          <w:tcPr>
            <w:tcW w:type="dxa" w:w="2882"/>
          </w:tcPr>
          <w:p>
            <w:pPr>
              <w:jc w:val="center"/>
            </w:pPr>
            <w:r>
              <w:rPr>
                <w:rFonts w:ascii="仿宋" w:hAnsi="仿宋" w:eastAsia="仿宋"/>
                <w:b/>
                <w:sz w:val="20"/>
              </w:rPr>
              <w:t>框架需求</w:t>
            </w:r>
          </w:p>
        </w:tc>
        <w:tc>
          <w:tcPr>
            <w:tcW w:type="dxa" w:w="2882"/>
          </w:tcPr>
          <w:p>
            <w:pPr>
              <w:jc w:val="center"/>
            </w:pPr>
            <w:r>
              <w:rPr>
                <w:rFonts w:ascii="仿宋" w:hAnsi="仿宋" w:eastAsia="仿宋"/>
                <w:b/>
                <w:sz w:val="20"/>
              </w:rPr>
              <w:t>本技术实现</w:t>
            </w:r>
          </w:p>
        </w:tc>
        <w:tc>
          <w:tcPr>
            <w:tcW w:type="dxa" w:w="2882"/>
          </w:tcPr>
          <w:p>
            <w:pPr>
              <w:jc w:val="center"/>
            </w:pPr>
            <w:r>
              <w:rPr>
                <w:rFonts w:ascii="仿宋" w:hAnsi="仿宋" w:eastAsia="仿宋"/>
                <w:b/>
                <w:sz w:val="20"/>
              </w:rPr>
              <w:t>说明</w:t>
            </w:r>
          </w:p>
        </w:tc>
      </w:tr>
      <w:tr>
        <w:tc>
          <w:tcPr>
            <w:tcW w:type="dxa" w:w="2882"/>
          </w:tcPr>
          <w:p>
            <w:r>
              <w:rPr>
                <w:rFonts w:ascii="仿宋" w:hAnsi="仿宋" w:eastAsia="仿宋"/>
                <w:sz w:val="20"/>
              </w:rPr>
              <w:t>元业务质量预估</w:t>
            </w:r>
          </w:p>
        </w:tc>
        <w:tc>
          <w:tcPr>
            <w:tcW w:type="dxa" w:w="2882"/>
          </w:tcPr>
          <w:p>
            <w:r>
              <w:rPr>
                <w:rFonts w:ascii="仿宋" w:hAnsi="仿宋" w:eastAsia="仿宋"/>
                <w:sz w:val="20"/>
              </w:rPr>
              <w:t>意图特征预测</w:t>
            </w:r>
          </w:p>
        </w:tc>
        <w:tc>
          <w:tcPr>
            <w:tcW w:type="dxa" w:w="2882"/>
          </w:tcPr>
          <w:p>
            <w:r>
              <w:rPr>
                <w:rFonts w:ascii="仿宋" w:hAnsi="仿宋" w:eastAsia="仿宋"/>
                <w:sz w:val="20"/>
              </w:rPr>
              <w:t>从业务质量→意图特征</w:t>
            </w:r>
          </w:p>
        </w:tc>
      </w:tr>
      <w:tr>
        <w:tc>
          <w:tcPr>
            <w:tcW w:type="dxa" w:w="2882"/>
          </w:tcPr>
          <w:p>
            <w:r>
              <w:rPr>
                <w:rFonts w:ascii="仿宋" w:hAnsi="仿宋" w:eastAsia="仿宋"/>
                <w:sz w:val="20"/>
              </w:rPr>
              <w:t>动态匹配决策</w:t>
            </w:r>
          </w:p>
        </w:tc>
        <w:tc>
          <w:tcPr>
            <w:tcW w:type="dxa" w:w="2882"/>
          </w:tcPr>
          <w:p>
            <w:r>
              <w:rPr>
                <w:rFonts w:ascii="仿宋" w:hAnsi="仿宋" w:eastAsia="仿宋"/>
                <w:sz w:val="20"/>
              </w:rPr>
              <w:t>注意力机制</w:t>
            </w:r>
          </w:p>
        </w:tc>
        <w:tc>
          <w:tcPr>
            <w:tcW w:type="dxa" w:w="2882"/>
          </w:tcPr>
          <w:p>
            <w:r>
              <w:rPr>
                <w:rFonts w:ascii="仿宋" w:hAnsi="仿宋" w:eastAsia="仿宋"/>
                <w:sz w:val="20"/>
              </w:rPr>
              <w:t>从静态匹配→动态预测</w:t>
            </w:r>
          </w:p>
        </w:tc>
      </w:tr>
      <w:tr>
        <w:tc>
          <w:tcPr>
            <w:tcW w:type="dxa" w:w="2882"/>
          </w:tcPr>
          <w:p>
            <w:r>
              <w:rPr>
                <w:rFonts w:ascii="仿宋" w:hAnsi="仿宋" w:eastAsia="仿宋"/>
                <w:sz w:val="20"/>
              </w:rPr>
              <w:t>决策可追溯</w:t>
            </w:r>
          </w:p>
        </w:tc>
        <w:tc>
          <w:tcPr>
            <w:tcW w:type="dxa" w:w="2882"/>
          </w:tcPr>
          <w:p>
            <w:r>
              <w:rPr>
                <w:rFonts w:ascii="仿宋" w:hAnsi="仿宋" w:eastAsia="仿宋"/>
                <w:sz w:val="20"/>
              </w:rPr>
              <w:t>可解释性分解</w:t>
            </w:r>
          </w:p>
        </w:tc>
        <w:tc>
          <w:tcPr>
            <w:tcW w:type="dxa" w:w="2882"/>
          </w:tcPr>
          <w:p>
            <w:r>
              <w:rPr>
                <w:rFonts w:ascii="仿宋" w:hAnsi="仿宋" w:eastAsia="仿宋"/>
                <w:sz w:val="20"/>
              </w:rPr>
              <w:t>从黑盒→白盒</w:t>
            </w:r>
          </w:p>
        </w:tc>
      </w:tr>
      <w:tr>
        <w:tc>
          <w:tcPr>
            <w:tcW w:type="dxa" w:w="2882"/>
          </w:tcPr>
          <w:p>
            <w:r>
              <w:rPr>
                <w:rFonts w:ascii="仿宋" w:hAnsi="仿宋" w:eastAsia="仿宋"/>
                <w:sz w:val="20"/>
              </w:rPr>
              <w:t>历史案例复用</w:t>
            </w:r>
          </w:p>
        </w:tc>
        <w:tc>
          <w:tcPr>
            <w:tcW w:type="dxa" w:w="2882"/>
          </w:tcPr>
          <w:p>
            <w:r>
              <w:rPr>
                <w:rFonts w:ascii="仿宋" w:hAnsi="仿宋" w:eastAsia="仿宋"/>
                <w:sz w:val="20"/>
              </w:rPr>
              <w:t>元学习经验迁移</w:t>
            </w:r>
          </w:p>
        </w:tc>
        <w:tc>
          <w:tcPr>
            <w:tcW w:type="dxa" w:w="2882"/>
          </w:tcPr>
          <w:p>
            <w:r>
              <w:rPr>
                <w:rFonts w:ascii="仿宋" w:hAnsi="仿宋" w:eastAsia="仿宋"/>
                <w:sz w:val="20"/>
              </w:rPr>
              <w:t>从案例复用→模型迁移</w:t>
            </w:r>
          </w:p>
        </w:tc>
      </w:tr>
    </w:tbl>
    <w:p>
      <w:pPr>
        <w:spacing w:after="120"/>
      </w:pPr>
    </w:p>
    <w:p>
      <w:pPr>
        <w:spacing w:after="120"/>
        <w:ind w:firstLine="420"/>
      </w:pPr>
      <w:r>
        <w:rPr>
          <w:rFonts w:ascii="仿宋" w:hAnsi="仿宋" w:eastAsia="仿宋"/>
          <w:sz w:val="24"/>
        </w:rPr>
        <w:t>（1）多模态数据融合的分布式网络状态轻量级感知方法</w:t>
      </w:r>
    </w:p>
    <w:p>
      <w:pPr>
        <w:spacing w:after="120"/>
        <w:ind w:firstLine="420"/>
      </w:pPr>
      <w:r>
        <w:rPr>
          <w:rFonts w:ascii="仿宋" w:hAnsi="仿宋" w:eastAsia="仿宋"/>
          <w:sz w:val="24"/>
        </w:rPr>
        <w:t>项目提出控制平面软件定义智能体收集转发平面多模态状态数据，通过深度学习技术智能融合多模态数据，提升状态感知精度。项目提出了一个以低延迟和高精度提供近似控制平面与转发平面状态同步的轻量级框架，通过绕过转发设备操作系统，在转发设备ASIC与控制平面之间直接传输状态。</w:t>
      </w:r>
    </w:p>
    <w:p>
      <w:pPr>
        <w:spacing w:after="120"/>
        <w:ind w:firstLine="420"/>
      </w:pPr>
      <w:r>
        <w:rPr>
          <w:rFonts w:ascii="仿宋" w:hAnsi="仿宋" w:eastAsia="仿宋"/>
          <w:sz w:val="24"/>
        </w:rPr>
        <w:t>该技术与智能体政策"自主感知"的对应：</w:t>
      </w:r>
    </w:p>
    <w:tbl>
      <w:tblPr>
        <w:tblW w:type="auto" w:w="0"/>
        <w:jc w:val="center"/>
        <w:tblLook w:firstColumn="1" w:firstRow="1" w:lastColumn="0" w:lastRow="0" w:noHBand="0" w:noVBand="1" w:val="04A0"/>
      </w:tblPr>
      <w:tblGrid>
        <w:gridCol w:w="2882"/>
        <w:gridCol w:w="2882"/>
        <w:gridCol w:w="2882"/>
      </w:tblGrid>
      <w:tr>
        <w:tc>
          <w:tcPr>
            <w:tcW w:type="dxa" w:w="2882"/>
          </w:tcPr>
          <w:p>
            <w:pPr>
              <w:jc w:val="center"/>
            </w:pPr>
            <w:r>
              <w:rPr>
                <w:rFonts w:ascii="仿宋" w:hAnsi="仿宋" w:eastAsia="仿宋"/>
                <w:b/>
                <w:sz w:val="20"/>
              </w:rPr>
              <w:t>政策要求</w:t>
            </w:r>
          </w:p>
        </w:tc>
        <w:tc>
          <w:tcPr>
            <w:tcW w:type="dxa" w:w="2882"/>
          </w:tcPr>
          <w:p>
            <w:pPr>
              <w:jc w:val="center"/>
            </w:pPr>
            <w:r>
              <w:rPr>
                <w:rFonts w:ascii="仿宋" w:hAnsi="仿宋" w:eastAsia="仿宋"/>
                <w:b/>
                <w:sz w:val="20"/>
              </w:rPr>
              <w:t>本技术实现</w:t>
            </w:r>
          </w:p>
        </w:tc>
        <w:tc>
          <w:tcPr>
            <w:tcW w:type="dxa" w:w="2882"/>
          </w:tcPr>
          <w:p>
            <w:pPr>
              <w:jc w:val="center"/>
            </w:pPr>
            <w:r>
              <w:rPr>
                <w:rFonts w:ascii="仿宋" w:hAnsi="仿宋" w:eastAsia="仿宋"/>
                <w:b/>
                <w:sz w:val="20"/>
              </w:rPr>
              <w:t>匹配度</w:t>
            </w:r>
          </w:p>
        </w:tc>
      </w:tr>
      <w:tr>
        <w:tc>
          <w:tcPr>
            <w:tcW w:type="dxa" w:w="2882"/>
          </w:tcPr>
          <w:p>
            <w:r>
              <w:rPr>
                <w:rFonts w:ascii="仿宋" w:hAnsi="仿宋" w:eastAsia="仿宋"/>
                <w:sz w:val="20"/>
              </w:rPr>
              <w:t>自主感知</w:t>
            </w:r>
          </w:p>
        </w:tc>
        <w:tc>
          <w:tcPr>
            <w:tcW w:type="dxa" w:w="2882"/>
          </w:tcPr>
          <w:p>
            <w:r>
              <w:rPr>
                <w:rFonts w:ascii="仿宋" w:hAnsi="仿宋" w:eastAsia="仿宋"/>
                <w:sz w:val="20"/>
              </w:rPr>
              <w:t>多模态数据融合感知</w:t>
            </w:r>
          </w:p>
        </w:tc>
        <w:tc>
          <w:tcPr>
            <w:tcW w:type="dxa" w:w="2882"/>
          </w:tcPr>
          <w:p>
            <w:r>
              <w:rPr>
                <w:rFonts w:ascii="仿宋" w:hAnsi="仿宋" w:eastAsia="仿宋"/>
                <w:sz w:val="20"/>
              </w:rPr>
              <w:t>✅ 完全匹配</w:t>
            </w:r>
          </w:p>
        </w:tc>
      </w:tr>
      <w:tr>
        <w:tc>
          <w:tcPr>
            <w:tcW w:type="dxa" w:w="2882"/>
          </w:tcPr>
          <w:p>
            <w:r>
              <w:rPr>
                <w:rFonts w:ascii="仿宋" w:hAnsi="仿宋" w:eastAsia="仿宋"/>
                <w:sz w:val="20"/>
              </w:rPr>
              <w:t>环境监听</w:t>
            </w:r>
          </w:p>
        </w:tc>
        <w:tc>
          <w:tcPr>
            <w:tcW w:type="dxa" w:w="2882"/>
          </w:tcPr>
          <w:p>
            <w:r>
              <w:rPr>
                <w:rFonts w:ascii="仿宋" w:hAnsi="仿宋" w:eastAsia="仿宋"/>
                <w:sz w:val="20"/>
              </w:rPr>
              <w:t>ASIC直接传输状态</w:t>
            </w:r>
          </w:p>
        </w:tc>
        <w:tc>
          <w:tcPr>
            <w:tcW w:type="dxa" w:w="2882"/>
          </w:tcPr>
          <w:p>
            <w:r>
              <w:rPr>
                <w:rFonts w:ascii="仿宋" w:hAnsi="仿宋" w:eastAsia="仿宋"/>
                <w:sz w:val="20"/>
              </w:rPr>
              <w:t>✅ 完全匹配</w:t>
            </w:r>
          </w:p>
        </w:tc>
      </w:tr>
      <w:tr>
        <w:tc>
          <w:tcPr>
            <w:tcW w:type="dxa" w:w="2882"/>
          </w:tcPr>
          <w:p>
            <w:r>
              <w:rPr>
                <w:rFonts w:ascii="仿宋" w:hAnsi="仿宋" w:eastAsia="仿宋"/>
                <w:sz w:val="20"/>
              </w:rPr>
              <w:t>事件触发</w:t>
            </w:r>
          </w:p>
        </w:tc>
        <w:tc>
          <w:tcPr>
            <w:tcW w:type="dxa" w:w="2882"/>
          </w:tcPr>
          <w:p>
            <w:r>
              <w:rPr>
                <w:rFonts w:ascii="仿宋" w:hAnsi="仿宋" w:eastAsia="仿宋"/>
                <w:sz w:val="20"/>
              </w:rPr>
              <w:t>速率控制+偏差约束</w:t>
            </w:r>
          </w:p>
        </w:tc>
        <w:tc>
          <w:tcPr>
            <w:tcW w:type="dxa" w:w="2882"/>
          </w:tcPr>
          <w:p>
            <w:r>
              <w:rPr>
                <w:rFonts w:ascii="仿宋" w:hAnsi="仿宋" w:eastAsia="仿宋"/>
                <w:sz w:val="20"/>
              </w:rPr>
              <w:t>✅ 完全匹配</w:t>
            </w:r>
          </w:p>
        </w:tc>
      </w:tr>
    </w:tbl>
    <w:p>
      <w:pPr>
        <w:spacing w:after="120"/>
      </w:pPr>
    </w:p>
    <w:p>
      <w:pPr>
        <w:spacing w:after="120"/>
        <w:ind w:firstLine="420"/>
      </w:pPr>
      <w:r>
        <w:rPr>
          <w:rFonts w:ascii="仿宋" w:hAnsi="仿宋" w:eastAsia="仿宋"/>
          <w:sz w:val="24"/>
        </w:rPr>
        <w:t>（2）基于注意力机制的可解释性独立应用意图特征预测方法</w:t>
      </w:r>
    </w:p>
    <w:p>
      <w:pPr>
        <w:spacing w:after="120"/>
        <w:ind w:firstLine="420"/>
      </w:pPr>
      <w:r>
        <w:rPr>
          <w:rFonts w:ascii="仿宋" w:hAnsi="仿宋" w:eastAsia="仿宋"/>
          <w:sz w:val="24"/>
        </w:rPr>
        <w:t>项目提出采用注意力机制的深度学习算法，捕捉独立应用意图特征变化的时间相关性与空间相关性。特别的，项目形成一种基于图卷积神经网络的分解可解释性时空图卷积神经网络，端到端预测特定独立应用意图特征的变化趋势。</w:t>
      </w:r>
    </w:p>
    <w:p>
      <w:pPr>
        <w:spacing w:after="120"/>
        <w:ind w:firstLine="420"/>
      </w:pPr>
      <w:r>
        <w:rPr>
          <w:rFonts w:ascii="仿宋" w:hAnsi="仿宋" w:eastAsia="仿宋"/>
          <w:sz w:val="24"/>
        </w:rPr>
        <w:t>（3）基于深度元学习的海量意图预测模型偏好优化机制</w:t>
      </w:r>
    </w:p>
    <w:p>
      <w:pPr>
        <w:spacing w:after="120"/>
        <w:ind w:firstLine="420"/>
      </w:pPr>
      <w:r>
        <w:rPr>
          <w:rFonts w:ascii="仿宋" w:hAnsi="仿宋" w:eastAsia="仿宋"/>
          <w:sz w:val="24"/>
        </w:rPr>
        <w:t>面向海量应用意图特征预测任务，项目提出利用深度元学习技术建立处理海量预测任务的自主学习能力。特别地，形成深度元学习模型，刻画应用本质特性、意图预测模型超参数与假设空间复杂度间的映射关系。利用计算学习理论，联合优化海量预测模型超参数及初始权重向量，平衡各模型表示能力和假设空间复杂度，达到提升海量模型学习效率与训练后精度的目的。</w:t>
      </w:r>
    </w:p>
    <w:p>
      <w:pPr>
        <w:spacing w:after="120"/>
        <w:ind w:firstLine="420"/>
      </w:pPr>
      <w:r>
        <w:rPr>
          <w:rFonts w:ascii="仿宋" w:hAnsi="仿宋" w:eastAsia="仿宋"/>
          <w:sz w:val="24"/>
        </w:rPr>
        <w:t>支持成果（15项）：</w:t>
      </w:r>
    </w:p>
    <w:p>
      <w:pPr>
        <w:spacing w:after="120"/>
      </w:pPr>
      <w:r>
        <w:rPr>
          <w:rFonts w:ascii="仿宋" w:hAnsi="仿宋" w:eastAsia="仿宋"/>
          <w:sz w:val="24"/>
        </w:rPr>
        <w:t>论文：ApproSync低延迟高精度状态同步（IEEE/ACM ToN，2023）</w:t>
      </w:r>
    </w:p>
    <w:p>
      <w:pPr>
        <w:spacing w:after="120"/>
      </w:pPr>
      <w:r>
        <w:rPr>
          <w:rFonts w:ascii="仿宋" w:hAnsi="仿宋" w:eastAsia="仿宋"/>
          <w:sz w:val="24"/>
        </w:rPr>
        <w:t>论文：dmTP深度元学习框架（IEEE Wireless Comm，2021）</w:t>
      </w:r>
    </w:p>
    <w:p>
      <w:pPr>
        <w:spacing w:after="120"/>
      </w:pPr>
      <w:r>
        <w:rPr>
          <w:rFonts w:ascii="仿宋" w:hAnsi="仿宋" w:eastAsia="仿宋"/>
          <w:sz w:val="24"/>
        </w:rPr>
        <w:t>论文：ML-TP元学习流量预测（IEEE TWC，2023）</w:t>
      </w:r>
    </w:p>
    <w:p>
      <w:pPr>
        <w:spacing w:after="120"/>
      </w:pPr>
      <w:r>
        <w:rPr>
          <w:rFonts w:ascii="仿宋" w:hAnsi="仿宋" w:eastAsia="仿宋"/>
          <w:sz w:val="24"/>
        </w:rPr>
        <w:t>论文：DISTGCN蜂窝网络流量预测（电信科学，2025）</w:t>
      </w:r>
    </w:p>
    <w:p>
      <w:pPr>
        <w:spacing w:after="120"/>
      </w:pPr>
      <w:r>
        <w:rPr>
          <w:rFonts w:ascii="仿宋" w:hAnsi="仿宋" w:eastAsia="仿宋"/>
          <w:sz w:val="24"/>
        </w:rPr>
        <w:t>论文：GAN超宽带数字信道建模（电信科学，2024）</w:t>
      </w:r>
    </w:p>
    <w:p>
      <w:pPr>
        <w:spacing w:after="120"/>
      </w:pPr>
      <w:r>
        <w:rPr>
          <w:rFonts w:ascii="仿宋" w:hAnsi="仿宋" w:eastAsia="仿宋"/>
          <w:sz w:val="24"/>
        </w:rPr>
        <w:t>专利：可解释性应用意图特征预测方法（申请中）</w:t>
      </w:r>
    </w:p>
    <w:p>
      <w:pPr>
        <w:spacing w:after="120"/>
      </w:pPr>
      <w:r>
        <w:rPr>
          <w:rFonts w:ascii="仿宋" w:hAnsi="仿宋" w:eastAsia="仿宋"/>
          <w:sz w:val="24"/>
        </w:rPr>
        <w:t>专利：射线追踪+生成扩散模型信道预测（申请中）</w:t>
      </w:r>
    </w:p>
    <w:p>
      <w:pPr>
        <w:spacing w:after="120"/>
      </w:pPr>
      <w:r>
        <w:rPr>
          <w:rFonts w:ascii="仿宋" w:hAnsi="仿宋" w:eastAsia="仿宋"/>
          <w:sz w:val="24"/>
        </w:rPr>
        <w:t>专利：深度元学习海量预测模型偏好自动化选择（申请中）</w:t>
      </w:r>
    </w:p>
    <w:p>
      <w:pPr>
        <w:pStyle w:val="Heading2"/>
        <w:spacing w:before="240" w:after="120"/>
      </w:pPr>
      <w:r>
        <w:rPr>
          <w:rFonts w:ascii="黑体" w:hAnsi="黑体" w:eastAsia="黑体"/>
          <w:sz w:val="28"/>
        </w:rPr>
        <w:t>创新点3：提出应用意图为中心的接入网主动式部署管控技术</w:t>
      </w:r>
    </w:p>
    <w:p>
      <w:pPr>
        <w:spacing w:after="120"/>
        <w:ind w:firstLine="420"/>
      </w:pPr>
      <w:r>
        <w:rPr>
          <w:rFonts w:ascii="仿宋" w:hAnsi="仿宋" w:eastAsia="仿宋"/>
          <w:sz w:val="24"/>
        </w:rPr>
        <w:t>在系统状态捕获和应用意图预测的基础上，项目进一步提出可编程接入网主动式部署管控技术。面向应用分布变化，项目创新性提出基于监督学习的系统主动式部署与应用接入路径选择算法，降低系统拥塞风险；面向预期并发出现的多应用链路，项目提出基于深度强化学习的并发链路波束整形技术，以提升系统整体吞吐量；面向异构接入网存在的高度动态性，项目提出基于图注意力神经网络的主动式中断避免技术，有效提升应用服务的可靠性。</w:t>
      </w:r>
    </w:p>
    <w:p>
      <w:pPr>
        <w:spacing w:after="120"/>
        <w:ind w:firstLine="420"/>
      </w:pPr>
      <w:r>
        <w:rPr>
          <w:rFonts w:ascii="仿宋" w:hAnsi="仿宋" w:eastAsia="仿宋"/>
          <w:sz w:val="24"/>
        </w:rPr>
        <w:t>该创新与递归分解框架"执行协调层"的对应关系：</w:t>
      </w:r>
    </w:p>
    <w:tbl>
      <w:tblPr>
        <w:tblW w:type="auto" w:w="0"/>
        <w:jc w:val="center"/>
        <w:tblLook w:firstColumn="1" w:firstRow="1" w:lastColumn="0" w:lastRow="0" w:noHBand="0" w:noVBand="1" w:val="04A0"/>
      </w:tblPr>
      <w:tblGrid>
        <w:gridCol w:w="2882"/>
        <w:gridCol w:w="2882"/>
        <w:gridCol w:w="2882"/>
      </w:tblGrid>
      <w:tr>
        <w:tc>
          <w:tcPr>
            <w:tcW w:type="dxa" w:w="2882"/>
          </w:tcPr>
          <w:p>
            <w:pPr>
              <w:jc w:val="center"/>
            </w:pPr>
            <w:r>
              <w:rPr>
                <w:rFonts w:ascii="仿宋" w:hAnsi="仿宋" w:eastAsia="仿宋"/>
                <w:b/>
                <w:sz w:val="20"/>
              </w:rPr>
              <w:t>框架需求</w:t>
            </w:r>
          </w:p>
        </w:tc>
        <w:tc>
          <w:tcPr>
            <w:tcW w:type="dxa" w:w="2882"/>
          </w:tcPr>
          <w:p>
            <w:pPr>
              <w:jc w:val="center"/>
            </w:pPr>
            <w:r>
              <w:rPr>
                <w:rFonts w:ascii="仿宋" w:hAnsi="仿宋" w:eastAsia="仿宋"/>
                <w:b/>
                <w:sz w:val="20"/>
              </w:rPr>
              <w:t>本技术实现</w:t>
            </w:r>
          </w:p>
        </w:tc>
        <w:tc>
          <w:tcPr>
            <w:tcW w:type="dxa" w:w="2882"/>
          </w:tcPr>
          <w:p>
            <w:pPr>
              <w:jc w:val="center"/>
            </w:pPr>
            <w:r>
              <w:rPr>
                <w:rFonts w:ascii="仿宋" w:hAnsi="仿宋" w:eastAsia="仿宋"/>
                <w:b/>
                <w:sz w:val="20"/>
              </w:rPr>
              <w:t>说明</w:t>
            </w:r>
          </w:p>
        </w:tc>
      </w:tr>
      <w:tr>
        <w:tc>
          <w:tcPr>
            <w:tcW w:type="dxa" w:w="2882"/>
          </w:tcPr>
          <w:p>
            <w:r>
              <w:rPr>
                <w:rFonts w:ascii="仿宋" w:hAnsi="仿宋" w:eastAsia="仿宋"/>
                <w:sz w:val="20"/>
              </w:rPr>
              <w:t>预判性元业务执行</w:t>
            </w:r>
          </w:p>
        </w:tc>
        <w:tc>
          <w:tcPr>
            <w:tcW w:type="dxa" w:w="2882"/>
          </w:tcPr>
          <w:p>
            <w:r>
              <w:rPr>
                <w:rFonts w:ascii="仿宋" w:hAnsi="仿宋" w:eastAsia="仿宋"/>
                <w:sz w:val="20"/>
              </w:rPr>
              <w:t>主动式部署</w:t>
            </w:r>
          </w:p>
        </w:tc>
        <w:tc>
          <w:tcPr>
            <w:tcW w:type="dxa" w:w="2882"/>
          </w:tcPr>
          <w:p>
            <w:r>
              <w:rPr>
                <w:rFonts w:ascii="仿宋" w:hAnsi="仿宋" w:eastAsia="仿宋"/>
                <w:sz w:val="20"/>
              </w:rPr>
              <w:t>完全一致！</w:t>
            </w:r>
          </w:p>
        </w:tc>
      </w:tr>
      <w:tr>
        <w:tc>
          <w:tcPr>
            <w:tcW w:type="dxa" w:w="2882"/>
          </w:tcPr>
          <w:p>
            <w:r>
              <w:rPr>
                <w:rFonts w:ascii="仿宋" w:hAnsi="仿宋" w:eastAsia="仿宋"/>
                <w:sz w:val="20"/>
              </w:rPr>
              <w:t>DAG最优路由</w:t>
            </w:r>
          </w:p>
        </w:tc>
        <w:tc>
          <w:tcPr>
            <w:tcW w:type="dxa" w:w="2882"/>
          </w:tcPr>
          <w:p>
            <w:r>
              <w:rPr>
                <w:rFonts w:ascii="仿宋" w:hAnsi="仿宋" w:eastAsia="仿宋"/>
                <w:sz w:val="20"/>
              </w:rPr>
              <w:t>接入路径选择</w:t>
            </w:r>
          </w:p>
        </w:tc>
        <w:tc>
          <w:tcPr>
            <w:tcW w:type="dxa" w:w="2882"/>
          </w:tcPr>
          <w:p>
            <w:r>
              <w:rPr>
                <w:rFonts w:ascii="仿宋" w:hAnsi="仿宋" w:eastAsia="仿宋"/>
                <w:sz w:val="20"/>
              </w:rPr>
              <w:t>从DAG路由→接入路径</w:t>
            </w:r>
          </w:p>
        </w:tc>
      </w:tr>
      <w:tr>
        <w:tc>
          <w:tcPr>
            <w:tcW w:type="dxa" w:w="2882"/>
          </w:tcPr>
          <w:p>
            <w:r>
              <w:rPr>
                <w:rFonts w:ascii="仿宋" w:hAnsi="仿宋" w:eastAsia="仿宋"/>
                <w:sz w:val="20"/>
              </w:rPr>
              <w:t>多智能体协作</w:t>
            </w:r>
          </w:p>
        </w:tc>
        <w:tc>
          <w:tcPr>
            <w:tcW w:type="dxa" w:w="2882"/>
          </w:tcPr>
          <w:p>
            <w:r>
              <w:rPr>
                <w:rFonts w:ascii="仿宋" w:hAnsi="仿宋" w:eastAsia="仿宋"/>
                <w:sz w:val="20"/>
              </w:rPr>
              <w:t>分布式DRL智能体</w:t>
            </w:r>
          </w:p>
        </w:tc>
        <w:tc>
          <w:tcPr>
            <w:tcW w:type="dxa" w:w="2882"/>
          </w:tcPr>
          <w:p>
            <w:r>
              <w:rPr>
                <w:rFonts w:ascii="仿宋" w:hAnsi="仿宋" w:eastAsia="仿宋"/>
                <w:sz w:val="20"/>
              </w:rPr>
              <w:t>完全一致！</w:t>
            </w:r>
          </w:p>
        </w:tc>
      </w:tr>
      <w:tr>
        <w:tc>
          <w:tcPr>
            <w:tcW w:type="dxa" w:w="2882"/>
          </w:tcPr>
          <w:p>
            <w:r>
              <w:rPr>
                <w:rFonts w:ascii="仿宋" w:hAnsi="仿宋" w:eastAsia="仿宋"/>
                <w:sz w:val="20"/>
              </w:rPr>
              <w:t>异常降级策略</w:t>
            </w:r>
          </w:p>
        </w:tc>
        <w:tc>
          <w:tcPr>
            <w:tcW w:type="dxa" w:w="2882"/>
          </w:tcPr>
          <w:p>
            <w:r>
              <w:rPr>
                <w:rFonts w:ascii="仿宋" w:hAnsi="仿宋" w:eastAsia="仿宋"/>
                <w:sz w:val="20"/>
              </w:rPr>
              <w:t>主动式中断避免</w:t>
            </w:r>
          </w:p>
        </w:tc>
        <w:tc>
          <w:tcPr>
            <w:tcW w:type="dxa" w:w="2882"/>
          </w:tcPr>
          <w:p>
            <w:r>
              <w:rPr>
                <w:rFonts w:ascii="仿宋" w:hAnsi="仿宋" w:eastAsia="仿宋"/>
                <w:sz w:val="20"/>
              </w:rPr>
              <w:t>从降级→避免</w:t>
            </w:r>
          </w:p>
        </w:tc>
      </w:tr>
    </w:tbl>
    <w:p>
      <w:pPr>
        <w:spacing w:after="120"/>
      </w:pPr>
    </w:p>
    <w:p>
      <w:pPr>
        <w:spacing w:after="120"/>
        <w:ind w:firstLine="420"/>
      </w:pPr>
      <w:r>
        <w:rPr>
          <w:rFonts w:ascii="仿宋" w:hAnsi="仿宋" w:eastAsia="仿宋"/>
          <w:sz w:val="24"/>
        </w:rPr>
        <w:t>（1）基于线上监督学习的接入网主动式部署与接入路径选择方法</w:t>
      </w:r>
    </w:p>
    <w:p>
      <w:pPr>
        <w:spacing w:after="120"/>
        <w:ind w:firstLine="420"/>
      </w:pPr>
      <w:r>
        <w:rPr>
          <w:rFonts w:ascii="仿宋" w:hAnsi="仿宋" w:eastAsia="仿宋"/>
          <w:sz w:val="24"/>
        </w:rPr>
        <w:t>面向应用热点分布不规律、不均匀现象，项目基于线上监督学习与匹配理论提出了可编程接入网主动式部署与应用接入路径选择方法。方法构建线上应用分布与接入网最优部署知识规则库，利用K近邻算法针对应用分布预测确定接入网高质量主动式部署策略。项目进一步基于最优匹配理论与强干扰期望应用正交分离技术形成应用最优接入路径选择方案，在降低拥塞概率的同时最大化系统性能期望。</w:t>
      </w:r>
    </w:p>
    <w:p>
      <w:pPr>
        <w:spacing w:after="120"/>
        <w:ind w:firstLine="420"/>
      </w:pPr>
      <w:r>
        <w:rPr>
          <w:rFonts w:ascii="仿宋" w:hAnsi="仿宋" w:eastAsia="仿宋"/>
          <w:sz w:val="24"/>
        </w:rPr>
        <w:t>（2）基于深度强化学习的并发链路主动式传输波束整形技术</w:t>
      </w:r>
    </w:p>
    <w:p>
      <w:pPr>
        <w:spacing w:after="120"/>
        <w:ind w:firstLine="420"/>
      </w:pPr>
      <w:r>
        <w:rPr>
          <w:rFonts w:ascii="仿宋" w:hAnsi="仿宋" w:eastAsia="仿宋"/>
          <w:sz w:val="24"/>
        </w:rPr>
        <w:t>在应用意图预测基础上，项目考虑并发传输链路传输速率阈值需求，提出一种基于分布式深度强化学习智能体的主动式波束整形技术。技术中各智能体负责计算单一链路未来波束整形策略，从而极大降低问题线上处理复杂度。此外，项目提出了一种多智能体"分布式更新-集中式奖励"方案，以在线试错的方式训练各智能体内部神经网络并保障智能体神经网络朝着全局最优的方向更新。</w:t>
      </w:r>
    </w:p>
    <w:p>
      <w:pPr>
        <w:spacing w:after="120"/>
        <w:ind w:firstLine="420"/>
      </w:pPr>
      <w:r>
        <w:rPr>
          <w:rFonts w:ascii="仿宋" w:hAnsi="仿宋" w:eastAsia="仿宋"/>
          <w:sz w:val="24"/>
        </w:rPr>
        <w:t>（3）高动态异构接入网场景下主动式应用传输中断避免技术</w:t>
      </w:r>
    </w:p>
    <w:p>
      <w:pPr>
        <w:spacing w:after="120"/>
        <w:ind w:firstLine="420"/>
      </w:pPr>
      <w:r>
        <w:rPr>
          <w:rFonts w:ascii="仿宋" w:hAnsi="仿宋" w:eastAsia="仿宋"/>
          <w:sz w:val="24"/>
        </w:rPr>
        <w:t>考虑到异构接入网场景下接入节点和中断设备的高动态性，项目基于应用意图预测，提出一种基于图注意力神经网络的主动式应用传输中断避免技术。技术中图注意力神经网络在分布式信息中加入系统全局状态，各应用链路从全局视角出发通过主动学习的方式主动式获取自身最优接入节点选择策略和转发平面元能力预留策略，保障传输链路在接入节点服务窗口结束前完成完整网络功能链服务，从而避免链路中断并提升系统运行可靠性。</w:t>
      </w:r>
    </w:p>
    <w:p>
      <w:pPr>
        <w:spacing w:after="120"/>
        <w:ind w:firstLine="420"/>
      </w:pPr>
      <w:r>
        <w:rPr>
          <w:rFonts w:ascii="仿宋" w:hAnsi="仿宋" w:eastAsia="仿宋"/>
          <w:sz w:val="24"/>
        </w:rPr>
        <w:t>支持成果（12项）：</w:t>
      </w:r>
    </w:p>
    <w:p>
      <w:pPr>
        <w:spacing w:after="120"/>
      </w:pPr>
      <w:r>
        <w:rPr>
          <w:rFonts w:ascii="仿宋" w:hAnsi="仿宋" w:eastAsia="仿宋"/>
          <w:sz w:val="24"/>
        </w:rPr>
        <w:t>论文：UAV-BS部署+用户关联（IEEE IoT Journal，2023）</w:t>
      </w:r>
    </w:p>
    <w:p>
      <w:pPr>
        <w:spacing w:after="120"/>
      </w:pPr>
      <w:r>
        <w:rPr>
          <w:rFonts w:ascii="仿宋" w:hAnsi="仿宋" w:eastAsia="仿宋"/>
          <w:sz w:val="24"/>
        </w:rPr>
        <w:t>论文：NR-U与WiGig共存匹配框架（IEEE TVT，2023）</w:t>
      </w:r>
    </w:p>
    <w:p>
      <w:pPr>
        <w:spacing w:after="120"/>
      </w:pPr>
      <w:r>
        <w:rPr>
          <w:rFonts w:ascii="仿宋" w:hAnsi="仿宋" w:eastAsia="仿宋"/>
          <w:sz w:val="24"/>
        </w:rPr>
        <w:t>论文：多智能体DRL波束成形（IEEE TWC，2023）</w:t>
      </w:r>
    </w:p>
    <w:p>
      <w:pPr>
        <w:spacing w:after="120"/>
      </w:pPr>
      <w:r>
        <w:rPr>
          <w:rFonts w:ascii="仿宋" w:hAnsi="仿宋" w:eastAsia="仿宋"/>
          <w:sz w:val="24"/>
        </w:rPr>
        <w:t>论文：高铁防中断传输（IEEE TWC，2026）</w:t>
      </w:r>
    </w:p>
    <w:p>
      <w:pPr>
        <w:spacing w:after="120"/>
      </w:pPr>
      <w:r>
        <w:rPr>
          <w:rFonts w:ascii="仿宋" w:hAnsi="仿宋" w:eastAsia="仿宋"/>
          <w:sz w:val="24"/>
        </w:rPr>
        <w:t>专利：主动式部署与接入路径选择（申请中）</w:t>
      </w:r>
    </w:p>
    <w:p>
      <w:pPr>
        <w:spacing w:after="120"/>
      </w:pPr>
      <w:r>
        <w:rPr>
          <w:rFonts w:ascii="仿宋" w:hAnsi="仿宋" w:eastAsia="仿宋"/>
          <w:sz w:val="24"/>
        </w:rPr>
        <w:t>专利：主动式波束整形（申请中）</w:t>
      </w:r>
    </w:p>
    <w:p>
      <w:pPr>
        <w:spacing w:after="120"/>
      </w:pPr>
      <w:r>
        <w:rPr>
          <w:rFonts w:ascii="仿宋" w:hAnsi="仿宋" w:eastAsia="仿宋"/>
          <w:sz w:val="24"/>
        </w:rPr>
        <w:t>专利：主动式中断避免（申请中）</w:t>
      </w:r>
    </w:p>
    <w:p>
      <w:pPr>
        <w:pStyle w:val="Heading1"/>
        <w:spacing w:before="240" w:after="120"/>
      </w:pPr>
      <w:r>
        <w:rPr>
          <w:rFonts w:ascii="黑体" w:hAnsi="黑体" w:eastAsia="黑体"/>
          <w:sz w:val="32"/>
        </w:rPr>
        <w:t>五、与国家级智能体政策的对标</w:t>
      </w:r>
    </w:p>
    <w:p>
      <w:pPr>
        <w:spacing w:after="120"/>
        <w:ind w:firstLine="420"/>
      </w:pPr>
      <w:r>
        <w:rPr>
          <w:rFonts w:ascii="仿宋" w:hAnsi="仿宋" w:eastAsia="仿宋"/>
          <w:sz w:val="24"/>
        </w:rPr>
        <w:t>本项目完全对齐2026年国家级智能体政策的五大能力要求：</w:t>
      </w:r>
    </w:p>
    <w:tbl>
      <w:tblPr>
        <w:tblW w:type="auto" w:w="0"/>
        <w:jc w:val="center"/>
        <w:tblLook w:firstColumn="1" w:firstRow="1" w:lastColumn="0" w:lastRow="0" w:noHBand="0" w:noVBand="1" w:val="04A0"/>
      </w:tblPr>
      <w:tblGrid>
        <w:gridCol w:w="2882"/>
        <w:gridCol w:w="2882"/>
        <w:gridCol w:w="2882"/>
      </w:tblGrid>
      <w:tr>
        <w:tc>
          <w:tcPr>
            <w:tcW w:type="dxa" w:w="2882"/>
          </w:tcPr>
          <w:p>
            <w:pPr>
              <w:jc w:val="center"/>
            </w:pPr>
            <w:r>
              <w:rPr>
                <w:rFonts w:ascii="仿宋" w:hAnsi="仿宋" w:eastAsia="仿宋"/>
                <w:b/>
                <w:sz w:val="20"/>
              </w:rPr>
              <w:t>政策能力要求</w:t>
            </w:r>
          </w:p>
        </w:tc>
        <w:tc>
          <w:tcPr>
            <w:tcW w:type="dxa" w:w="2882"/>
          </w:tcPr>
          <w:p>
            <w:pPr>
              <w:jc w:val="center"/>
            </w:pPr>
            <w:r>
              <w:rPr>
                <w:rFonts w:ascii="仿宋" w:hAnsi="仿宋" w:eastAsia="仿宋"/>
                <w:b/>
                <w:sz w:val="20"/>
              </w:rPr>
              <w:t>本项目实现</w:t>
            </w:r>
          </w:p>
        </w:tc>
        <w:tc>
          <w:tcPr>
            <w:tcW w:type="dxa" w:w="2882"/>
          </w:tcPr>
          <w:p>
            <w:pPr>
              <w:jc w:val="center"/>
            </w:pPr>
            <w:r>
              <w:rPr>
                <w:rFonts w:ascii="仿宋" w:hAnsi="仿宋" w:eastAsia="仿宋"/>
                <w:b/>
                <w:sz w:val="20"/>
              </w:rPr>
              <w:t>匹配度</w:t>
            </w:r>
          </w:p>
        </w:tc>
      </w:tr>
      <w:tr>
        <w:tc>
          <w:tcPr>
            <w:tcW w:type="dxa" w:w="2882"/>
          </w:tcPr>
          <w:p>
            <w:r>
              <w:rPr>
                <w:rFonts w:ascii="仿宋" w:hAnsi="仿宋" w:eastAsia="仿宋"/>
                <w:sz w:val="20"/>
              </w:rPr>
              <w:t>自主感知</w:t>
            </w:r>
          </w:p>
        </w:tc>
        <w:tc>
          <w:tcPr>
            <w:tcW w:type="dxa" w:w="2882"/>
          </w:tcPr>
          <w:p>
            <w:r>
              <w:rPr>
                <w:rFonts w:ascii="仿宋" w:hAnsi="仿宋" w:eastAsia="仿宋"/>
                <w:sz w:val="20"/>
              </w:rPr>
              <w:t>多模态数据融合感知 + ASIC直接传输状态</w:t>
            </w:r>
          </w:p>
        </w:tc>
        <w:tc>
          <w:tcPr>
            <w:tcW w:type="dxa" w:w="2882"/>
          </w:tcPr>
          <w:p>
            <w:r>
              <w:rPr>
                <w:rFonts w:ascii="仿宋" w:hAnsi="仿宋" w:eastAsia="仿宋"/>
                <w:sz w:val="20"/>
              </w:rPr>
              <w:t>✅ 完全匹配</w:t>
            </w:r>
          </w:p>
        </w:tc>
      </w:tr>
      <w:tr>
        <w:tc>
          <w:tcPr>
            <w:tcW w:type="dxa" w:w="2882"/>
          </w:tcPr>
          <w:p>
            <w:r>
              <w:rPr>
                <w:rFonts w:ascii="仿宋" w:hAnsi="仿宋" w:eastAsia="仿宋"/>
                <w:sz w:val="20"/>
              </w:rPr>
              <w:t>记忆系统</w:t>
            </w:r>
          </w:p>
        </w:tc>
        <w:tc>
          <w:tcPr>
            <w:tcW w:type="dxa" w:w="2882"/>
          </w:tcPr>
          <w:p>
            <w:r>
              <w:rPr>
                <w:rFonts w:ascii="仿宋" w:hAnsi="仿宋" w:eastAsia="仿宋"/>
                <w:sz w:val="20"/>
              </w:rPr>
              <w:t>元学习经验迁移 + 历史案例复用</w:t>
            </w:r>
          </w:p>
        </w:tc>
        <w:tc>
          <w:tcPr>
            <w:tcW w:type="dxa" w:w="2882"/>
          </w:tcPr>
          <w:p>
            <w:r>
              <w:rPr>
                <w:rFonts w:ascii="仿宋" w:hAnsi="仿宋" w:eastAsia="仿宋"/>
                <w:sz w:val="20"/>
              </w:rPr>
              <w:t>✅ 完全匹配</w:t>
            </w:r>
          </w:p>
        </w:tc>
      </w:tr>
      <w:tr>
        <w:tc>
          <w:tcPr>
            <w:tcW w:type="dxa" w:w="2882"/>
          </w:tcPr>
          <w:p>
            <w:r>
              <w:rPr>
                <w:rFonts w:ascii="仿宋" w:hAnsi="仿宋" w:eastAsia="仿宋"/>
                <w:sz w:val="20"/>
              </w:rPr>
              <w:t>决策能力</w:t>
            </w:r>
          </w:p>
        </w:tc>
        <w:tc>
          <w:tcPr>
            <w:tcW w:type="dxa" w:w="2882"/>
          </w:tcPr>
          <w:p>
            <w:r>
              <w:rPr>
                <w:rFonts w:ascii="仿宋" w:hAnsi="仿宋" w:eastAsia="仿宋"/>
                <w:sz w:val="20"/>
              </w:rPr>
              <w:t>意图预测 + 资源调度 + 波束成形</w:t>
            </w:r>
          </w:p>
        </w:tc>
        <w:tc>
          <w:tcPr>
            <w:tcW w:type="dxa" w:w="2882"/>
          </w:tcPr>
          <w:p>
            <w:r>
              <w:rPr>
                <w:rFonts w:ascii="仿宋" w:hAnsi="仿宋" w:eastAsia="仿宋"/>
                <w:sz w:val="20"/>
              </w:rPr>
              <w:t>✅ 完全匹配</w:t>
            </w:r>
          </w:p>
        </w:tc>
      </w:tr>
      <w:tr>
        <w:tc>
          <w:tcPr>
            <w:tcW w:type="dxa" w:w="2882"/>
          </w:tcPr>
          <w:p>
            <w:r>
              <w:rPr>
                <w:rFonts w:ascii="仿宋" w:hAnsi="仿宋" w:eastAsia="仿宋"/>
                <w:sz w:val="20"/>
              </w:rPr>
              <w:t>交互能力</w:t>
            </w:r>
          </w:p>
        </w:tc>
        <w:tc>
          <w:tcPr>
            <w:tcW w:type="dxa" w:w="2882"/>
          </w:tcPr>
          <w:p>
            <w:r>
              <w:rPr>
                <w:rFonts w:ascii="仿宋" w:hAnsi="仿宋" w:eastAsia="仿宋"/>
                <w:sz w:val="20"/>
              </w:rPr>
              <w:t>多智能体协作 + 结构化通信</w:t>
            </w:r>
          </w:p>
        </w:tc>
        <w:tc>
          <w:tcPr>
            <w:tcW w:type="dxa" w:w="2882"/>
          </w:tcPr>
          <w:p>
            <w:r>
              <w:rPr>
                <w:rFonts w:ascii="仿宋" w:hAnsi="仿宋" w:eastAsia="仿宋"/>
                <w:sz w:val="20"/>
              </w:rPr>
              <w:t>✅ 完全匹配</w:t>
            </w:r>
          </w:p>
        </w:tc>
      </w:tr>
      <w:tr>
        <w:tc>
          <w:tcPr>
            <w:tcW w:type="dxa" w:w="2882"/>
          </w:tcPr>
          <w:p>
            <w:r>
              <w:rPr>
                <w:rFonts w:ascii="仿宋" w:hAnsi="仿宋" w:eastAsia="仿宋"/>
                <w:sz w:val="20"/>
              </w:rPr>
              <w:t>执行能力</w:t>
            </w:r>
          </w:p>
        </w:tc>
        <w:tc>
          <w:tcPr>
            <w:tcW w:type="dxa" w:w="2882"/>
          </w:tcPr>
          <w:p>
            <w:r>
              <w:rPr>
                <w:rFonts w:ascii="仿宋" w:hAnsi="仿宋" w:eastAsia="仿宋"/>
                <w:sz w:val="20"/>
              </w:rPr>
              <w:t>主动部署 + 网络功能链实例化</w:t>
            </w:r>
          </w:p>
        </w:tc>
        <w:tc>
          <w:tcPr>
            <w:tcW w:type="dxa" w:w="2882"/>
          </w:tcPr>
          <w:p>
            <w:r>
              <w:rPr>
                <w:rFonts w:ascii="仿宋" w:hAnsi="仿宋" w:eastAsia="仿宋"/>
                <w:sz w:val="20"/>
              </w:rPr>
              <w:t>✅ 完全匹配</w:t>
            </w:r>
          </w:p>
        </w:tc>
      </w:tr>
    </w:tbl>
    <w:p>
      <w:pPr>
        <w:spacing w:after="120"/>
      </w:pPr>
    </w:p>
    <w:p>
      <w:pPr>
        <w:spacing w:after="120"/>
        <w:ind w:firstLine="420"/>
      </w:pPr>
      <w:r>
        <w:rPr>
          <w:rFonts w:ascii="仿宋" w:hAnsi="仿宋" w:eastAsia="仿宋"/>
          <w:sz w:val="24"/>
        </w:rPr>
        <w:t>同时，本项目完全对齐政策的三大产业升级方向：</w:t>
      </w:r>
    </w:p>
    <w:tbl>
      <w:tblPr>
        <w:tblW w:type="auto" w:w="0"/>
        <w:jc w:val="center"/>
        <w:tblLook w:firstColumn="1" w:firstRow="1" w:lastColumn="0" w:lastRow="0" w:noHBand="0" w:noVBand="1" w:val="04A0"/>
      </w:tblPr>
      <w:tblGrid>
        <w:gridCol w:w="2882"/>
        <w:gridCol w:w="2882"/>
        <w:gridCol w:w="2882"/>
      </w:tblGrid>
      <w:tr>
        <w:tc>
          <w:tcPr>
            <w:tcW w:type="dxa" w:w="2882"/>
          </w:tcPr>
          <w:p>
            <w:pPr>
              <w:jc w:val="center"/>
            </w:pPr>
            <w:r>
              <w:rPr>
                <w:rFonts w:ascii="仿宋" w:hAnsi="仿宋" w:eastAsia="仿宋"/>
                <w:b/>
                <w:sz w:val="20"/>
              </w:rPr>
              <w:t>产业方向</w:t>
            </w:r>
          </w:p>
        </w:tc>
        <w:tc>
          <w:tcPr>
            <w:tcW w:type="dxa" w:w="2882"/>
          </w:tcPr>
          <w:p>
            <w:pPr>
              <w:jc w:val="center"/>
            </w:pPr>
            <w:r>
              <w:rPr>
                <w:rFonts w:ascii="仿宋" w:hAnsi="仿宋" w:eastAsia="仿宋"/>
                <w:b/>
                <w:sz w:val="20"/>
              </w:rPr>
              <w:t>本项目实现</w:t>
            </w:r>
          </w:p>
        </w:tc>
        <w:tc>
          <w:tcPr>
            <w:tcW w:type="dxa" w:w="2882"/>
          </w:tcPr>
          <w:p>
            <w:pPr>
              <w:jc w:val="center"/>
            </w:pPr>
            <w:r>
              <w:rPr>
                <w:rFonts w:ascii="仿宋" w:hAnsi="仿宋" w:eastAsia="仿宋"/>
                <w:b/>
                <w:sz w:val="20"/>
              </w:rPr>
              <w:t>说明</w:t>
            </w:r>
          </w:p>
        </w:tc>
      </w:tr>
      <w:tr>
        <w:tc>
          <w:tcPr>
            <w:tcW w:type="dxa" w:w="2882"/>
          </w:tcPr>
          <w:p>
            <w:r>
              <w:rPr>
                <w:rFonts w:ascii="仿宋" w:hAnsi="仿宋" w:eastAsia="仿宋"/>
                <w:sz w:val="20"/>
              </w:rPr>
              <w:t>智能制造</w:t>
            </w:r>
          </w:p>
        </w:tc>
        <w:tc>
          <w:tcPr>
            <w:tcW w:type="dxa" w:w="2882"/>
          </w:tcPr>
          <w:p>
            <w:r>
              <w:rPr>
                <w:rFonts w:ascii="仿宋" w:hAnsi="仿宋" w:eastAsia="仿宋"/>
                <w:sz w:val="20"/>
              </w:rPr>
              <w:t>可编程接入网 + 主动式管控</w:t>
            </w:r>
          </w:p>
        </w:tc>
        <w:tc>
          <w:tcPr>
            <w:tcW w:type="dxa" w:w="2882"/>
          </w:tcPr>
          <w:p>
            <w:r>
              <w:rPr>
                <w:rFonts w:ascii="仿宋" w:hAnsi="仿宋" w:eastAsia="仿宋"/>
                <w:sz w:val="20"/>
              </w:rPr>
              <w:t>生产效率提升30%+</w:t>
            </w:r>
          </w:p>
        </w:tc>
      </w:tr>
      <w:tr>
        <w:tc>
          <w:tcPr>
            <w:tcW w:type="dxa" w:w="2882"/>
          </w:tcPr>
          <w:p>
            <w:r>
              <w:rPr>
                <w:rFonts w:ascii="仿宋" w:hAnsi="仿宋" w:eastAsia="仿宋"/>
                <w:sz w:val="20"/>
              </w:rPr>
              <w:t>金融风控</w:t>
            </w:r>
          </w:p>
        </w:tc>
        <w:tc>
          <w:tcPr>
            <w:tcW w:type="dxa" w:w="2882"/>
          </w:tcPr>
          <w:p>
            <w:r>
              <w:rPr>
                <w:rFonts w:ascii="仿宋" w:hAnsi="仿宋" w:eastAsia="仿宋"/>
                <w:sz w:val="20"/>
              </w:rPr>
              <w:t>意图预测 + 异常检测</w:t>
            </w:r>
          </w:p>
        </w:tc>
        <w:tc>
          <w:tcPr>
            <w:tcW w:type="dxa" w:w="2882"/>
          </w:tcPr>
          <w:p>
            <w:r>
              <w:rPr>
                <w:rFonts w:ascii="仿宋" w:hAnsi="仿宋" w:eastAsia="仿宋"/>
                <w:sz w:val="20"/>
              </w:rPr>
              <w:t>识别准确率达95%+</w:t>
            </w:r>
          </w:p>
        </w:tc>
      </w:tr>
      <w:tr>
        <w:tc>
          <w:tcPr>
            <w:tcW w:type="dxa" w:w="2882"/>
          </w:tcPr>
          <w:p>
            <w:r>
              <w:rPr>
                <w:rFonts w:ascii="仿宋" w:hAnsi="仿宋" w:eastAsia="仿宋"/>
                <w:sz w:val="20"/>
              </w:rPr>
              <w:t>智慧农业</w:t>
            </w:r>
          </w:p>
        </w:tc>
        <w:tc>
          <w:tcPr>
            <w:tcW w:type="dxa" w:w="2882"/>
          </w:tcPr>
          <w:p>
            <w:r>
              <w:rPr>
                <w:rFonts w:ascii="仿宋" w:hAnsi="仿宋" w:eastAsia="仿宋"/>
                <w:sz w:val="20"/>
              </w:rPr>
              <w:t>远程监控 + 智能调度</w:t>
            </w:r>
          </w:p>
        </w:tc>
        <w:tc>
          <w:tcPr>
            <w:tcW w:type="dxa" w:w="2882"/>
          </w:tcPr>
          <w:p>
            <w:r>
              <w:rPr>
                <w:rFonts w:ascii="仿宋" w:hAnsi="仿宋" w:eastAsia="仿宋"/>
                <w:sz w:val="20"/>
              </w:rPr>
              <w:t>覆盖80%+常见场景</w:t>
            </w:r>
          </w:p>
        </w:tc>
      </w:tr>
    </w:tbl>
    <w:p>
      <w:pPr>
        <w:spacing w:after="120"/>
      </w:pPr>
    </w:p>
    <w:p>
      <w:pPr>
        <w:pStyle w:val="Heading1"/>
        <w:spacing w:before="240" w:after="120"/>
      </w:pPr>
      <w:r>
        <w:rPr>
          <w:rFonts w:ascii="黑体" w:hAnsi="黑体" w:eastAsia="黑体"/>
          <w:sz w:val="32"/>
        </w:rPr>
        <w:t>六、产业化应用</w:t>
      </w:r>
    </w:p>
    <w:p>
      <w:pPr>
        <w:spacing w:after="120"/>
        <w:ind w:firstLine="420"/>
      </w:pPr>
      <w:r>
        <w:rPr>
          <w:rFonts w:ascii="仿宋" w:hAnsi="仿宋" w:eastAsia="仿宋"/>
          <w:sz w:val="24"/>
        </w:rPr>
        <w:t>本项目积极推动上述关键技术进行产业化落地：</w:t>
      </w:r>
    </w:p>
    <w:tbl>
      <w:tblPr>
        <w:tblW w:type="auto" w:w="0"/>
        <w:jc w:val="center"/>
        <w:tblLook w:firstColumn="1" w:firstRow="1" w:lastColumn="0" w:lastRow="0" w:noHBand="0" w:noVBand="1" w:val="04A0"/>
      </w:tblPr>
      <w:tblGrid>
        <w:gridCol w:w="1729"/>
        <w:gridCol w:w="1729"/>
        <w:gridCol w:w="1729"/>
        <w:gridCol w:w="1729"/>
        <w:gridCol w:w="1729"/>
      </w:tblGrid>
      <w:tr>
        <w:tc>
          <w:tcPr>
            <w:tcW w:type="dxa" w:w="1729"/>
          </w:tcPr>
          <w:p>
            <w:pPr>
              <w:jc w:val="center"/>
            </w:pPr>
            <w:r>
              <w:rPr>
                <w:rFonts w:ascii="仿宋" w:hAnsi="仿宋" w:eastAsia="仿宋"/>
                <w:b/>
                <w:sz w:val="20"/>
              </w:rPr>
              <w:t>单位名称</w:t>
            </w:r>
          </w:p>
        </w:tc>
        <w:tc>
          <w:tcPr>
            <w:tcW w:type="dxa" w:w="1729"/>
          </w:tcPr>
          <w:p>
            <w:pPr>
              <w:jc w:val="center"/>
            </w:pPr>
            <w:r>
              <w:rPr>
                <w:rFonts w:ascii="仿宋" w:hAnsi="仿宋" w:eastAsia="仿宋"/>
                <w:b/>
                <w:sz w:val="20"/>
              </w:rPr>
              <w:t>新增应用量（2020-2025）</w:t>
            </w:r>
          </w:p>
        </w:tc>
        <w:tc>
          <w:tcPr>
            <w:tcW w:type="dxa" w:w="1729"/>
          </w:tcPr>
          <w:p>
            <w:pPr>
              <w:jc w:val="center"/>
            </w:pPr>
            <w:r>
              <w:rPr>
                <w:rFonts w:ascii="仿宋" w:hAnsi="仿宋" w:eastAsia="仿宋"/>
                <w:b/>
                <w:sz w:val="20"/>
              </w:rPr>
              <w:t>新增销售收入（万元）</w:t>
            </w:r>
          </w:p>
        </w:tc>
        <w:tc>
          <w:tcPr>
            <w:tcW w:type="dxa" w:w="1729"/>
          </w:tcPr>
          <w:p>
            <w:pPr>
              <w:jc w:val="center"/>
            </w:pPr>
            <w:r>
              <w:rPr>
                <w:rFonts w:ascii="仿宋" w:hAnsi="仿宋" w:eastAsia="仿宋"/>
                <w:b/>
                <w:sz w:val="20"/>
              </w:rPr>
              <w:t>新增税收（万元）</w:t>
            </w:r>
          </w:p>
        </w:tc>
        <w:tc>
          <w:tcPr>
            <w:tcW w:type="dxa" w:w="1729"/>
          </w:tcPr>
          <w:p>
            <w:pPr>
              <w:jc w:val="center"/>
            </w:pPr>
            <w:r>
              <w:rPr>
                <w:rFonts w:ascii="仿宋" w:hAnsi="仿宋" w:eastAsia="仿宋"/>
                <w:b/>
                <w:sz w:val="20"/>
              </w:rPr>
              <w:t>新增利润（万元）</w:t>
            </w:r>
          </w:p>
        </w:tc>
      </w:tr>
      <w:tr>
        <w:tc>
          <w:tcPr>
            <w:tcW w:type="dxa" w:w="1729"/>
          </w:tcPr>
          <w:p>
            <w:r>
              <w:rPr>
                <w:rFonts w:ascii="仿宋" w:hAnsi="仿宋" w:eastAsia="仿宋"/>
                <w:sz w:val="20"/>
              </w:rPr>
              <w:t>中国移动通信集团有限公司</w:t>
            </w:r>
          </w:p>
        </w:tc>
        <w:tc>
          <w:tcPr>
            <w:tcW w:type="dxa" w:w="1729"/>
          </w:tcPr>
          <w:p>
            <w:r>
              <w:rPr>
                <w:rFonts w:ascii="仿宋" w:hAnsi="仿宋" w:eastAsia="仿宋"/>
                <w:sz w:val="20"/>
              </w:rPr>
              <w:t>5000000</w:t>
            </w:r>
          </w:p>
        </w:tc>
        <w:tc>
          <w:tcPr>
            <w:tcW w:type="dxa" w:w="1729"/>
          </w:tcPr>
          <w:p>
            <w:r>
              <w:rPr>
                <w:rFonts w:ascii="仿宋" w:hAnsi="仿宋" w:eastAsia="仿宋"/>
                <w:sz w:val="20"/>
              </w:rPr>
              <w:t>120000</w:t>
            </w:r>
          </w:p>
        </w:tc>
        <w:tc>
          <w:tcPr>
            <w:tcW w:type="dxa" w:w="1729"/>
          </w:tcPr>
          <w:p>
            <w:r>
              <w:rPr>
                <w:rFonts w:ascii="仿宋" w:hAnsi="仿宋" w:eastAsia="仿宋"/>
                <w:sz w:val="20"/>
              </w:rPr>
              <w:t>20000</w:t>
            </w:r>
          </w:p>
        </w:tc>
        <w:tc>
          <w:tcPr>
            <w:tcW w:type="dxa" w:w="1729"/>
          </w:tcPr>
          <w:p>
            <w:r>
              <w:rPr>
                <w:rFonts w:ascii="仿宋" w:hAnsi="仿宋" w:eastAsia="仿宋"/>
                <w:sz w:val="20"/>
              </w:rPr>
              <w:t>48000</w:t>
            </w:r>
          </w:p>
        </w:tc>
      </w:tr>
      <w:tr>
        <w:tc>
          <w:tcPr>
            <w:tcW w:type="dxa" w:w="1729"/>
          </w:tcPr>
          <w:p>
            <w:r>
              <w:rPr>
                <w:rFonts w:ascii="仿宋" w:hAnsi="仿宋" w:eastAsia="仿宋"/>
                <w:sz w:val="20"/>
              </w:rPr>
              <w:t>UT斯达康通讯有限公司</w:t>
            </w:r>
          </w:p>
        </w:tc>
        <w:tc>
          <w:tcPr>
            <w:tcW w:type="dxa" w:w="1729"/>
          </w:tcPr>
          <w:p>
            <w:r>
              <w:rPr>
                <w:rFonts w:ascii="仿宋" w:hAnsi="仿宋" w:eastAsia="仿宋"/>
                <w:sz w:val="20"/>
              </w:rPr>
              <w:t>3000000</w:t>
            </w:r>
          </w:p>
        </w:tc>
        <w:tc>
          <w:tcPr>
            <w:tcW w:type="dxa" w:w="1729"/>
          </w:tcPr>
          <w:p>
            <w:r>
              <w:rPr>
                <w:rFonts w:ascii="仿宋" w:hAnsi="仿宋" w:eastAsia="仿宋"/>
                <w:sz w:val="20"/>
              </w:rPr>
              <w:t>85000</w:t>
            </w:r>
          </w:p>
        </w:tc>
        <w:tc>
          <w:tcPr>
            <w:tcW w:type="dxa" w:w="1729"/>
          </w:tcPr>
          <w:p>
            <w:r>
              <w:rPr>
                <w:rFonts w:ascii="仿宋" w:hAnsi="仿宋" w:eastAsia="仿宋"/>
                <w:sz w:val="20"/>
              </w:rPr>
              <w:t>15000</w:t>
            </w:r>
          </w:p>
        </w:tc>
        <w:tc>
          <w:tcPr>
            <w:tcW w:type="dxa" w:w="1729"/>
          </w:tcPr>
          <w:p>
            <w:r>
              <w:rPr>
                <w:rFonts w:ascii="仿宋" w:hAnsi="仿宋" w:eastAsia="仿宋"/>
                <w:sz w:val="20"/>
              </w:rPr>
              <w:t>34000</w:t>
            </w:r>
          </w:p>
        </w:tc>
      </w:tr>
      <w:tr>
        <w:tc>
          <w:tcPr>
            <w:tcW w:type="dxa" w:w="1729"/>
          </w:tcPr>
          <w:p>
            <w:r>
              <w:rPr>
                <w:rFonts w:ascii="仿宋" w:hAnsi="仿宋" w:eastAsia="仿宋"/>
                <w:sz w:val="20"/>
              </w:rPr>
              <w:t>浙江大学</w:t>
            </w:r>
          </w:p>
        </w:tc>
        <w:tc>
          <w:tcPr>
            <w:tcW w:type="dxa" w:w="1729"/>
          </w:tcPr>
          <w:p>
            <w:r>
              <w:rPr>
                <w:rFonts w:ascii="仿宋" w:hAnsi="仿宋" w:eastAsia="仿宋"/>
                <w:sz w:val="20"/>
              </w:rPr>
              <w:t>2000000</w:t>
            </w:r>
          </w:p>
        </w:tc>
        <w:tc>
          <w:tcPr>
            <w:tcW w:type="dxa" w:w="1729"/>
          </w:tcPr>
          <w:p>
            <w:r>
              <w:rPr>
                <w:rFonts w:ascii="仿宋" w:hAnsi="仿宋" w:eastAsia="仿宋"/>
                <w:sz w:val="20"/>
              </w:rPr>
              <w:t>50000</w:t>
            </w:r>
          </w:p>
        </w:tc>
        <w:tc>
          <w:tcPr>
            <w:tcW w:type="dxa" w:w="1729"/>
          </w:tcPr>
          <w:p>
            <w:r>
              <w:rPr>
                <w:rFonts w:ascii="仿宋" w:hAnsi="仿宋" w:eastAsia="仿宋"/>
                <w:sz w:val="20"/>
              </w:rPr>
              <w:t>8000</w:t>
            </w:r>
          </w:p>
        </w:tc>
        <w:tc>
          <w:tcPr>
            <w:tcW w:type="dxa" w:w="1729"/>
          </w:tcPr>
          <w:p>
            <w:r>
              <w:rPr>
                <w:rFonts w:ascii="仿宋" w:hAnsi="仿宋" w:eastAsia="仿宋"/>
                <w:sz w:val="20"/>
              </w:rPr>
              <w:t>20000</w:t>
            </w:r>
          </w:p>
        </w:tc>
      </w:tr>
      <w:tr>
        <w:tc>
          <w:tcPr>
            <w:tcW w:type="dxa" w:w="1729"/>
          </w:tcPr>
          <w:p>
            <w:r>
              <w:rPr>
                <w:rFonts w:ascii="仿宋" w:hAnsi="仿宋" w:eastAsia="仿宋"/>
                <w:sz w:val="20"/>
              </w:rPr>
              <w:t>浙江工商大学</w:t>
            </w:r>
          </w:p>
        </w:tc>
        <w:tc>
          <w:tcPr>
            <w:tcW w:type="dxa" w:w="1729"/>
          </w:tcPr>
          <w:p>
            <w:r>
              <w:rPr>
                <w:rFonts w:ascii="仿宋" w:hAnsi="仿宋" w:eastAsia="仿宋"/>
                <w:sz w:val="20"/>
              </w:rPr>
              <w:t>1500000</w:t>
            </w:r>
          </w:p>
        </w:tc>
        <w:tc>
          <w:tcPr>
            <w:tcW w:type="dxa" w:w="1729"/>
          </w:tcPr>
          <w:p>
            <w:r>
              <w:rPr>
                <w:rFonts w:ascii="仿宋" w:hAnsi="仿宋" w:eastAsia="仿宋"/>
                <w:sz w:val="20"/>
              </w:rPr>
              <w:t>30000</w:t>
            </w:r>
          </w:p>
        </w:tc>
        <w:tc>
          <w:tcPr>
            <w:tcW w:type="dxa" w:w="1729"/>
          </w:tcPr>
          <w:p>
            <w:r>
              <w:rPr>
                <w:rFonts w:ascii="仿宋" w:hAnsi="仿宋" w:eastAsia="仿宋"/>
                <w:sz w:val="20"/>
              </w:rPr>
              <w:t>5000</w:t>
            </w:r>
          </w:p>
        </w:tc>
        <w:tc>
          <w:tcPr>
            <w:tcW w:type="dxa" w:w="1729"/>
          </w:tcPr>
          <w:p>
            <w:r>
              <w:rPr>
                <w:rFonts w:ascii="仿宋" w:hAnsi="仿宋" w:eastAsia="仿宋"/>
                <w:sz w:val="20"/>
              </w:rPr>
              <w:t>12000</w:t>
            </w:r>
          </w:p>
        </w:tc>
      </w:tr>
      <w:tr>
        <w:tc>
          <w:tcPr>
            <w:tcW w:type="dxa" w:w="1729"/>
          </w:tcPr>
          <w:p>
            <w:r>
              <w:rPr>
                <w:rFonts w:ascii="仿宋" w:hAnsi="仿宋" w:eastAsia="仿宋"/>
                <w:sz w:val="20"/>
              </w:rPr>
              <w:t>合计</w:t>
            </w:r>
          </w:p>
        </w:tc>
        <w:tc>
          <w:tcPr>
            <w:tcW w:type="dxa" w:w="1729"/>
          </w:tcPr>
          <w:p>
            <w:r>
              <w:rPr>
                <w:rFonts w:ascii="仿宋" w:hAnsi="仿宋" w:eastAsia="仿宋"/>
                <w:sz w:val="20"/>
              </w:rPr>
              <w:t>11500000</w:t>
            </w:r>
          </w:p>
        </w:tc>
        <w:tc>
          <w:tcPr>
            <w:tcW w:type="dxa" w:w="1729"/>
          </w:tcPr>
          <w:p>
            <w:r>
              <w:rPr>
                <w:rFonts w:ascii="仿宋" w:hAnsi="仿宋" w:eastAsia="仿宋"/>
                <w:sz w:val="20"/>
              </w:rPr>
              <w:t>285000</w:t>
            </w:r>
          </w:p>
        </w:tc>
        <w:tc>
          <w:tcPr>
            <w:tcW w:type="dxa" w:w="1729"/>
          </w:tcPr>
          <w:p>
            <w:r>
              <w:rPr>
                <w:rFonts w:ascii="仿宋" w:hAnsi="仿宋" w:eastAsia="仿宋"/>
                <w:sz w:val="20"/>
              </w:rPr>
              <w:t>48000</w:t>
            </w:r>
          </w:p>
        </w:tc>
        <w:tc>
          <w:tcPr>
            <w:tcW w:type="dxa" w:w="1729"/>
          </w:tcPr>
          <w:p>
            <w:r>
              <w:rPr>
                <w:rFonts w:ascii="仿宋" w:hAnsi="仿宋" w:eastAsia="仿宋"/>
                <w:sz w:val="20"/>
              </w:rPr>
              <w:t>114000</w:t>
            </w:r>
          </w:p>
        </w:tc>
      </w:tr>
    </w:tbl>
    <w:p>
      <w:pPr>
        <w:spacing w:after="120"/>
      </w:pPr>
    </w:p>
    <w:p>
      <w:pPr>
        <w:spacing w:after="120"/>
        <w:ind w:firstLine="420"/>
      </w:pPr>
      <w:r>
        <w:rPr>
          <w:rFonts w:ascii="仿宋" w:hAnsi="仿宋" w:eastAsia="仿宋"/>
          <w:sz w:val="24"/>
        </w:rPr>
        <w:t>技术成果已在中国移动、中国电信、中国联通等三大运营商规模部署，覆盖22个省份、182个县市，并成功进入日本、欧洲、北美、澳大利亚、东南亚等国际市场。2020-2025年间新增产值28.5亿元，新增利润11.2亿元，新增税收4.8亿元。</w:t>
      </w:r>
    </w:p>
    <w:p>
      <w:pPr>
        <w:pStyle w:val="Heading1"/>
        <w:spacing w:before="240" w:after="120"/>
      </w:pPr>
      <w:r>
        <w:rPr>
          <w:rFonts w:ascii="黑体" w:hAnsi="黑体" w:eastAsia="黑体"/>
          <w:sz w:val="32"/>
        </w:rPr>
        <w:t>七、核心判断</w:t>
      </w:r>
    </w:p>
    <w:p>
      <w:pPr>
        <w:spacing w:after="120"/>
        <w:ind w:firstLine="420"/>
      </w:pPr>
      <w:r>
        <w:rPr>
          <w:rFonts w:ascii="仿宋" w:hAnsi="仿宋" w:eastAsia="仿宋"/>
          <w:sz w:val="24"/>
        </w:rPr>
        <w:t>通过本项目的研究，我们看到了一个完整的"六层技术体系"：</w:t>
      </w:r>
    </w:p>
    <w:p>
      <w:pPr>
        <w:spacing w:after="120"/>
      </w:pPr>
      <w:r>
        <w:rPr>
          <w:rFonts w:ascii="仿宋" w:hAnsi="仿宋" w:eastAsia="仿宋"/>
          <w:sz w:val="24"/>
        </w:rPr>
        <w:t>1. 政策层：国家级智能体政策（顶层设计）</w:t>
      </w:r>
    </w:p>
    <w:p>
      <w:pPr>
        <w:spacing w:after="120"/>
      </w:pPr>
      <w:r>
        <w:rPr>
          <w:rFonts w:ascii="仿宋" w:hAnsi="仿宋" w:eastAsia="仿宋"/>
          <w:sz w:val="24"/>
        </w:rPr>
        <w:t>2. 方法层：递归自主式分解框架（方法论）</w:t>
      </w:r>
    </w:p>
    <w:p>
      <w:pPr>
        <w:spacing w:after="120"/>
      </w:pPr>
      <w:r>
        <w:rPr>
          <w:rFonts w:ascii="仿宋" w:hAnsi="仿宋" w:eastAsia="仿宋"/>
          <w:sz w:val="24"/>
        </w:rPr>
        <w:t>3. 经济层：诸葛斌SDP理论（价格驱动资源分配）</w:t>
      </w:r>
    </w:p>
    <w:p>
      <w:pPr>
        <w:spacing w:after="120"/>
      </w:pPr>
      <w:r>
        <w:rPr>
          <w:rFonts w:ascii="仿宋" w:hAnsi="仿宋" w:eastAsia="仿宋"/>
          <w:sz w:val="24"/>
        </w:rPr>
        <w:t>4. 设施层：UT斯达康85项专利（SRv6+FlexE+5G切片）</w:t>
      </w:r>
    </w:p>
    <w:p>
      <w:pPr>
        <w:spacing w:after="120"/>
      </w:pPr>
      <w:r>
        <w:rPr>
          <w:rFonts w:ascii="仿宋" w:hAnsi="仿宋" w:eastAsia="仿宋"/>
          <w:sz w:val="24"/>
        </w:rPr>
        <w:t>5. 安全层：吴春明99项专利（拟态防御+SDN安全）</w:t>
      </w:r>
    </w:p>
    <w:p>
      <w:pPr>
        <w:spacing w:after="120"/>
      </w:pPr>
      <w:r>
        <w:rPr>
          <w:rFonts w:ascii="仿宋" w:hAnsi="仿宋" w:eastAsia="仿宋"/>
          <w:sz w:val="24"/>
        </w:rPr>
        <w:t>6. 应用层：智慧教育（13.4亿元）+ 可编程接入网（三大运营商+国际市场）</w:t>
      </w:r>
    </w:p>
    <w:p>
      <w:pPr>
        <w:spacing w:after="120"/>
        <w:ind w:firstLine="420"/>
      </w:pPr>
      <w:r>
        <w:rPr>
          <w:rFonts w:ascii="仿宋" w:hAnsi="仿宋" w:eastAsia="仿宋"/>
          <w:sz w:val="24"/>
        </w:rPr>
        <w:t>六层技术体系形成了从理论到实践、从网络到AI、从经济学到工程学、从教育到通信的完整技术体系。</w:t>
      </w:r>
    </w:p>
    <w:p>
      <w:pPr>
        <w:spacing w:after="120"/>
        <w:ind w:firstLine="420"/>
      </w:pPr>
      <w:r>
        <w:rPr>
          <w:rFonts w:ascii="仿宋" w:hAnsi="仿宋" w:eastAsia="仿宋"/>
          <w:sz w:val="24"/>
        </w:rPr>
        <w:t>关键发现：</w:t>
      </w:r>
    </w:p>
    <w:p>
      <w:pPr>
        <w:spacing w:after="120"/>
      </w:pPr>
      <w:r>
        <w:rPr>
          <w:rFonts w:ascii="仿宋" w:hAnsi="仿宋" w:eastAsia="仿宋"/>
          <w:sz w:val="24"/>
        </w:rPr>
        <w:t>1. 软件定义智能体 = 递归分解框架的完整实现</w:t>
      </w:r>
    </w:p>
    <w:p>
      <w:pPr>
        <w:spacing w:after="120"/>
      </w:pPr>
      <w:r>
        <w:rPr>
          <w:rFonts w:ascii="仿宋" w:hAnsi="仿宋" w:eastAsia="仿宋"/>
          <w:sz w:val="24"/>
        </w:rPr>
        <w:t>2. 意图闭环 = 递归分解闭环的通信领域验证</w:t>
      </w:r>
    </w:p>
    <w:p>
      <w:pPr>
        <w:spacing w:after="120"/>
      </w:pPr>
      <w:r>
        <w:rPr>
          <w:rFonts w:ascii="仿宋" w:hAnsi="仿宋" w:eastAsia="仿宋"/>
          <w:sz w:val="24"/>
        </w:rPr>
        <w:t>3. 三大创新点 = 递归分解框架的三大核心能力</w:t>
      </w:r>
    </w:p>
    <w:p>
      <w:pPr>
        <w:spacing w:after="120"/>
      </w:pPr>
      <w:r>
        <w:rPr>
          <w:rFonts w:ascii="仿宋" w:hAnsi="仿宋" w:eastAsia="仿宋"/>
          <w:sz w:val="24"/>
        </w:rPr>
        <w:t>4. 产业化成功 = 递归分解框架的有效性验证</w:t>
      </w:r>
    </w:p>
    <w:p>
      <w:pPr>
        <w:spacing w:after="120"/>
        <w:ind w:firstLine="420"/>
      </w:pPr>
      <w:r>
        <w:rPr>
          <w:rFonts w:ascii="仿宋" w:hAnsi="仿宋" w:eastAsia="仿宋"/>
          <w:sz w:val="24"/>
        </w:rPr>
        <w:t>核心认知：智能体不是产品，而是能力层。未来的竞争不在"谁的模型更大"，而在"谁更懂场景"。政策的核心逻辑是用智能体做产业升级的"加速器"，而不是替代人类。递归自主式分解框架正是这一逻辑的工程化实现——在人工能力和程序能力之间找到最优匹配，实现人机协作的新范式。</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仿宋" w:hAnsi="仿宋" w:eastAsia="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