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评估量表"/>
    <w:p>
      <w:pPr>
        <w:pStyle w:val="Heading1"/>
      </w:pPr>
      <w:r>
        <w:rPr>
          <w:rFonts w:hint="eastAsia"/>
        </w:rPr>
        <w:t xml:space="preserve">评估量表</w:t>
      </w:r>
    </w:p>
    <w:bookmarkStart w:id="9" w:name="数字人文与小龙虾-期末作品评估标准"/>
    <w:p>
      <w:pPr>
        <w:pStyle w:val="Heading2"/>
      </w:pPr>
      <w:r>
        <w:rPr>
          <w:rFonts w:hint="eastAsia"/>
        </w:rPr>
        <w:t xml:space="preserve">数字人文与小龙虾</w:t>
      </w:r>
      <w:r>
        <w:t xml:space="preserve"> · </w:t>
      </w:r>
      <w:r>
        <w:rPr>
          <w:rFonts w:hint="eastAsia"/>
        </w:rPr>
        <w:t xml:space="preserve">期末作品评估标准</w:t>
      </w:r>
    </w:p>
    <w:p>
      <w:r>
        <w:pict>
          <v:rect style="width:0;height:1.5pt" o:hralign="center" o:hrstd="t" o:hr="t"/>
        </w:pict>
      </w:r>
    </w:p>
    <w:bookmarkEnd w:id="9"/>
    <w:bookmarkStart w:id="15" w:name="一综合评估量表总分-100-分"/>
    <w:p>
      <w:pPr>
        <w:pStyle w:val="Heading2"/>
      </w:pPr>
      <w:r>
        <w:rPr>
          <w:rFonts w:hint="eastAsia"/>
        </w:rPr>
        <w:t xml:space="preserve">一、综合评估量表（总分</w:t>
      </w:r>
      <w:r>
        <w:t xml:space="preserve"> 100 </w:t>
      </w:r>
      <w:r>
        <w:rPr>
          <w:rFonts w:hint="eastAsia"/>
        </w:rPr>
        <w:t xml:space="preserve">分）</w:t>
      </w:r>
    </w:p>
    <w:bookmarkStart w:id="10" w:name="研究质量30-分"/>
    <w:p>
      <w:pPr>
        <w:pStyle w:val="Heading3"/>
      </w:pPr>
      <w:r>
        <w:t xml:space="preserve">1. </w:t>
      </w:r>
      <w:r>
        <w:rPr>
          <w:rFonts w:hint="eastAsia"/>
        </w:rPr>
        <w:t xml:space="preserve">研究质量（30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27-30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研究问题清晰明确，方法选择恰当，数据分析严谨，结论可靠有说服力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24-26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研究问题较清晰，方法基本恰当，数据分析较严谨，结论较可靠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21-23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研究问题基本明确，方法选择一般，数据分析基本合理，结论有一定依据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</w:t>
            </w:r>
          </w:p>
        </w:tc>
        <w:tc>
          <w:tcPr/>
          <w:p>
            <w:pPr>
              <w:pStyle w:val="Compact"/>
            </w:pPr>
            <w:r>
              <w:t xml:space="preserve">18-20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研究问题模糊，方法选择不当，数据分析粗糙，结论依据不足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不及格</w:t>
            </w:r>
          </w:p>
        </w:tc>
        <w:tc>
          <w:tcPr/>
          <w:p>
            <w:pPr>
              <w:pStyle w:val="Compact"/>
            </w:pPr>
            <w:r>
              <w:t xml:space="preserve">0-17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研究问题不清晰，方法错误，数据分析缺失，结论无依据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研究问题是否清晰明确？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研究方法是否恰当？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数据分析是否严谨？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结论是否可靠？</w:t>
      </w:r>
    </w:p>
    <w:p>
      <w:pPr>
        <w:pStyle w:val="BodyText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 / 30</w:t>
      </w:r>
    </w:p>
    <w:p>
      <w:pPr>
        <w:pStyle w:val="BodyText"/>
      </w:pPr>
      <w:r>
        <w:rPr>
          <w:rFonts w:hint="eastAsia"/>
          <w:b/>
          <w:bCs/>
        </w:rPr>
        <w:t xml:space="preserve">评语：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商业价值20-分"/>
    <w:p>
      <w:pPr>
        <w:pStyle w:val="Heading3"/>
      </w:pPr>
      <w:r>
        <w:t xml:space="preserve">2. </w:t>
      </w:r>
      <w:r>
        <w:rPr>
          <w:rFonts w:hint="eastAsia"/>
        </w:rPr>
        <w:t xml:space="preserve">商业价值（20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18-20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对商业实践有重要启发，应用价值高，创新性强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16-17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对商业实践有一定启发，应用价值较高，有一定创新性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14-15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对商业实践有一般启发，应用价值一般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</w:t>
            </w:r>
          </w:p>
        </w:tc>
        <w:tc>
          <w:tcPr/>
          <w:p>
            <w:pPr>
              <w:pStyle w:val="Compact"/>
            </w:pPr>
            <w:r>
              <w:t xml:space="preserve">12-13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对商业实践启发有限，应用价值较低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不及格</w:t>
            </w:r>
          </w:p>
        </w:tc>
        <w:tc>
          <w:tcPr/>
          <w:p>
            <w:pPr>
              <w:pStyle w:val="Compact"/>
            </w:pPr>
            <w:r>
              <w:t xml:space="preserve">0-11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无商业价值，无应用意义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是否对商业实践有启发？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是否有应用价值？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是否有创新性？</w:t>
      </w:r>
    </w:p>
    <w:p>
      <w:pPr>
        <w:pStyle w:val="BodyText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 / 20</w:t>
      </w:r>
    </w:p>
    <w:p>
      <w:pPr>
        <w:pStyle w:val="BodyText"/>
      </w:pPr>
      <w:r>
        <w:rPr>
          <w:rFonts w:hint="eastAsia"/>
          <w:b/>
          <w:bCs/>
        </w:rPr>
        <w:t xml:space="preserve">评语：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ai-使用15-分"/>
    <w:p>
      <w:pPr>
        <w:pStyle w:val="Heading3"/>
      </w:pPr>
      <w:r>
        <w:t xml:space="preserve">3. AI </w:t>
      </w:r>
      <w:r>
        <w:rPr>
          <w:rFonts w:hint="eastAsia"/>
        </w:rPr>
        <w:t xml:space="preserve">使用（15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14-15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使用合理高效，标注清晰完整，有批判性反思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12-13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使用较合理，标注较清晰，有一定反思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使用基本合理，标注基本清晰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使用一般，标注不完整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不及格</w:t>
            </w:r>
          </w:p>
        </w:tc>
        <w:tc>
          <w:tcPr/>
          <w:p>
            <w:pPr>
              <w:pStyle w:val="Compact"/>
            </w:pPr>
            <w:r>
              <w:t xml:space="preserve">0-9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使用不当，无标注，无反思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t xml:space="preserve">- [ ] AI </w:t>
      </w:r>
      <w:r>
        <w:rPr>
          <w:rFonts w:hint="eastAsia"/>
        </w:rPr>
        <w:t xml:space="preserve">使用是否合理？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是否清晰标注</w:t>
      </w:r>
      <w:r>
        <w:t xml:space="preserve"> AI </w:t>
      </w:r>
      <w:r>
        <w:rPr>
          <w:rFonts w:hint="eastAsia"/>
        </w:rPr>
        <w:t xml:space="preserve">协助部分？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是否有批判性反思？</w:t>
      </w:r>
    </w:p>
    <w:p>
      <w:pPr>
        <w:pStyle w:val="BodyText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 / 15</w:t>
      </w:r>
    </w:p>
    <w:p>
      <w:pPr>
        <w:pStyle w:val="BodyText"/>
      </w:pPr>
      <w:r>
        <w:rPr>
          <w:rFonts w:hint="eastAsia"/>
          <w:b/>
          <w:bCs/>
        </w:rPr>
        <w:t xml:space="preserve">评语：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可视化15-分"/>
    <w:p>
      <w:pPr>
        <w:pStyle w:val="Heading3"/>
      </w:pPr>
      <w:r>
        <w:t xml:space="preserve">4. </w:t>
      </w:r>
      <w:r>
        <w:rPr>
          <w:rFonts w:hint="eastAsia"/>
        </w:rPr>
        <w:t xml:space="preserve">可视化（15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14-15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可视化形式恰当，美观清晰，信息准确，专业规范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12-13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可视化形式较恰当，较美观，信息较准确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可视化形式基本恰当，信息基本准确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可视化形式一般，信息有少量错误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不及格</w:t>
            </w:r>
          </w:p>
        </w:tc>
        <w:tc>
          <w:tcPr/>
          <w:p>
            <w:pPr>
              <w:pStyle w:val="Compact"/>
            </w:pPr>
            <w:r>
              <w:t xml:space="preserve">0-9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可视化形式不当，信息错误多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可视化形式是否恰当？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是否美观清晰？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信息是否准确？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是否符合商业规范？</w:t>
      </w:r>
    </w:p>
    <w:p>
      <w:pPr>
        <w:pStyle w:val="BodyText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 / 15</w:t>
      </w:r>
    </w:p>
    <w:p>
      <w:pPr>
        <w:pStyle w:val="BodyText"/>
      </w:pPr>
      <w:r>
        <w:rPr>
          <w:rFonts w:hint="eastAsia"/>
          <w:b/>
          <w:bCs/>
        </w:rPr>
        <w:t xml:space="preserve">评语：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展示表达20-分"/>
    <w:p>
      <w:pPr>
        <w:pStyle w:val="Heading3"/>
      </w:pPr>
      <w:r>
        <w:t xml:space="preserve">5. </w:t>
      </w:r>
      <w:r>
        <w:rPr>
          <w:rFonts w:hint="eastAsia"/>
        </w:rPr>
        <w:t xml:space="preserve">展示表达（20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18-20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逻辑清晰，时间控制精准，回答流畅专业，互动良好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16-17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逻辑较清晰，时间控制较好，回答较流畅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14-15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逻辑基本清晰，时间控制基本合理，回答基本流畅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</w:t>
            </w:r>
          </w:p>
        </w:tc>
        <w:tc>
          <w:tcPr/>
          <w:p>
            <w:pPr>
              <w:pStyle w:val="Compact"/>
            </w:pPr>
            <w:r>
              <w:t xml:space="preserve">12-13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逻辑一般，时间控制一般，回答一般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不及格</w:t>
            </w:r>
          </w:p>
        </w:tc>
        <w:tc>
          <w:tcPr/>
          <w:p>
            <w:pPr>
              <w:pStyle w:val="Compact"/>
            </w:pPr>
            <w:r>
              <w:t xml:space="preserve">0-11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逻辑混乱，超时严重，回答困难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汇报逻辑是否清晰？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时间控制是否合理？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答辩是否流畅？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互动是否良好？</w:t>
      </w:r>
    </w:p>
    <w:p>
      <w:pPr>
        <w:pStyle w:val="BodyText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 / 20</w:t>
      </w:r>
    </w:p>
    <w:p>
      <w:pPr>
        <w:pStyle w:val="BodyText"/>
      </w:pPr>
      <w:r>
        <w:rPr>
          <w:rFonts w:hint="eastAsia"/>
          <w:b/>
          <w:bCs/>
        </w:rPr>
        <w:t xml:space="preserve">评语：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二总分汇总"/>
    <w:p>
      <w:pPr>
        <w:pStyle w:val="Heading2"/>
      </w:pPr>
      <w:r>
        <w:rPr>
          <w:rFonts w:hint="eastAsia"/>
        </w:rPr>
        <w:t xml:space="preserve">二、总分汇总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研究质量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_____ /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商业价值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_____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_____ /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_____ /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展示表达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_____ /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_____ / 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最终等级：</w:t>
      </w:r>
      <w:r>
        <w:t xml:space="preserve"> </w:t>
      </w:r>
      <w:r>
        <w:t xml:space="preserve">- 90-100 </w:t>
      </w:r>
      <w:r>
        <w:rPr>
          <w:rFonts w:hint="eastAsia"/>
        </w:rPr>
        <w:t xml:space="preserve">分：优秀</w:t>
      </w:r>
      <w:r>
        <w:t xml:space="preserve"> </w:t>
      </w:r>
      <w:r>
        <w:t xml:space="preserve">- 80-89 </w:t>
      </w:r>
      <w:r>
        <w:rPr>
          <w:rFonts w:hint="eastAsia"/>
        </w:rPr>
        <w:t xml:space="preserve">分：良好</w:t>
      </w:r>
      <w:r>
        <w:t xml:space="preserve"> </w:t>
      </w:r>
      <w:r>
        <w:t xml:space="preserve">- 70-79 </w:t>
      </w:r>
      <w:r>
        <w:rPr>
          <w:rFonts w:hint="eastAsia"/>
        </w:rPr>
        <w:t xml:space="preserve">分：中等</w:t>
      </w:r>
      <w:r>
        <w:t xml:space="preserve"> </w:t>
      </w:r>
      <w:r>
        <w:t xml:space="preserve">- 60-69 </w:t>
      </w:r>
      <w:r>
        <w:rPr>
          <w:rFonts w:hint="eastAsia"/>
        </w:rPr>
        <w:t xml:space="preserve">分：及格</w:t>
      </w:r>
      <w:r>
        <w:t xml:space="preserve"> </w:t>
      </w:r>
      <w:r>
        <w:t xml:space="preserve">- 60 </w:t>
      </w:r>
      <w:r>
        <w:rPr>
          <w:rFonts w:hint="eastAsia"/>
        </w:rPr>
        <w:t xml:space="preserve">分以下：不及格</w:t>
      </w:r>
    </w:p>
    <w:p>
      <w:r>
        <w:pict>
          <v:rect style="width:0;height:1.5pt" o:hralign="center" o:hrstd="t" o:hr="t"/>
        </w:pict>
      </w:r>
    </w:p>
    <w:bookmarkEnd w:id="16"/>
    <w:bookmarkStart w:id="20" w:name="三作业评估量表平时作业"/>
    <w:p>
      <w:pPr>
        <w:pStyle w:val="Heading2"/>
      </w:pPr>
      <w:r>
        <w:rPr>
          <w:rFonts w:hint="eastAsia"/>
        </w:rPr>
        <w:t xml:space="preserve">三、作业评估量表（平时作业）</w:t>
      </w:r>
    </w:p>
    <w:bookmarkStart w:id="17" w:name="互动日志每次-10-分共-30-分"/>
    <w:p>
      <w:pPr>
        <w:pStyle w:val="Heading3"/>
      </w:pPr>
      <w:r>
        <w:rPr>
          <w:rFonts w:hint="eastAsia"/>
        </w:rPr>
        <w:t xml:space="preserve">互动日志（每次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包含初始问题、追问过程、回答摘要、验证方式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追问至少</w:t>
            </w:r>
            <w:r>
              <w:t xml:space="preserve"> 2 </w:t>
            </w:r>
            <w:r>
              <w:rPr>
                <w:rFonts w:hint="eastAsia"/>
              </w:rPr>
              <w:t xml:space="preserve">轮，有深度思考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有个人反思和收获总结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选题草案10-分"/>
    <w:p>
      <w:pPr>
        <w:pStyle w:val="Heading3"/>
      </w:pPr>
      <w:r>
        <w:rPr>
          <w:rFonts w:hint="eastAsia"/>
        </w:rPr>
        <w:t xml:space="preserve">选题草案（10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问题清晰度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数据可获取，方法可行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字数要求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</w:t>
            </w:r>
            <w:r>
              <w:t xml:space="preserve"> 300 </w:t>
            </w:r>
            <w:r>
              <w:rPr>
                <w:rFonts w:hint="eastAsia"/>
              </w:rPr>
              <w:t xml:space="preserve">字要求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反思短文10-分"/>
    <w:p>
      <w:pPr>
        <w:pStyle w:val="Heading3"/>
      </w:pPr>
      <w:r>
        <w:rPr>
          <w:rFonts w:hint="eastAsia"/>
        </w:rPr>
        <w:t xml:space="preserve">反思短文（10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思考深度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对健康人机关系有深入思考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个人见解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有个人观点和见解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字数要求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</w:t>
            </w:r>
            <w:r>
              <w:t xml:space="preserve"> 300 </w:t>
            </w:r>
            <w:r>
              <w:rPr>
                <w:rFonts w:hint="eastAsia"/>
              </w:rPr>
              <w:t xml:space="preserve">字要求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四小组汇报评估表第-9-周中期检查"/>
    <w:p>
      <w:pPr>
        <w:pStyle w:val="Heading2"/>
      </w:pPr>
      <w:r>
        <w:rPr>
          <w:rFonts w:hint="eastAsia"/>
        </w:rPr>
        <w:t xml:space="preserve">四、小组汇报评估表（第</w:t>
      </w:r>
      <w:r>
        <w:t xml:space="preserve"> 9 </w:t>
      </w:r>
      <w:r>
        <w:rPr>
          <w:rFonts w:hint="eastAsia"/>
        </w:rPr>
        <w:t xml:space="preserve">周中期检查）</w:t>
      </w:r>
    </w:p>
    <w:p>
      <w:pPr>
        <w:pStyle w:val="FirstParagraph"/>
      </w:pPr>
      <w:r>
        <w:rPr>
          <w:rFonts w:hint="eastAsia"/>
          <w:b/>
          <w:bCs/>
        </w:rPr>
        <w:t xml:space="preserve">组号：</w:t>
      </w:r>
      <w:r>
        <w:t xml:space="preserve"> </w:t>
      </w:r>
      <w:r>
        <w:t xml:space="preserve">_____</w:t>
      </w:r>
      <w:r>
        <w:t xml:space="preserve"> </w:t>
      </w:r>
      <w:r>
        <w:rPr>
          <w:rFonts w:hint="eastAsia"/>
          <w:b/>
          <w:bCs/>
        </w:rPr>
        <w:t xml:space="preserve">汇报日期：</w:t>
      </w:r>
      <w:r>
        <w:t xml:space="preserve"> </w:t>
      </w:r>
      <w:r>
        <w:t xml:space="preserve">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进度情况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是否按计划推进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问题清晰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研究问题是否明确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数据情况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数据收集是否充分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方法恰当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方法选择是否合理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困难识别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是否清楚当前困难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调整计划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调整方案是否可行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反馈建议：</w:t>
      </w:r>
      <w:r>
        <w:t xml:space="preserve"> </w:t>
      </w:r>
      <w:r>
        <w:t xml:space="preserve">________________________________________________</w:t>
      </w:r>
      <w:r>
        <w:t xml:space="preserve"> </w:t>
      </w:r>
      <w:r>
        <w:t xml:space="preserve">________________________________________________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8" w:name="五奖项评选标准"/>
    <w:p>
      <w:pPr>
        <w:pStyle w:val="Heading2"/>
      </w:pPr>
      <w:r>
        <w:rPr>
          <w:rFonts w:hint="eastAsia"/>
        </w:rPr>
        <w:t xml:space="preserve">五、奖项评选标准</w:t>
      </w:r>
    </w:p>
    <w:bookmarkStart w:id="22" w:name="最佳商业洞察奖"/>
    <w:p>
      <w:pPr>
        <w:pStyle w:val="Heading3"/>
      </w:pPr>
      <w:r>
        <w:rPr>
          <w:rFonts w:hint="eastAsia"/>
        </w:rPr>
        <w:t xml:space="preserve">最佳商业洞察奖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商业价值维度得分最高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对商业实践有重要启发</w:t>
      </w:r>
    </w:p>
    <w:bookmarkEnd w:id="22"/>
    <w:bookmarkStart w:id="23" w:name="最佳数据分析奖"/>
    <w:p>
      <w:pPr>
        <w:pStyle w:val="Heading3"/>
      </w:pPr>
      <w:r>
        <w:rPr>
          <w:rFonts w:hint="eastAsia"/>
        </w:rPr>
        <w:t xml:space="preserve">最佳数据分析奖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研究质量维度得分高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数据分析方法出色</w:t>
      </w:r>
    </w:p>
    <w:bookmarkEnd w:id="23"/>
    <w:bookmarkStart w:id="24" w:name="最佳视觉呈现奖"/>
    <w:p>
      <w:pPr>
        <w:pStyle w:val="Heading3"/>
      </w:pPr>
      <w:r>
        <w:rPr>
          <w:rFonts w:hint="eastAsia"/>
        </w:rPr>
        <w:t xml:space="preserve">最佳视觉呈现奖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可视化维度得分最高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视觉设计专业美观</w:t>
      </w:r>
    </w:p>
    <w:bookmarkEnd w:id="24"/>
    <w:bookmarkStart w:id="25" w:name="最佳人机协作奖"/>
    <w:p>
      <w:pPr>
        <w:pStyle w:val="Heading3"/>
      </w:pPr>
      <w:r>
        <w:rPr>
          <w:rFonts w:hint="eastAsia"/>
        </w:rPr>
        <w:t xml:space="preserve">最佳人机协作奖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使用维度得分最高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人机协作模式有创新</w:t>
      </w:r>
    </w:p>
    <w:bookmarkEnd w:id="25"/>
    <w:bookmarkStart w:id="26" w:name="最佳进步奖"/>
    <w:p>
      <w:pPr>
        <w:pStyle w:val="Heading3"/>
      </w:pPr>
      <w:r>
        <w:rPr>
          <w:rFonts w:hint="eastAsia"/>
        </w:rPr>
        <w:t xml:space="preserve">最佳进步奖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与初期相比进步最大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学习态度认真</w:t>
      </w:r>
    </w:p>
    <w:bookmarkEnd w:id="26"/>
    <w:bookmarkStart w:id="27" w:name="最具创意奖"/>
    <w:p>
      <w:pPr>
        <w:pStyle w:val="Heading3"/>
      </w:pPr>
      <w:r>
        <w:rPr>
          <w:rFonts w:hint="eastAsia"/>
        </w:rPr>
        <w:t xml:space="preserve">最具创意奖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选题或方法有创新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有独特视角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浙江工商大学通识课程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数字人文与小龙虾</w:t>
      </w:r>
    </w:p>
    <w:p>
      <w:pPr>
        <w:pStyle w:val="BodyText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2026-03-30T02:17:23Z</dcterms:created>
  <dcterms:modified xsi:type="dcterms:W3CDTF">2026-03-30T02:17:23Z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