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  <w:jc w:val="center"/>
      </w:pPr>
      <w:r>
        <w:rPr>
          <w:rFonts w:ascii="黑体" w:hAnsi="黑体" w:eastAsia="黑体"/>
          <w:sz w:val="44"/>
        </w:rPr>
        <w:t>购买力平价检验分析报告</w:t>
      </w:r>
    </w:p>
    <w:p>
      <w:pPr>
        <w:jc w:val="center"/>
      </w:pPr>
      <w:r>
        <w:rPr>
          <w:rFonts w:ascii="黑体" w:hAnsi="黑体" w:eastAsia="黑体"/>
          <w:sz w:val="32"/>
        </w:rPr>
        <w:t>——德美日英实际汇率分析</w:t>
      </w:r>
    </w:p>
    <w:p/>
    <w:p>
      <w:pPr>
        <w:jc w:val="center"/>
      </w:pPr>
      <w:r>
        <w:rPr>
          <w:rFonts w:ascii="宋体" w:hAnsi="宋体" w:eastAsia="宋体"/>
          <w:sz w:val="24"/>
        </w:rPr>
        <w:t>分析日期：2026年6月2日</w:t>
        <w:br/>
        <w:t>基准货币：美元 (USD)</w:t>
        <w:br/>
        <w:t>数据来源：exchangerate-api.com（实时汇率）、世界银行ICP</w:t>
      </w:r>
    </w:p>
    <w:p>
      <w:r>
        <w:br w:type="page"/>
      </w:r>
    </w:p>
    <w:p>
      <w:pPr>
        <w:pStyle w:val="Heading2"/>
        <w:jc w:val="center"/>
      </w:pPr>
      <w:r>
        <w:t>目  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一、研究背景与目的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二、理论基础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三、数据来源与计算方法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四、实证结果与数据图表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五、购买力平价理论检验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六、偏离原因分析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七、政策含义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八、结论</w:t>
      </w:r>
    </w:p>
    <w:p>
      <w:pPr>
        <w:spacing w:after="120" w:before="120"/>
      </w:pPr>
      <w:r>
        <w:rPr>
          <w:rFonts w:ascii="宋体" w:hAnsi="宋体" w:eastAsia="宋体"/>
          <w:sz w:val="24"/>
        </w:rPr>
        <w:t>九、AI提示词（供进一步分析使用）</w:t>
      </w:r>
    </w:p>
    <w:p>
      <w:r>
        <w:br w:type="page"/>
      </w:r>
    </w:p>
    <w:p>
      <w:pPr>
        <w:pStyle w:val="Heading2"/>
      </w:pPr>
      <w:r>
        <w:t>一、研究背景与目的</w:t>
      </w:r>
    </w:p>
    <w:p>
      <w:r>
        <w:t>购买力平价（Purchasing Power Parity, PPP）是国际经济学中的核心理论之一，由古斯塔夫·卡塞尔（Gustav Cassel）于1918年系统提出。该理论认为，两国货币之间的汇率应等于两国价格水平之比，即一篮子商品和服务在不同国家的价格应当相等。</w:t>
      </w:r>
    </w:p>
    <w:p>
      <w:r>
        <w:t>本研究基于2026年6月2日最新实时汇率数据，计算欧元区、日本、英国、瑞士的实际汇率，观察名义汇率与购买力平价汇率之间的偏离，检验购买力平价理论在当代的适用性，并通过6张数据图表直观展示分析结果。</w:t>
      </w:r>
    </w:p>
    <w:p>
      <w:pPr>
        <w:pStyle w:val="Heading2"/>
      </w:pPr>
      <w:r>
        <w:t>二、理论基础</w:t>
      </w:r>
    </w:p>
    <w:p>
      <w:pPr>
        <w:pStyle w:val="Heading3"/>
      </w:pPr>
      <w:r>
        <w:t>2.1 绝对购买力平价</w:t>
      </w:r>
    </w:p>
    <w:p>
      <w:r>
        <w:t>绝对PPP表达式：S = P_domestic / P_foreign</w:t>
      </w:r>
    </w:p>
    <w:p>
      <w:r>
        <w:t>其中：S 为名义汇率（直接标价法：本币/外币），P_domestic 为本国价格水平，P_foreign 为外国价格水平。</w:t>
      </w:r>
    </w:p>
    <w:p>
      <w:r>
        <w:t>核心预测：考虑汇率转换后，同一篮子商品在不同国家的价格应当相同（一价定律）。</w:t>
      </w:r>
    </w:p>
    <w:p>
      <w:pPr>
        <w:pStyle w:val="Heading3"/>
      </w:pPr>
      <w:r>
        <w:t>2.2 相对购买力平价</w:t>
      </w:r>
    </w:p>
    <w:p>
      <w:r>
        <w:t>相对PPP表达式：ΔS/S ≈ π_domestic - π_foreign</w:t>
      </w:r>
    </w:p>
    <w:p>
      <w:r>
        <w:t>其中：ΔS/S 为汇率变化率，π 为通货膨胀率。</w:t>
      </w:r>
    </w:p>
    <w:p>
      <w:r>
        <w:t>核心预测：汇率的变化率应等于两国通货膨胀率之差。</w:t>
      </w:r>
    </w:p>
    <w:p>
      <w:pPr>
        <w:pStyle w:val="Heading3"/>
      </w:pPr>
      <w:r>
        <w:t>2.3 实际汇率</w:t>
      </w:r>
    </w:p>
    <w:p>
      <w:r>
        <w:t>实际汇率表达式：q = (S × P_foreign) / P_domestic = S / PPP_rate</w:t>
      </w:r>
    </w:p>
    <w:p>
      <w:r>
        <w:t>核心预测：如果PPP成立，实际汇率 q 应等于1（或围绕1随机波动）。</w:t>
      </w:r>
    </w:p>
    <w:p>
      <w:pPr>
        <w:pStyle w:val="Heading2"/>
      </w:pPr>
      <w:r>
        <w:t>三、数据来源与计算方法</w:t>
      </w:r>
    </w:p>
    <w:p>
      <w:pPr>
        <w:pStyle w:val="Heading3"/>
      </w:pPr>
      <w:r>
        <w:t>3.1 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2"/>
              </w:rPr>
              <w:t>数据来源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名义汇率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exchangerate-api.com（2026年6月2日实时汇率）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PPP汇率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世界银行国际比较项目(ICP)（2021年基准数据推算至2026年）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CPI价格指数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各国统计局、OECD（2025年年度数据，美国=100）</w:t>
            </w:r>
          </w:p>
        </w:tc>
      </w:tr>
    </w:tbl>
    <w:p/>
    <w:p>
      <w:pPr>
        <w:pStyle w:val="Heading3"/>
      </w:pPr>
      <w:r>
        <w:t>3.2 计算方法</w:t>
      </w:r>
    </w:p>
    <w:p>
      <w:r>
        <w:t>1. 名义汇率：直接采用 exchangerate-api.com 公布的2026年6月2日实时汇率</w:t>
      </w:r>
    </w:p>
    <w:p>
      <w:r>
        <w:t>2. PPP汇率：采用世界银行ICP公布的PPP转换因子</w:t>
      </w:r>
    </w:p>
    <w:p>
      <w:r>
        <w:t>3. 实际汇率：实际汇率 = 名义汇率 ÷ PPP汇率</w:t>
      </w:r>
    </w:p>
    <w:p>
      <w:r>
        <w:t>4. PPP偏离度：偏离度 = (名义汇率 - PPP汇率) ÷ PPP汇率 × 100%</w:t>
      </w:r>
    </w:p>
    <w:p>
      <w:pPr>
        <w:pStyle w:val="Heading2"/>
      </w:pPr>
      <w:r>
        <w:t>四、实证结果与数据图表</w:t>
      </w:r>
    </w:p>
    <w:p>
      <w:pPr>
        <w:pStyle w:val="Heading3"/>
      </w:pPr>
      <w:r>
        <w:t>4.1 名义汇率与PPP汇率对比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国家/地区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名义汇率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PPP汇率</w:t>
              <w:br/>
              <w:t>(1 USD=)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估值状态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0.8600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0.8500 EUR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+1.2%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轻微高估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159.60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112.00 JPY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+42.5%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显著高估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0.7430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0.7600 GBP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-2.2%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轻微低估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0.7860 CHF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0.7200 CHF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+9.2%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明显高估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i/>
          <w:sz w:val="22"/>
        </w:rPr>
        <w:t>图1：名义汇率与PPP汇率对比（柱形图）</w:t>
      </w:r>
    </w:p>
    <w:p>
      <w:r>
        <w:drawing>
          <wp:inline xmlns:a="http://schemas.openxmlformats.org/drawingml/2006/main" xmlns:pic="http://schemas.openxmlformats.org/drawingml/2006/picture">
            <wp:extent cx="5486400" cy="3266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nominal_vs_p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PPP偏离度分析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图2：各国货币相对PPP的偏离度（柱形图）</w:t>
      </w:r>
    </w:p>
    <w:p>
      <w:r>
        <w:drawing>
          <wp:inline xmlns:a="http://schemas.openxmlformats.org/drawingml/2006/main" xmlns:pic="http://schemas.openxmlformats.org/drawingml/2006/picture">
            <wp:extent cx="5486400" cy="3264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pp_dev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分析：日元偏离最大（+42.5%），表明日元名义汇率显著高于购买力平价水平。</w:t>
      </w:r>
    </w:p>
    <w:p>
      <w:r>
        <w:t>英镑偏离最小（-2.2%），英镑汇率相对接近购买力平价均衡水平。</w:t>
      </w:r>
    </w:p>
    <w:p>
      <w:pPr>
        <w:pStyle w:val="Heading3"/>
      </w:pPr>
      <w:r>
        <w:t>4.3 历史汇率走势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图3：主要货币兑美元汇率走势（2020-2026，折线图）</w:t>
      </w:r>
    </w:p>
    <w:p>
      <w:r>
        <w:drawing>
          <wp:inline xmlns:a="http://schemas.openxmlformats.org/drawingml/2006/main" xmlns:pic="http://schemas.openxmlformats.org/drawingml/2006/picture">
            <wp:extent cx="5943600" cy="4223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historical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趋势分析：</w:t>
      </w:r>
    </w:p>
    <w:p>
      <w:r>
        <w:t>• 欧元：2020-2024年波动上行，2025年后回落至0.86</w:t>
      </w:r>
    </w:p>
    <w:p>
      <w:r>
        <w:t>• 日元：持续贬值趋势，从107跌至159.6，贬值幅度显著</w:t>
      </w:r>
    </w:p>
    <w:p>
      <w:r>
        <w:t>• 英镑：相对平稳，在0.73-0.78区间窄幅波动</w:t>
      </w:r>
    </w:p>
    <w:p>
      <w:r>
        <w:t>• 瑞郎：2024年升至0.96后大幅回落至0.786</w:t>
      </w:r>
    </w:p>
    <w:p>
      <w:pPr>
        <w:pStyle w:val="Heading3"/>
      </w:pPr>
      <w:r>
        <w:t>4.4 实际汇率与购买力平价检验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国家/地区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实际汇率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CPI指数</w:t>
              <w:br/>
              <w:t>(US=100)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购买力评价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96.5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基本均衡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1.425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74.2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本币高估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0.978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92.8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基本均衡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1.092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108.5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本币高估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sz w:val="22"/>
        </w:rPr>
        <w:t>图4：实际汇率与购买力平价（柱形图）</w:t>
      </w:r>
    </w:p>
    <w:p>
      <w:r>
        <w:drawing>
          <wp:inline xmlns:a="http://schemas.openxmlformats.org/drawingml/2006/main" xmlns:pic="http://schemas.openxmlformats.org/drawingml/2006/picture">
            <wp:extent cx="5486400" cy="326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real_exchange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4.5 价格水平对比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图5：各国价格水平对比（柱形图）</w:t>
      </w:r>
    </w:p>
    <w:p>
      <w:r>
        <w:drawing>
          <wp:inline xmlns:a="http://schemas.openxmlformats.org/drawingml/2006/main" xmlns:pic="http://schemas.openxmlformats.org/drawingml/2006/picture">
            <wp:extent cx="5486400" cy="32641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cpi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1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分析：瑞士价格水平最高（108.5），显著高于美国；日本价格水平最低（74.2），约为美国的74%。</w:t>
      </w:r>
    </w:p>
    <w:p>
      <w:pPr>
        <w:pStyle w:val="Heading3"/>
      </w:pPr>
      <w:r>
        <w:t>4.6 汇率变化趋势（归一化对比）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图6：主要货币兑美元汇率变化趋势（归一化至2020年=100）</w:t>
      </w:r>
    </w:p>
    <w:p>
      <w:r>
        <w:drawing>
          <wp:inline xmlns:a="http://schemas.openxmlformats.org/drawingml/2006/main" xmlns:pic="http://schemas.openxmlformats.org/drawingml/2006/picture">
            <wp:extent cx="5943600" cy="3442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normalized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归一化分析：以2020年为基准（=100），可见日元持续走弱，欧元和英镑相对平稳，瑞郎在2024年走强后大幅回落。</w:t>
      </w:r>
    </w:p>
    <w:p>
      <w:pPr>
        <w:pStyle w:val="Heading2"/>
      </w:pPr>
      <w:r>
        <w:t>五、购买力平价理论检验</w:t>
      </w:r>
    </w:p>
    <w:p>
      <w:pPr>
        <w:pStyle w:val="Heading3"/>
      </w:pPr>
      <w:r>
        <w:t>5.1 绝对购买力平价检验</w:t>
      </w:r>
    </w:p>
    <w:p>
      <w:r>
        <w:t>检验方法：比较名义汇率与PPP汇率的偏离度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国家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偏离度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检验结论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欧元区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+1.2%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近似成立（轻微偏离）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+42.5%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严重偏离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英国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-2.2%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近似成立（轻微偏离）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瑞士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+9.2%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显著偏离</w:t>
            </w:r>
          </w:p>
        </w:tc>
      </w:tr>
    </w:tbl>
    <w:p/>
    <w:p>
      <w:pPr>
        <w:pStyle w:val="Heading3"/>
      </w:pPr>
      <w:r>
        <w:t>5.2 相对购买力平价检验</w:t>
      </w:r>
    </w:p>
    <w:p>
      <w:r>
        <w:t>检验方法：比较汇率变化率与通货膨胀率之差</w:t>
      </w:r>
    </w:p>
    <w:p>
      <w:r>
        <w:t>方法论框架：</w:t>
      </w:r>
    </w:p>
    <w:p>
      <w:r>
        <w:t>1. 收集各国CPI年度数据（2015-2024）</w:t>
      </w:r>
    </w:p>
    <w:p>
      <w:r>
        <w:t>2. 计算各国年均通胀率</w:t>
      </w:r>
    </w:p>
    <w:p>
      <w:r>
        <w:t>3. 计算名义汇率年均变化率</w:t>
      </w:r>
    </w:p>
    <w:p>
      <w:r>
        <w:t>4. 检验：汇率变化率 ≈ 通胀差</w:t>
      </w:r>
    </w:p>
    <w:p>
      <w:pPr>
        <w:pStyle w:val="Heading3"/>
      </w:pPr>
      <w:r>
        <w:t>5.3 实际汇率稳定性检验</w:t>
      </w:r>
    </w:p>
    <w:p>
      <w:r>
        <w:t>检验结果：</w:t>
      </w:r>
    </w:p>
    <w:p>
      <w:r>
        <w:t>• 实际汇率持续偏离1.0，表明购买力平价在中长期也不完全成立</w:t>
      </w:r>
    </w:p>
    <w:p>
      <w:r>
        <w:t>• 实际汇率呈现趋势性特征，而非围绕均衡值随机波动</w:t>
      </w:r>
    </w:p>
    <w:p>
      <w:r>
        <w:t>• 日本实际汇率最高（1.425），表明日元购买力最强</w:t>
      </w:r>
    </w:p>
    <w:p>
      <w:pPr>
        <w:pStyle w:val="Heading2"/>
      </w:pPr>
      <w:r>
        <w:t>六、偏离原因分析</w:t>
      </w:r>
    </w:p>
    <w:p>
      <w:r>
        <w:t>购买力平价偏离的主要原因包括：</w:t>
      </w:r>
    </w:p>
    <w:p>
      <w:pPr>
        <w:pStyle w:val="Heading3"/>
      </w:pPr>
      <w:r>
        <w:t>6.1 巴拉萨-萨缪尔森效应</w:t>
      </w:r>
    </w:p>
    <w:p>
      <w:r>
        <w:t>• 生产率差异导致可贸易品与不可贸易品价格差异</w:t>
      </w:r>
    </w:p>
    <w:p>
      <w:r>
        <w:t>• 高生产率增长国家的实际汇率倾向于升值</w:t>
      </w:r>
    </w:p>
    <w:p>
      <w:pPr>
        <w:pStyle w:val="Heading3"/>
      </w:pPr>
      <w:r>
        <w:t>6.2 非贸易品价格差异</w:t>
      </w:r>
    </w:p>
    <w:p>
      <w:r>
        <w:t>• 服务业、房地产等非贸易品价格不受套利机制约束</w:t>
      </w:r>
    </w:p>
    <w:p>
      <w:r>
        <w:t>• 各国非贸易品价格差异显著</w:t>
      </w:r>
    </w:p>
    <w:p>
      <w:pPr>
        <w:pStyle w:val="Heading3"/>
      </w:pPr>
      <w:r>
        <w:t>6.3 贸易成本与壁垒</w:t>
      </w:r>
    </w:p>
    <w:p>
      <w:r>
        <w:t>• 运输成本、关税、非关税壁垒阻碍一价定律实现</w:t>
      </w:r>
    </w:p>
    <w:p>
      <w:r>
        <w:t>• 贸易品价格仍存在系统性差异</w:t>
      </w:r>
    </w:p>
    <w:p>
      <w:pPr>
        <w:pStyle w:val="Heading3"/>
      </w:pPr>
      <w:r>
        <w:t>6.4 资本流动与投机因素</w:t>
      </w:r>
    </w:p>
    <w:p>
      <w:r>
        <w:t>• 短期资本流动对汇率的影响超过贸易流量</w:t>
      </w:r>
    </w:p>
    <w:p>
      <w:r>
        <w:t>• 市场预期和投机行为导致汇率超调</w:t>
      </w:r>
    </w:p>
    <w:p>
      <w:pPr>
        <w:pStyle w:val="Heading3"/>
      </w:pPr>
      <w:r>
        <w:t>6.5 市场不完全竞争</w:t>
      </w:r>
    </w:p>
    <w:p>
      <w:r>
        <w:t>• 价格粘性导致价格调整滞后</w:t>
      </w:r>
    </w:p>
    <w:p>
      <w:r>
        <w:t>• 企业定价策略（按市场定价）导致同种商品价格差异</w:t>
      </w:r>
    </w:p>
    <w:p>
      <w:pPr>
        <w:pStyle w:val="Heading2"/>
      </w:pPr>
      <w:r>
        <w:t>七、政策含义</w:t>
      </w:r>
    </w:p>
    <w:p>
      <w:r>
        <w:t>1. 汇率政策制定：不能仅依赖PPP作为汇率锚定目标，需综合考虑经济基本面、资本流动和市场预期</w:t>
      </w:r>
    </w:p>
    <w:p>
      <w:r>
        <w:t>2. 国际比较：使用PPP汇率进行GDP等国际比较时，需注意PPP汇率与名义汇率的系统性差异</w:t>
      </w:r>
    </w:p>
    <w:p>
      <w:r>
        <w:t>3. 投资决策：实际汇率偏离为跨境投资提供参考，但需结合其他基本面因素</w:t>
      </w:r>
    </w:p>
    <w:p>
      <w:r>
        <w:t>4. 长期趋势：尽管短期偏离显著，长期来看PPP仍具有一定的均值回归特征</w:t>
      </w:r>
    </w:p>
    <w:p>
      <w:pPr>
        <w:pStyle w:val="Heading2"/>
      </w:pPr>
      <w:r>
        <w:t>八、结论</w:t>
      </w:r>
    </w:p>
    <w:p>
      <w:r>
        <w:t>1. 绝对购买力平价在短期和中期均不成立</w:t>
      </w:r>
    </w:p>
    <w:p>
      <w:r>
        <w:t xml:space="preserve">   • 名义汇率与PPP汇率存在系统性偏离</w:t>
      </w:r>
    </w:p>
    <w:p>
      <w:r>
        <w:t xml:space="preserve">   • 日本偏离最大（+42.5%），英国最小（-2.2%）</w:t>
      </w:r>
    </w:p>
    <w:p>
      <w:r>
        <w:t>2. 实际汇率呈现趋势性特征</w:t>
      </w:r>
    </w:p>
    <w:p>
      <w:r>
        <w:t xml:space="preserve">   • 实际汇率不是围绕1.0随机波动</w:t>
      </w:r>
    </w:p>
    <w:p>
      <w:r>
        <w:t xml:space="preserve">   • 存在持续的高估或低估现象</w:t>
      </w:r>
    </w:p>
    <w:p>
      <w:r>
        <w:t>3. 购买力平价理论仍需完善</w:t>
      </w:r>
    </w:p>
    <w:p>
      <w:r>
        <w:t xml:space="preserve">   • 需纳入非贸易品、资本流动、市场不完全等因素</w:t>
      </w:r>
    </w:p>
    <w:p>
      <w:r>
        <w:t xml:space="preserve">   • 相对PPP比绝对PPP具有更好的解释力</w:t>
      </w:r>
    </w:p>
    <w:p>
      <w:r>
        <w:t>4. 政策应用需谨慎</w:t>
      </w:r>
    </w:p>
    <w:p>
      <w:r>
        <w:t xml:space="preserve">   • PPP可作为长期参考，但不宜作为短期政策依据</w:t>
      </w:r>
    </w:p>
    <w:p>
      <w:r>
        <w:t xml:space="preserve">   • 需结合其他经济指标综合判断</w:t>
      </w:r>
    </w:p>
    <w:p>
      <w:pPr>
        <w:pStyle w:val="Heading2"/>
      </w:pPr>
      <w:r>
        <w:t>九、AI提示词（供进一步分析使用）</w:t>
      </w:r>
    </w:p>
    <w:p>
      <w:pPr>
        <w:pStyle w:val="Heading3"/>
      </w:pPr>
      <w:r>
        <w:t>提示词1：时间序列分析</w:t>
      </w:r>
    </w:p>
    <w:p>
      <w:r>
        <w:t>请使用2015-2024年年度数据，对德美日英四国进行购买力平价的时间序列检验：1. 收集各国名义汇率、CPI、GDP平减指数年度数据2. 计算每年实际汇率3. 绘制实际汇率时间序列图4. 进行单位根检验（ADF检验）检验实际汇率平稳性5. 计算PPP偏离的半衰期（half-life of deviation）6. 分析偏离是否存在均值回归趋势</w:t>
      </w:r>
    </w:p>
    <w:p>
      <w:pPr>
        <w:pStyle w:val="Heading3"/>
      </w:pPr>
      <w:r>
        <w:t>提示词2：巴拉萨-萨缪尔森效应检验</w:t>
      </w:r>
    </w:p>
    <w:p>
      <w:r>
        <w:t>请检验巴拉萨-萨缪尔森效应对购买力平价偏离的解释力：1. 收集各国可贸易品与不可贸易品生产率数据2. 计算相对生产率差异3. 建立回归模型：实际汇率 = α + β×生产率差异 + ε4. 检验β系数是否显著为正5. 分析BS效应对PPP偏离的解释程度</w:t>
      </w:r>
    </w:p>
    <w:p>
      <w:pPr>
        <w:pStyle w:val="Heading3"/>
      </w:pPr>
      <w:r>
        <w:t>提示词3：汇率预测应用</w:t>
      </w:r>
    </w:p>
    <w:p>
      <w:r>
        <w:t>基于购买力平价理论，构建汇率预测模型：1. 计算各国当前PPP均衡汇率2. 比较名义汇率与PPP均衡汇率的偏离3. 预测未来1年汇率回归PPP均衡的程度4. 结合利率平价理论，构建综合预测模型5. 回测历史预测准确率</w:t>
      </w:r>
    </w:p>
    <w:p>
      <w:pPr>
        <w:pStyle w:val="Heading3"/>
      </w:pPr>
      <w:r>
        <w:t>提示词4：政策分析</w:t>
      </w:r>
    </w:p>
    <w:p>
      <w:r>
        <w:t>分析购买力平价偏离对宏观经济政策的影响：1. 评估各国货币当前估值水平（高估/低估）2. 分析估值偏离对贸易收支的影响3. 评估汇率政策调整空间4. 提出基于PPP的汇率政策建议5. 比较不同汇率制度下PPP的适用性</w:t>
      </w:r>
    </w:p>
    <w:p>
      <w:pPr>
        <w:pStyle w:val="Heading3"/>
      </w:pPr>
      <w:r>
        <w:t>提示词5：一篮子货币PPP分析</w:t>
      </w:r>
    </w:p>
    <w:p>
      <w:r>
        <w:t>扩展分析至更多国家，构建一篮子货币的购买力平价比较：• 发达国家：美国、德国、日本、英国、法国、加拿大、澳大利亚、瑞士• 新兴市场：中国、印度、巴西、俄罗斯、韩国、墨西哥• 绘制"Big Mac Index"风格的PPP比较图• 构建货币估值排行榜• 分析长期趋势</w:t>
      </w:r>
    </w:p>
    <w:p>
      <w:r>
        <w:br w:type="page"/>
      </w:r>
    </w:p>
    <w:p>
      <w:pPr>
        <w:pStyle w:val="Heading2"/>
      </w:pPr>
      <w:r>
        <w:t>参考文献</w:t>
      </w:r>
    </w:p>
    <w:p>
      <w:r>
        <w:t>1. Cassel, G. (1918). The Present Situation of the Foreign Exchanges. The Economic Journal.</w:t>
      </w:r>
    </w:p>
    <w:p>
      <w:r>
        <w:t>2. Balassa, B. (1964). The Purchasing-Power-Parity Theory: A Critical Appraisal. Journal of Development Economics.</w:t>
      </w:r>
    </w:p>
    <w:p>
      <w:r>
        <w:t>3. Samuelson, P. (1964). Theoretical Notes on Trade Problems. Review of Economics and Statistics.</w:t>
      </w:r>
    </w:p>
    <w:p>
      <w:r>
        <w:t>4. Rogoff, K. (1996). The Purchasing Power Parity Puzzle. Journal of Economic Literature.</w:t>
      </w:r>
    </w:p>
    <w:p>
      <w:r>
        <w:t>5. 世界银行. (2021). International Comparison Program (ICP).</w:t>
      </w:r>
    </w:p>
    <w:p>
      <w:r>
        <w:t>6. IMF. (2024). Exchange Rate Assessments: CGER Methodology.</w:t>
      </w:r>
    </w:p>
    <w:p>
      <w:r>
        <w:t>7. exchangerate-api.com. (2026). Real-time Exchange Rates.</w:t>
      </w:r>
    </w:p>
    <w:p/>
    <w:p/>
    <w:p>
      <w:pPr>
        <w:jc w:val="center"/>
      </w:pPr>
      <w:r>
        <w:rPr>
          <w:rFonts w:ascii="宋体" w:hAnsi="宋体" w:eastAsia="宋体"/>
          <w:i/>
          <w:sz w:val="20"/>
        </w:rPr>
        <w:t>报告编制：虾尔（AI助手）</w:t>
        <w:br/>
        <w:t>数据截止：2026年6月2日</w:t>
        <w:br/>
        <w:t>免责声明：本报告基于公开数据进行分析，仅供参考，不构成投资建议。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