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购买力平价检验：德美日英四国</w:t>
      </w:r>
    </w:p>
    <w:p>
      <w:pPr>
        <w:jc w:val="center"/>
      </w:pPr>
      <w:r>
        <w:rPr>
          <w:color w:val="808080"/>
          <w:sz w:val="20"/>
        </w:rPr>
        <w:t>数据来源：汇率API实时获取 (2026-06-03) | 世界银行ICP | OECD</w:t>
      </w:r>
    </w:p>
    <w:p/>
    <w:p>
      <w:pPr>
        <w:pStyle w:val="Heading1"/>
      </w:pPr>
      <w:r>
        <w:t>一、核心数据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  <w:sz w:val="20"/>
              </w:rPr>
              <w:t>美国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  <w:sz w:val="20"/>
              </w:rPr>
              <w:t>德国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  <w:sz w:val="20"/>
              </w:rPr>
              <w:t>日本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  <w:sz w:val="20"/>
              </w:rPr>
              <w:t>英国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名义汇率 (1USD=)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0.8598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159.87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0.7428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PPP汇率 (1USD=)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0.8800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115.00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0.7700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实际汇率 q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0.9771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1.3902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0.9647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PPP偏离度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-2.3%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+39.0%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sz w:val="20"/>
              </w:rPr>
              <w:t>-3.5%</w:t>
            </w:r>
          </w:p>
        </w:tc>
      </w:tr>
    </w:tbl>
    <w:p/>
    <w:p>
      <w:pPr>
        <w:pStyle w:val="Heading1"/>
      </w:pPr>
      <w:r>
        <w:t>二、绝对购买力平价检验</w:t>
      </w:r>
    </w:p>
    <w:p>
      <w:r>
        <w:rPr>
          <w:b/>
        </w:rPr>
        <w:t>绝对PPP理论：</w:t>
      </w:r>
      <w:r>
        <w:t>S = P_domestic / P_foreign，即考虑汇率后，同一篮子商品在不同国家价格应相等。</w:t>
        <w:br/>
        <w:br/>
      </w:r>
      <w:r>
        <w:rPr>
          <w:b/>
        </w:rPr>
        <w:t>检验方法：</w:t>
      </w:r>
      <w:r>
        <w:t>比较名义汇率与PPP汇率的偏离度。偏离度 = (名义汇率 - PPP汇率) / PPP汇率 × 100%。</w:t>
      </w:r>
    </w:p>
    <w:p>
      <w:r>
        <w:drawing>
          <wp:inline xmlns:a="http://schemas.openxmlformats.org/drawingml/2006/main" xmlns:pic="http://schemas.openxmlformats.org/drawingml/2006/picture">
            <wp:extent cx="5040000" cy="3054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devi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▲ 偏离度柱状图：正值=本币高估，负值=本币低估</w:t>
      </w:r>
    </w:p>
    <w:p>
      <w:r>
        <w:rPr>
          <w:b/>
        </w:rPr>
        <w:t>检验结论：</w:t>
      </w:r>
      <w:r>
        <w:t>日本偏离最大（+39.0%），日元名义汇率显著高于购买力平价水平；德国偏离-2.3%，欧元温和高估；英国偏离仅-3.5%，最接近PPP均衡。三国均呈现本币高估特征，绝对购买力平价不成立。</w:t>
      </w:r>
    </w:p>
    <w:p/>
    <w:p>
      <w:pPr>
        <w:pStyle w:val="Heading1"/>
      </w:pPr>
      <w:r>
        <w:t>三、汇率变化趋势</w:t>
      </w:r>
    </w:p>
    <w:p>
      <w:r>
        <w:t>过去6年，日元对美元持续贬值（从107跌至160），贬值幅度达49%；欧元先贬后升，在0.84-0.95区间波动；英镑相对稳定。</w:t>
      </w:r>
    </w:p>
    <w:p>
      <w:r>
        <w:drawing>
          <wp:inline xmlns:a="http://schemas.openxmlformats.org/drawingml/2006/main" xmlns:pic="http://schemas.openxmlformats.org/drawingml/2006/picture">
            <wp:extent cx="5400000" cy="2670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0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▲ 汇率趋势折线图</w:t>
      </w:r>
    </w:p>
    <w:p/>
    <w:p>
      <w:pPr>
        <w:pStyle w:val="Heading1"/>
      </w:pPr>
      <w:r>
        <w:t>四、相对购买力平价检验</w:t>
      </w:r>
    </w:p>
    <w:p>
      <w:r>
        <w:rPr>
          <w:b/>
        </w:rPr>
        <w:t>相对PPP理论：</w:t>
      </w:r>
      <w:r>
        <w:t>汇率变化率 ≈ 两国通胀率之差。高通胀国家的货币应贬值，低通胀国家的货币应升值。</w:t>
        <w:br/>
        <w:br/>
      </w:r>
      <w:r>
        <w:rPr>
          <w:b/>
        </w:rPr>
        <w:t>检验方法：</w:t>
      </w:r>
      <w:r>
        <w:t>比较2020-2026年各国汇率变化率与同期通胀差的关系。如果相对PPP成立，数据点应沿45度线分布。</w:t>
      </w:r>
    </w:p>
    <w:p>
      <w:r>
        <w:drawing>
          <wp:inline xmlns:a="http://schemas.openxmlformats.org/drawingml/2006/main" xmlns:pic="http://schemas.openxmlformats.org/drawingml/2006/picture">
            <wp:extent cx="5040000" cy="2998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rela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▲ 散点图：横轴=通胀差，纵轴=汇率变化率</w:t>
      </w:r>
    </w:p>
    <w:p>
      <w:r>
        <w:rPr>
          <w:b/>
        </w:rPr>
        <w:t>检验结论：</w:t>
      </w:r>
      <w:r>
        <w:t>从散点图看，三国数据点并未沿45度线分布，通胀差与汇率变化率之间相关性较弱。日本通胀差虽小但汇率贬值幅度远超通胀差预测，说明相对购买力平价在短期和中期内也不成立。资本流动、市场预期等因素对汇率的影响超过了通胀差异。</w:t>
      </w:r>
    </w:p>
    <w:p/>
    <w:p>
      <w:pPr>
        <w:pStyle w:val="Heading1"/>
      </w:pPr>
      <w:r>
        <w:t>五、实际汇率检验</w:t>
      </w:r>
    </w:p>
    <w:p>
      <w:r>
        <w:t>实际汇率 q = 名义汇率 / PPP汇率。如果PPP成立，q应等于1（或围绕1随机波动）。</w:t>
      </w:r>
    </w:p>
    <w:p>
      <w:r>
        <w:drawing>
          <wp:inline xmlns:a="http://schemas.openxmlformats.org/drawingml/2006/main" xmlns:pic="http://schemas.openxmlformats.org/drawingml/2006/picture">
            <wp:extent cx="5400000" cy="2670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0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▲ 实际汇率趋势：红线=PPP均衡线(q=1)</w:t>
      </w:r>
    </w:p>
    <w:p>
      <w:r>
        <w:rPr>
          <w:b/>
        </w:rPr>
        <w:t>检验结论：</w:t>
      </w:r>
      <w:r>
        <w:t>实际汇率持续偏离1.0，且呈现趋势性而非随机波动。日本实际汇率从0.93升至1.390，高估程度不断加深；德国从0.90升至0.9771；英国从0.82升至0.9647。实际汇率的持续偏离表明，购买力平价在中长期也不成立。</w:t>
      </w:r>
    </w:p>
    <w:p/>
    <w:p>
      <w:pPr>
        <w:pStyle w:val="Heading1"/>
      </w:pPr>
      <w:r>
        <w:t>六、价格水平与通胀</w:t>
      </w:r>
    </w:p>
    <w:p>
      <w:r>
        <w:t>以美国CPI=100为基准，日本价格水平最低（74.2），意味着同样金额在日本能购买更多商品。德国(96.5)和英国(92.8)价格水平接近美国。</w:t>
      </w:r>
    </w:p>
    <w:p>
      <w:r>
        <w:drawing>
          <wp:inline xmlns:a="http://schemas.openxmlformats.org/drawingml/2006/main" xmlns:pic="http://schemas.openxmlformats.org/drawingml/2006/picture">
            <wp:extent cx="4680000" cy="28342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cp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342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2024年四国通胀率：英国最高(4.0%)，德国(3.8%)，美国(3.2%)，日本(3.3%).英国通胀压力最大，日本虽走出通缩但仍低于其他三国。</w:t>
      </w:r>
    </w:p>
    <w:p>
      <w:r>
        <w:drawing>
          <wp:inline xmlns:a="http://schemas.openxmlformats.org/drawingml/2006/main" xmlns:pic="http://schemas.openxmlformats.org/drawingml/2006/picture">
            <wp:extent cx="4680000" cy="28358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inf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35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七、主要结论</w:t>
      </w:r>
    </w:p>
    <w:p>
      <w:r>
        <w:rPr>
          <w:sz w:val="22"/>
        </w:rPr>
        <w:t>1. 绝对购买力平价不成立：三国名义汇率与PPP汇率均存在系统性偏离，日本偏离最大（+39.0%）。</w:t>
      </w:r>
    </w:p>
    <w:p>
      <w:r>
        <w:rPr>
          <w:sz w:val="22"/>
        </w:rPr>
        <w:t>2. 相对购买力平价不成立：通胀差与汇率变化率相关性弱，资本流动和市场预期对汇率的影响超过通胀差异。</w:t>
      </w:r>
    </w:p>
    <w:p>
      <w:r>
        <w:rPr>
          <w:sz w:val="22"/>
        </w:rPr>
        <w:t>3. 实际汇率持续偏离：实际汇率呈现趋势性偏离而非围绕1随机波动。日本实际汇率达1.390，高估最严重。</w:t>
      </w:r>
    </w:p>
    <w:p>
      <w:r>
        <w:rPr>
          <w:sz w:val="22"/>
        </w:rPr>
        <w:t>4. 英镑最接近均衡：偏离度仅-3.5%，四国中最符合购买力平价。</w:t>
      </w:r>
    </w:p>
    <w:p/>
    <w:p>
      <w:pPr>
        <w:pStyle w:val="Heading1"/>
      </w:pPr>
      <w:r>
        <w:t>八、偏离原因分析</w:t>
      </w:r>
    </w:p>
    <w:p>
      <w:r>
        <w:rPr>
          <w:b/>
          <w:sz w:val="22"/>
        </w:rPr>
        <w:t>• 巴拉萨-萨缪尔森效应：</w:t>
      </w:r>
      <w:r>
        <w:rPr>
          <w:sz w:val="22"/>
        </w:rPr>
        <w:t>生产率差异导致可贸易品与不可贸易品价格差异。高生产率增长国家的实际汇率倾向于升值，日本过去20年生产率增长缓慢但实际汇率仍高估，说明该效应解释力有限。</w:t>
      </w:r>
    </w:p>
    <w:p>
      <w:r>
        <w:rPr>
          <w:b/>
          <w:sz w:val="22"/>
        </w:rPr>
        <w:t>• 非贸易品价格差异：</w:t>
      </w:r>
      <w:r>
        <w:rPr>
          <w:sz w:val="22"/>
        </w:rPr>
        <w:t>服务业、房地产等非贸易品价格不受套利机制约束。日本服务业价格长期低迷，美国服务业价格高企，导致两国价格水平差异持续存在。</w:t>
      </w:r>
    </w:p>
    <w:p>
      <w:r>
        <w:rPr>
          <w:b/>
          <w:sz w:val="22"/>
        </w:rPr>
        <w:t>• 资本流动与投机因素：</w:t>
      </w:r>
      <w:r>
        <w:rPr>
          <w:sz w:val="22"/>
        </w:rPr>
        <w:t>短期资本流动对汇率的影响远超贸易流量。日元作为融资货币（carry trade）的地位、美元作为储备货币的溢价，都使汇率偏离PPP均衡。</w:t>
      </w:r>
    </w:p>
    <w:p>
      <w:r>
        <w:rPr>
          <w:b/>
          <w:sz w:val="22"/>
        </w:rPr>
        <w:t>• 贸易成本与壁垒：</w:t>
      </w:r>
      <w:r>
        <w:rPr>
          <w:sz w:val="22"/>
        </w:rPr>
        <w:t>运输成本、关税、非关税壁垒阻碍一价定律实现。日本农产品高关税、欧洲服务业壁垒等，使同种商品价格仍存在系统性差异。</w:t>
      </w:r>
    </w:p>
    <w:p>
      <w:r>
        <w:rPr>
          <w:b/>
          <w:sz w:val="22"/>
        </w:rPr>
        <w:t>• 货币政策分化：</w:t>
      </w:r>
      <w:r>
        <w:rPr>
          <w:sz w:val="22"/>
        </w:rPr>
        <w:t>美联储加息周期与日本央行超宽松货币政策的分化，导致利差扩大，推动汇率偏离PPP。英国脱欧后的货币政策不确定性也加剧了英镑波动。</w:t>
      </w:r>
    </w:p>
    <w:p>
      <w:r>
        <w:rPr>
          <w:b/>
          <w:sz w:val="22"/>
        </w:rPr>
        <w:t>• 市场不完全竞争：</w:t>
      </w:r>
      <w:r>
        <w:rPr>
          <w:sz w:val="22"/>
        </w:rPr>
        <w:t>价格粘性导致价格调整滞后，企业按市场定价（PTM）策略使同种商品在不同市场价格差异长期存在。</w:t>
      </w:r>
    </w:p>
    <w:p/>
    <w:p>
      <w:pPr>
        <w:pStyle w:val="Heading1"/>
      </w:pPr>
      <w:r>
        <w:t>九、AI提示词（供进一步分析使用）</w:t>
      </w:r>
    </w:p>
    <w:p>
      <w:r>
        <w:rPr>
          <w:b/>
          <w:color w:val="003366"/>
          <w:sz w:val="24"/>
        </w:rPr>
        <w:t>提示词1：时间序列分析</w:t>
      </w:r>
    </w:p>
    <w:p>
      <w:pPr>
        <w:ind w:left="567"/>
      </w:pPr>
      <w:r>
        <w:rPr>
          <w:color w:val="505050"/>
          <w:sz w:val="20"/>
        </w:rPr>
        <w:t>请使用2015-2025年年度数据，对德美日英四国进行购买力平价的时间序列检验：</w:t>
        <w:br/>
        <w:t>1. 收集各国名义汇率、CPI、GDP平减指数年度数据</w:t>
        <w:br/>
        <w:t>2. 计算每年实际汇率</w:t>
        <w:br/>
        <w:t>3. 绘制实际汇率时间序列图</w:t>
        <w:br/>
        <w:t>4. 进行单位根检验（ADF检验）检验实际汇率平稳性</w:t>
        <w:br/>
        <w:t>5. 计算PPP偏离的半衰期（half-life of deviation）</w:t>
        <w:br/>
        <w:t>6. 分析偏离是否存在均值回归趋势</w:t>
      </w:r>
    </w:p>
    <w:p>
      <w:r>
        <w:rPr>
          <w:b/>
          <w:color w:val="003366"/>
          <w:sz w:val="24"/>
        </w:rPr>
        <w:t>提示词2：巴拉萨-萨缪尔森效应检验</w:t>
      </w:r>
    </w:p>
    <w:p>
      <w:pPr>
        <w:ind w:left="567"/>
      </w:pPr>
      <w:r>
        <w:rPr>
          <w:color w:val="505050"/>
          <w:sz w:val="20"/>
        </w:rPr>
        <w:t>请检验巴拉萨-萨缪尔森效应对购买力平价偏离的解释力：</w:t>
        <w:br/>
        <w:t>1. 收集各国可贸易品与不可贸易品生产率数据</w:t>
        <w:br/>
        <w:t>2. 计算相对生产率差异</w:t>
        <w:br/>
        <w:t>3. 建立回归模型：实际汇率 = α + β×生产率差异 + ε</w:t>
        <w:br/>
        <w:t>4. 检验β系数是否显著为正</w:t>
        <w:br/>
        <w:t>5. 分析BS效应对PPP偏离的解释程度</w:t>
      </w:r>
    </w:p>
    <w:p>
      <w:r>
        <w:rPr>
          <w:b/>
          <w:color w:val="003366"/>
          <w:sz w:val="24"/>
        </w:rPr>
        <w:t>提示词3：汇率预测应用</w:t>
      </w:r>
    </w:p>
    <w:p>
      <w:pPr>
        <w:ind w:left="567"/>
      </w:pPr>
      <w:r>
        <w:rPr>
          <w:color w:val="505050"/>
          <w:sz w:val="20"/>
        </w:rPr>
        <w:t>基于购买力平价理论，构建汇率预测模型：</w:t>
        <w:br/>
        <w:t>1. 计算各国当前PPP均衡汇率</w:t>
        <w:br/>
        <w:t>2. 比较名义汇率与PPP均衡汇率的偏离</w:t>
        <w:br/>
        <w:t>3. 预测未来1年汇率回归PPP均衡的程度</w:t>
        <w:br/>
        <w:t>4. 结合利率平价理论，构建综合预测模型</w:t>
        <w:br/>
        <w:t>5. 回测历史预测准确率</w:t>
      </w:r>
    </w:p>
    <w:p>
      <w:r>
        <w:rPr>
          <w:b/>
          <w:color w:val="003366"/>
          <w:sz w:val="24"/>
        </w:rPr>
        <w:t>提示词4：政策分析</w:t>
      </w:r>
    </w:p>
    <w:p>
      <w:pPr>
        <w:ind w:left="567"/>
      </w:pPr>
      <w:r>
        <w:rPr>
          <w:color w:val="505050"/>
          <w:sz w:val="20"/>
        </w:rPr>
        <w:t>分析购买力平价偏离对宏观经济政策的影响：</w:t>
        <w:br/>
        <w:t>1. 评估各国货币当前估值水平（高估/低估）</w:t>
        <w:br/>
        <w:t>2. 分析估值偏离对贸易收支的影响</w:t>
        <w:br/>
        <w:t>3. 评估汇率政策调整空间</w:t>
        <w:br/>
        <w:t>4. 提出基于PPP的汇率政策建议</w:t>
        <w:br/>
        <w:t>5. 比较不同汇率制度下PPP的适用性</w:t>
      </w:r>
    </w:p>
    <w:p>
      <w:r>
        <w:rPr>
          <w:b/>
          <w:color w:val="003366"/>
          <w:sz w:val="24"/>
        </w:rPr>
        <w:t>提示词5：机器学习预测</w:t>
      </w:r>
    </w:p>
    <w:p>
      <w:pPr>
        <w:ind w:left="567"/>
      </w:pPr>
      <w:r>
        <w:rPr>
          <w:color w:val="505050"/>
          <w:sz w:val="20"/>
        </w:rPr>
        <w:t>使用机器学习方法预测汇率偏离回归：</w:t>
        <w:br/>
        <w:t>1. 构建特征工程：利差、通胀差、贸易余额、GDP增速、外汇储备等</w:t>
        <w:br/>
        <w:t>2. 训练回归模型预测实际汇率</w:t>
        <w:br/>
        <w:t>3. 比较线性模型与树模型（XGBoost/LightGBM）的预测效果</w:t>
        <w:br/>
        <w:t>4. 分析特征重要性，识别影响PPP偏离的关键因素</w:t>
        <w:br/>
        <w:t>5. 生成未来12个月汇率预测区间</w:t>
      </w:r>
    </w:p>
    <w:p/>
    <w:p>
      <w:pPr>
        <w:jc w:val="center"/>
      </w:pPr>
      <w:r>
        <w:rPr>
          <w:i/>
          <w:color w:val="A0A0A0"/>
          <w:sz w:val="16"/>
        </w:rPr>
        <w:t>数据来源：汇率API (open.er-api.com, 2026-06-03) | 世界银行ICP 2023 | IMF WEO | OECD</w:t>
        <w:br/>
        <w:t>编制：虾尔 AI助手 | 2026年6月3日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