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line="360" w:lineRule="auto"/>
        <w:jc w:val="center"/>
      </w:pPr>
      <w:r>
        <w:rPr>
          <w:rFonts w:ascii="Times New Roman" w:hAnsi="Times New Roman"/>
          <w:b/>
          <w:sz w:val="32"/>
        </w:rPr>
        <w:t>Zhejiang Gongshang University</w:t>
      </w:r>
    </w:p>
    <w:p>
      <w:pPr>
        <w:spacing w:line="360" w:lineRule="auto"/>
        <w:jc w:val="center"/>
      </w:pPr>
      <w:r>
        <w:rPr>
          <w:rFonts w:ascii="Times New Roman" w:hAnsi="Times New Roman"/>
          <w:b/>
          <w:sz w:val="28"/>
        </w:rPr>
        <w:t>School of Foreign Languages</w:t>
      </w:r>
    </w:p>
    <w:p/>
    <w:p>
      <w:pPr>
        <w:spacing w:line="360" w:lineRule="auto"/>
        <w:jc w:val="center"/>
      </w:pPr>
      <w:r>
        <w:rPr>
          <w:rFonts w:ascii="Times New Roman" w:hAnsi="Times New Roman"/>
          <w:b/>
          <w:sz w:val="36"/>
        </w:rPr>
        <w:t>International Trade Theory and Practice</w:t>
      </w:r>
    </w:p>
    <w:p>
      <w:pPr>
        <w:spacing w:line="360" w:lineRule="auto"/>
        <w:jc w:val="center"/>
      </w:pPr>
      <w:r>
        <w:rPr>
          <w:rFonts w:ascii="Times New Roman" w:hAnsi="Times New Roman"/>
          <w:b w:val="0"/>
          <w:sz w:val="28"/>
        </w:rPr>
        <w:t>Final Course Project — Business Proposal</w:t>
      </w:r>
    </w:p>
    <w:p/>
    <w:p>
      <w:pPr>
        <w:spacing w:line="360" w:lineRule="auto"/>
        <w:jc w:val="center"/>
      </w:pPr>
      <w:r>
        <w:rPr>
          <w:rFonts w:ascii="Times New Roman" w:hAnsi="Times New Roman"/>
          <w:b/>
          <w:sz w:val="32"/>
        </w:rPr>
        <w:t>Breaking Through: LONGi Green Energy's Global Export Strategy</w:t>
      </w:r>
    </w:p>
    <w:p>
      <w:pPr>
        <w:spacing w:line="360" w:lineRule="auto"/>
        <w:jc w:val="center"/>
      </w:pPr>
      <w:r>
        <w:rPr>
          <w:rFonts w:ascii="Times New Roman" w:hAnsi="Times New Roman"/>
          <w:b w:val="0"/>
          <w:sz w:val="28"/>
        </w:rPr>
        <w:t>困境、实践与破局之路 — A Business Proposal</w:t>
      </w:r>
    </w:p>
    <w:p/>
    <w:p/>
    <w:tbl>
      <w:tblPr>
        <w:tblStyle w:val="TableGrid"/>
        <w:tblW w:type="auto" w:w="0"/>
        <w:jc w:val="center"/>
        <w:tblLook w:firstColumn="1" w:firstRow="1" w:lastColumn="0" w:lastRow="0" w:noHBand="0" w:noVBand="1" w:val="04A0"/>
      </w:tblPr>
      <w:tblGrid>
        <w:gridCol w:w="4680"/>
        <w:gridCol w:w="4680"/>
      </w:tblGrid>
      <w:tr>
        <w:tc>
          <w:tcPr>
            <w:tcW w:type="dxa" w:w="2268"/>
          </w:tcPr>
          <w:p>
            <w:pPr>
              <w:jc w:val="center"/>
            </w:pPr>
            <w:r>
              <w:rPr>
                <w:rFonts w:ascii="Times New Roman" w:hAnsi="Times New Roman"/>
                <w:b/>
                <w:sz w:val="24"/>
              </w:rPr>
              <w:t>College</w:t>
            </w:r>
          </w:p>
        </w:tc>
        <w:tc>
          <w:tcPr>
            <w:tcW w:type="dxa" w:w="5669"/>
          </w:tcPr>
          <w:p>
            <w:pPr>
              <w:jc w:val="center"/>
            </w:pPr>
            <w:r>
              <w:rPr>
                <w:rFonts w:ascii="Times New Roman" w:hAnsi="Times New Roman"/>
                <w:b/>
                <w:sz w:val="24"/>
              </w:rPr>
              <w:t>School of Foreign Languages</w:t>
            </w:r>
          </w:p>
        </w:tc>
      </w:tr>
      <w:tr>
        <w:tc>
          <w:tcPr>
            <w:tcW w:type="dxa" w:w="2268"/>
          </w:tcPr>
          <w:p>
            <w:pPr>
              <w:jc w:val="center"/>
            </w:pPr>
            <w:r>
              <w:rPr>
                <w:rFonts w:ascii="Times New Roman" w:hAnsi="Times New Roman"/>
                <w:b/>
                <w:sz w:val="24"/>
              </w:rPr>
              <w:t>Instructor</w:t>
            </w:r>
          </w:p>
        </w:tc>
        <w:tc>
          <w:tcPr>
            <w:tcW w:type="dxa" w:w="5669"/>
          </w:tcPr>
          <w:p>
            <w:pPr>
              <w:jc w:val="center"/>
            </w:pPr>
            <w:r>
              <w:rPr>
                <w:rFonts w:ascii="Times New Roman" w:hAnsi="Times New Roman"/>
                <w:b/>
                <w:sz w:val="24"/>
              </w:rPr>
              <w:t>Xiang Ling (项玲)</w:t>
            </w:r>
          </w:p>
        </w:tc>
      </w:tr>
      <w:tr>
        <w:tc>
          <w:tcPr>
            <w:tcW w:type="dxa" w:w="2268"/>
          </w:tcPr>
          <w:p>
            <w:pPr>
              <w:jc w:val="center"/>
            </w:pPr>
            <w:r>
              <w:rPr>
                <w:rFonts w:ascii="Times New Roman" w:hAnsi="Times New Roman"/>
                <w:sz w:val="24"/>
              </w:rPr>
              <w:t>Team Name</w:t>
            </w:r>
          </w:p>
        </w:tc>
        <w:tc>
          <w:tcPr>
            <w:tcW w:type="dxa" w:w="5669"/>
          </w:tcPr>
          <w:p>
            <w:pPr>
              <w:jc w:val="center"/>
            </w:pPr>
            <w:r>
              <w:rPr>
                <w:rFonts w:ascii="Times New Roman" w:hAnsi="Times New Roman"/>
                <w:sz w:val="24"/>
              </w:rPr>
              <w:t>[Team Name]</w:t>
            </w:r>
          </w:p>
        </w:tc>
      </w:tr>
      <w:tr>
        <w:tc>
          <w:tcPr>
            <w:tcW w:type="dxa" w:w="2268"/>
          </w:tcPr>
          <w:p>
            <w:pPr>
              <w:jc w:val="center"/>
            </w:pPr>
            <w:r>
              <w:rPr>
                <w:rFonts w:ascii="Times New Roman" w:hAnsi="Times New Roman"/>
                <w:sz w:val="24"/>
              </w:rPr>
              <w:t>Member 1</w:t>
            </w:r>
          </w:p>
        </w:tc>
        <w:tc>
          <w:tcPr>
            <w:tcW w:type="dxa" w:w="5669"/>
          </w:tcPr>
          <w:p>
            <w:pPr>
              <w:jc w:val="center"/>
            </w:pPr>
            <w:r>
              <w:rPr>
                <w:rFonts w:ascii="Times New Roman" w:hAnsi="Times New Roman"/>
                <w:sz w:val="24"/>
              </w:rPr>
              <w:t>[Name, Student ID, Class]</w:t>
            </w:r>
          </w:p>
        </w:tc>
      </w:tr>
      <w:tr>
        <w:tc>
          <w:tcPr>
            <w:tcW w:type="dxa" w:w="2268"/>
          </w:tcPr>
          <w:p>
            <w:pPr>
              <w:jc w:val="center"/>
            </w:pPr>
            <w:r>
              <w:rPr>
                <w:rFonts w:ascii="Times New Roman" w:hAnsi="Times New Roman"/>
                <w:sz w:val="24"/>
              </w:rPr>
              <w:t>Member 2</w:t>
            </w:r>
          </w:p>
        </w:tc>
        <w:tc>
          <w:tcPr>
            <w:tcW w:type="dxa" w:w="5669"/>
          </w:tcPr>
          <w:p>
            <w:pPr>
              <w:jc w:val="center"/>
            </w:pPr>
            <w:r>
              <w:rPr>
                <w:rFonts w:ascii="Times New Roman" w:hAnsi="Times New Roman"/>
                <w:sz w:val="24"/>
              </w:rPr>
              <w:t>[Name, Student ID, Class]</w:t>
            </w:r>
          </w:p>
        </w:tc>
      </w:tr>
      <w:tr>
        <w:tc>
          <w:tcPr>
            <w:tcW w:type="dxa" w:w="2268"/>
          </w:tcPr>
          <w:p>
            <w:pPr>
              <w:jc w:val="center"/>
            </w:pPr>
            <w:r>
              <w:rPr>
                <w:rFonts w:ascii="Times New Roman" w:hAnsi="Times New Roman"/>
                <w:sz w:val="24"/>
              </w:rPr>
              <w:t>Member 3</w:t>
            </w:r>
          </w:p>
        </w:tc>
        <w:tc>
          <w:tcPr>
            <w:tcW w:type="dxa" w:w="5669"/>
          </w:tcPr>
          <w:p>
            <w:pPr>
              <w:jc w:val="center"/>
            </w:pPr>
            <w:r>
              <w:rPr>
                <w:rFonts w:ascii="Times New Roman" w:hAnsi="Times New Roman"/>
                <w:sz w:val="24"/>
              </w:rPr>
              <w:t>[Name, Student ID, Class]</w:t>
            </w:r>
          </w:p>
        </w:tc>
      </w:tr>
      <w:tr>
        <w:tc>
          <w:tcPr>
            <w:tcW w:type="dxa" w:w="2268"/>
          </w:tcPr>
          <w:p>
            <w:pPr>
              <w:jc w:val="center"/>
            </w:pPr>
            <w:r>
              <w:rPr>
                <w:rFonts w:ascii="Times New Roman" w:hAnsi="Times New Roman"/>
                <w:sz w:val="24"/>
              </w:rPr>
              <w:t>Member 4</w:t>
            </w:r>
          </w:p>
        </w:tc>
        <w:tc>
          <w:tcPr>
            <w:tcW w:type="dxa" w:w="5669"/>
          </w:tcPr>
          <w:p>
            <w:pPr>
              <w:jc w:val="center"/>
            </w:pPr>
            <w:r>
              <w:rPr>
                <w:rFonts w:ascii="Times New Roman" w:hAnsi="Times New Roman"/>
                <w:sz w:val="24"/>
              </w:rPr>
              <w:t>[Name, Student ID, Class]</w:t>
            </w:r>
          </w:p>
        </w:tc>
      </w:tr>
      <w:tr>
        <w:tc>
          <w:tcPr>
            <w:tcW w:type="dxa" w:w="2268"/>
          </w:tcPr>
          <w:p>
            <w:pPr>
              <w:jc w:val="center"/>
            </w:pPr>
            <w:r>
              <w:rPr>
                <w:rFonts w:ascii="Times New Roman" w:hAnsi="Times New Roman"/>
                <w:sz w:val="24"/>
              </w:rPr>
              <w:t>Date</w:t>
            </w:r>
          </w:p>
        </w:tc>
        <w:tc>
          <w:tcPr>
            <w:tcW w:type="dxa" w:w="5669"/>
          </w:tcPr>
          <w:p>
            <w:pPr>
              <w:jc w:val="center"/>
            </w:pPr>
            <w:r>
              <w:rPr>
                <w:rFonts w:ascii="Times New Roman" w:hAnsi="Times New Roman"/>
                <w:sz w:val="24"/>
              </w:rPr>
              <w:t>June 2026</w:t>
            </w:r>
          </w:p>
        </w:tc>
      </w:tr>
    </w:tbl>
    <w:p>
      <w:r>
        <w:br w:type="page"/>
      </w:r>
    </w:p>
    <w:p>
      <w:pPr>
        <w:pStyle w:val="Heading1"/>
      </w:pPr>
      <w:r>
        <w:rPr>
          <w:rFonts w:ascii="Times New Roman" w:hAnsi="Times New Roman"/>
          <w:color w:val="000000"/>
        </w:rPr>
        <w:t>Table of Contents</w:t>
      </w:r>
    </w:p>
    <w:p>
      <w:pPr>
        <w:pStyle w:val="ListBullet"/>
        <w:spacing w:line="360" w:lineRule="auto"/>
        <w:ind w:left="720"/>
      </w:pPr>
      <w:r>
        <w:rPr>
          <w:rFonts w:ascii="Times New Roman" w:hAnsi="Times New Roman"/>
          <w:sz w:val="24"/>
        </w:rPr>
        <w:t>1. Executive Summary</w:t>
      </w:r>
    </w:p>
    <w:p>
      <w:pPr>
        <w:pStyle w:val="ListBullet"/>
        <w:spacing w:line="360" w:lineRule="auto"/>
        <w:ind w:left="720"/>
      </w:pPr>
      <w:r>
        <w:rPr>
          <w:rFonts w:ascii="Times New Roman" w:hAnsi="Times New Roman"/>
          <w:sz w:val="24"/>
        </w:rPr>
        <w:t>2. Company Overview &amp; Industry Background</w:t>
      </w:r>
    </w:p>
    <w:p>
      <w:pPr>
        <w:pStyle w:val="ListBullet"/>
        <w:spacing w:line="360" w:lineRule="auto"/>
        <w:ind w:left="720"/>
      </w:pPr>
      <w:r>
        <w:rPr>
          <w:rFonts w:ascii="Times New Roman" w:hAnsi="Times New Roman"/>
          <w:sz w:val="24"/>
        </w:rPr>
        <w:t>3. Current Situation: Trade Volume &amp; Profit Analysis</w:t>
      </w:r>
    </w:p>
    <w:p>
      <w:pPr>
        <w:pStyle w:val="ListBullet"/>
        <w:spacing w:line="360" w:lineRule="auto"/>
        <w:ind w:left="720"/>
      </w:pPr>
      <w:r>
        <w:rPr>
          <w:rFonts w:ascii="Times New Roman" w:hAnsi="Times New Roman"/>
          <w:sz w:val="24"/>
        </w:rPr>
        <w:t>4. Root Cause Analysis</w:t>
      </w:r>
    </w:p>
    <w:p>
      <w:pPr>
        <w:pStyle w:val="ListBullet"/>
        <w:spacing w:line="360" w:lineRule="auto"/>
        <w:ind w:left="720"/>
      </w:pPr>
      <w:r>
        <w:rPr>
          <w:rFonts w:ascii="Times New Roman" w:hAnsi="Times New Roman"/>
          <w:sz w:val="24"/>
        </w:rPr>
        <w:t>5. Proposed Strategies</w:t>
      </w:r>
    </w:p>
    <w:p>
      <w:pPr>
        <w:pStyle w:val="ListBullet"/>
        <w:spacing w:line="360" w:lineRule="auto"/>
        <w:ind w:left="720"/>
      </w:pPr>
      <w:r>
        <w:rPr>
          <w:rFonts w:ascii="Times New Roman" w:hAnsi="Times New Roman"/>
          <w:sz w:val="24"/>
        </w:rPr>
        <w:t>6. Financial Impact Projection</w:t>
      </w:r>
    </w:p>
    <w:p>
      <w:pPr>
        <w:pStyle w:val="ListBullet"/>
        <w:spacing w:line="360" w:lineRule="auto"/>
        <w:ind w:left="720"/>
      </w:pPr>
      <w:r>
        <w:rPr>
          <w:rFonts w:ascii="Times New Roman" w:hAnsi="Times New Roman"/>
          <w:sz w:val="24"/>
        </w:rPr>
        <w:t>7. Risk Assessment &amp; Mitigation</w:t>
      </w:r>
    </w:p>
    <w:p>
      <w:pPr>
        <w:pStyle w:val="ListBullet"/>
        <w:spacing w:line="360" w:lineRule="auto"/>
        <w:ind w:left="720"/>
      </w:pPr>
      <w:r>
        <w:rPr>
          <w:rFonts w:ascii="Times New Roman" w:hAnsi="Times New Roman"/>
          <w:sz w:val="24"/>
        </w:rPr>
        <w:t>8. Implementation Timeline</w:t>
      </w:r>
    </w:p>
    <w:p>
      <w:pPr>
        <w:pStyle w:val="ListBullet"/>
        <w:spacing w:line="360" w:lineRule="auto"/>
        <w:ind w:left="720"/>
      </w:pPr>
      <w:r>
        <w:rPr>
          <w:rFonts w:ascii="Times New Roman" w:hAnsi="Times New Roman"/>
          <w:sz w:val="24"/>
        </w:rPr>
        <w:t>9. Conclusion</w:t>
      </w:r>
    </w:p>
    <w:p>
      <w:pPr>
        <w:pStyle w:val="ListBullet"/>
        <w:spacing w:line="360" w:lineRule="auto"/>
        <w:ind w:left="720"/>
      </w:pPr>
      <w:r>
        <w:rPr>
          <w:rFonts w:ascii="Times New Roman" w:hAnsi="Times New Roman"/>
          <w:sz w:val="24"/>
        </w:rPr>
        <w:t>10. References</w:t>
      </w:r>
    </w:p>
    <w:p>
      <w:r>
        <w:br w:type="page"/>
      </w:r>
    </w:p>
    <w:p>
      <w:pPr>
        <w:pStyle w:val="Heading1"/>
      </w:pPr>
      <w:r>
        <w:rPr>
          <w:rFonts w:ascii="Times New Roman" w:hAnsi="Times New Roman"/>
          <w:color w:val="000000"/>
        </w:rPr>
        <w:t>1. Executive Summary</w:t>
      </w:r>
    </w:p>
    <w:p>
      <w:pPr>
        <w:spacing w:line="360" w:lineRule="auto"/>
      </w:pPr>
      <w:r>
        <w:rPr>
          <w:rFonts w:ascii="Times New Roman" w:hAnsi="Times New Roman"/>
          <w:b w:val="0"/>
          <w:sz w:val="24"/>
        </w:rPr>
        <w:t>This business proposal is prepared from the perspective of the Head of International Markets at LONGi Green Energy Technology Co., Ltd. (601012.SH), the world's largest manufacturer of monocrystalline silicon wafers and solar modules. As the global solar photovoltaic (PV) industry enters its most severe downturn in a decade, LONGi faces a dual crisis: overseas export revenue declined sharply in 2024, and net profit swung from RMB 10.75 billion in 2023 to a net loss of approximately RMB 8.2 billion in 2024 — the company's first annual loss in over a decade.</w:t>
      </w:r>
    </w:p>
    <w:p>
      <w:pPr>
        <w:spacing w:line="360" w:lineRule="auto"/>
      </w:pPr>
      <w:r>
        <w:rPr>
          <w:rFonts w:ascii="Times New Roman" w:hAnsi="Times New Roman"/>
          <w:b w:val="0"/>
          <w:sz w:val="24"/>
        </w:rPr>
        <w:t>The root causes are both external and internal. Externally, the United States has imposed retroactive tariffs of up to 254% on solar products from Southeast Asian countries, effectively blocking LONGi's primary export route. The European Union launched an anti-subsidy investigation into Chinese solar imports in 2024 and is implementing the Carbon Border Adjustment Mechanism (CBAM), which will add 8–15% compliance costs. Internally, LONGi suffers from overcapacity in the Chinese PV sector, an overreliance on the US and EU markets (together accounting for ~55% of overseas revenue), and a product mix still dominated by commoditized wafers rather than differentiated solutions.</w:t>
      </w:r>
    </w:p>
    <w:p>
      <w:pPr>
        <w:spacing w:line="360" w:lineRule="auto"/>
      </w:pPr>
      <w:r>
        <w:rPr>
          <w:rFonts w:ascii="Times New Roman" w:hAnsi="Times New Roman"/>
          <w:b w:val="0"/>
          <w:sz w:val="24"/>
        </w:rPr>
        <w:t>We propose a three-pillar strategy: (1) Geographic diversification into emerging markets (Middle East, Latin America, and Africa), targeting a shift from 10% to 30% of overseas revenue by 2027; (2) Product and channel upgrade — increasing the share of high-margin N-type TOPCon modules and direct-to-consumer (DTC) sales channels; (3) Supply chain localization — accelerating the construction of overseas manufacturing bases in Malaysia, Vietnam, and the Middle East to circumvent tariff barriers and reduce logistics costs. We project that these measures will restore overseas revenue growth to 12–15% annually and improve gross margin by 3–5 percentage points by the end of 2027.</w:t>
      </w:r>
    </w:p>
    <w:p>
      <w:pPr>
        <w:pStyle w:val="Heading1"/>
      </w:pPr>
      <w:r>
        <w:rPr>
          <w:rFonts w:ascii="Times New Roman" w:hAnsi="Times New Roman"/>
          <w:color w:val="000000"/>
        </w:rPr>
        <w:t>2. Company Overview &amp; Industry Background</w:t>
      </w:r>
    </w:p>
    <w:p>
      <w:pPr>
        <w:pStyle w:val="Heading2"/>
      </w:pPr>
      <w:r>
        <w:rPr>
          <w:rFonts w:ascii="Times New Roman" w:hAnsi="Times New Roman"/>
          <w:color w:val="000000"/>
        </w:rPr>
        <w:t>2.1 Company Profile</w:t>
      </w:r>
    </w:p>
    <w:p>
      <w:pPr>
        <w:spacing w:line="360" w:lineRule="auto"/>
      </w:pPr>
      <w:r>
        <w:rPr>
          <w:rFonts w:ascii="Times New Roman" w:hAnsi="Times New Roman"/>
          <w:b w:val="0"/>
          <w:sz w:val="24"/>
        </w:rPr>
        <w:t>LONGi Green Energy Technology Co., Ltd. (Shanghai Stock Exchange: 601012) was founded in 2000 and headquartered in Xi'an, Shaanxi Province. The company is the global leader in monocrystalline silicon wafers, with an estimated 40% share of the global wafer market in 2023. LONGi has vertically integrated into solar modules, with annual module shipment capacity exceeding 70 GW in 2023. The company employs approximately 50,000 people and operates manufacturing bases across China (Shaanxi, Zhejiang, Jiangsu, Yunnan, and Inner Mongolia) as well as overseas facilities in Malaysia and Vietnam.</w:t>
      </w:r>
    </w:p>
    <w:p>
      <w:pPr>
        <w:pStyle w:val="Heading2"/>
      </w:pPr>
      <w:r>
        <w:rPr>
          <w:rFonts w:ascii="Times New Roman" w:hAnsi="Times New Roman"/>
          <w:color w:val="000000"/>
        </w:rPr>
        <w:t>2.2 Industry Context</w:t>
      </w:r>
    </w:p>
    <w:p>
      <w:pPr>
        <w:spacing w:line="360" w:lineRule="auto"/>
      </w:pPr>
      <w:r>
        <w:rPr>
          <w:rFonts w:ascii="Times New Roman" w:hAnsi="Times New Roman"/>
          <w:b w:val="0"/>
          <w:sz w:val="24"/>
        </w:rPr>
        <w:t>The global PV industry in 2024–2026 is experiencing the most severe cyclical downturn since the 2012 European debt crisis. Key dynamics include:</w:t>
      </w:r>
    </w:p>
    <w:p>
      <w:pPr>
        <w:pStyle w:val="ListBullet"/>
        <w:spacing w:line="360" w:lineRule="auto"/>
        <w:ind w:left="720"/>
      </w:pPr>
      <w:r>
        <w:rPr>
          <w:rFonts w:ascii="Times New Roman" w:hAnsi="Times New Roman"/>
          <w:sz w:val="24"/>
        </w:rPr>
        <w:t>China's PV manufacturing capacity expanded 3–5x from 2021 to 2024, creating massive overcapacity across the entire value chain (silicon → wafer → cell → module).</w:t>
      </w:r>
    </w:p>
    <w:p>
      <w:pPr>
        <w:pStyle w:val="ListBullet"/>
        <w:spacing w:line="360" w:lineRule="auto"/>
        <w:ind w:left="720"/>
      </w:pPr>
      <w:r>
        <w:rPr>
          <w:rFonts w:ascii="Times New Roman" w:hAnsi="Times New Roman"/>
          <w:sz w:val="24"/>
        </w:rPr>
        <w:t>Polysilicon prices fell from RMB 300/kg in 2022 to RMB 40/kg in 2024 — an 87% decline — triggering a price war that erased industry-wide profitability.</w:t>
      </w:r>
    </w:p>
    <w:p>
      <w:pPr>
        <w:pStyle w:val="ListBullet"/>
        <w:spacing w:line="360" w:lineRule="auto"/>
        <w:ind w:left="720"/>
      </w:pPr>
      <w:r>
        <w:rPr>
          <w:rFonts w:ascii="Times New Roman" w:hAnsi="Times New Roman"/>
          <w:sz w:val="24"/>
        </w:rPr>
        <w:t>The United States imposed retroactive tariffs on Southeast Asian solar exports in 2024, with rates reaching up to 254% for certain Chinese manufacturers.</w:t>
      </w:r>
    </w:p>
    <w:p>
      <w:pPr>
        <w:pStyle w:val="ListBullet"/>
        <w:spacing w:line="360" w:lineRule="auto"/>
        <w:ind w:left="720"/>
      </w:pPr>
      <w:r>
        <w:rPr>
          <w:rFonts w:ascii="Times New Roman" w:hAnsi="Times New Roman"/>
          <w:sz w:val="24"/>
        </w:rPr>
        <w:t>The European Union launched an anti-subsidy investigation into Chinese solar imports in October 2024, following the precedent set by the 2012–2018 anti-dumping duties.</w:t>
      </w:r>
    </w:p>
    <w:p>
      <w:pPr>
        <w:pStyle w:val="ListBullet"/>
        <w:spacing w:line="360" w:lineRule="auto"/>
        <w:ind w:left="720"/>
      </w:pPr>
      <w:r>
        <w:rPr>
          <w:rFonts w:ascii="Times New Roman" w:hAnsi="Times New Roman"/>
          <w:sz w:val="24"/>
        </w:rPr>
        <w:t>The EU Carbon Border Adjustment Mechanism (CBAM) entered its transitional phase in 2023 and will begin financial settlements in 2026, adding compliance costs for energy-intensive products including solar components.</w:t>
      </w:r>
    </w:p>
    <w:p>
      <w:pPr>
        <w:pStyle w:val="ListBullet"/>
        <w:spacing w:line="360" w:lineRule="auto"/>
        <w:ind w:left="720"/>
      </w:pPr>
      <w:r>
        <w:rPr>
          <w:rFonts w:ascii="Times New Roman" w:hAnsi="Times New Roman"/>
          <w:sz w:val="24"/>
        </w:rPr>
        <w:t>India imposed a 40% Basic Customs Duty (BCD) on solar modules and a 25% duty on solar cells, effectively shutting out Chinese imports to promote domestic manufacturing under the Production Linked Incentive (PLI) scheme.</w:t>
      </w:r>
    </w:p>
    <w:p>
      <w:pPr>
        <w:pStyle w:val="Heading1"/>
      </w:pPr>
      <w:r>
        <w:rPr>
          <w:rFonts w:ascii="Times New Roman" w:hAnsi="Times New Roman"/>
          <w:color w:val="000000"/>
        </w:rPr>
        <w:t>3. Current Situation: Trade Volume &amp; Profit Analysis</w:t>
      </w:r>
    </w:p>
    <w:p>
      <w:pPr>
        <w:pStyle w:val="Heading2"/>
      </w:pPr>
      <w:r>
        <w:rPr>
          <w:rFonts w:ascii="Times New Roman" w:hAnsi="Times New Roman"/>
          <w:color w:val="000000"/>
        </w:rPr>
        <w:t>3.1 Financial Performance (2022–2025)</w:t>
      </w:r>
    </w:p>
    <w:p>
      <w:pPr>
        <w:spacing w:line="360" w:lineRule="auto"/>
      </w:pPr>
      <w:r>
        <w:rPr>
          <w:rFonts w:ascii="Times New Roman" w:hAnsi="Times New Roman"/>
          <w:b w:val="0"/>
          <w:sz w:val="24"/>
        </w:rPr>
        <w:t>Note: The following financial data is based on LONGi's publicly disclosed annual reports. Figures for 2025 are estimates based on Q1 2025 trends and should be verified with the latest available data at the time of submission.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701"/>
            <w:shd w:fill="1F4E79" w:val="clear"/>
          </w:tcPr>
          <w:p>
            <w:pPr>
              <w:jc w:val="center"/>
            </w:pPr>
            <w:r>
              <w:rPr>
                <w:rFonts w:ascii="Times New Roman" w:hAnsi="Times New Roman"/>
                <w:b/>
                <w:color w:val="FFFFFF"/>
                <w:sz w:val="20"/>
              </w:rPr>
              <w:t>Year</w:t>
            </w:r>
          </w:p>
        </w:tc>
        <w:tc>
          <w:tcPr>
            <w:tcW w:type="dxa" w:w="2268"/>
            <w:shd w:fill="1F4E79" w:val="clear"/>
          </w:tcPr>
          <w:p>
            <w:pPr>
              <w:jc w:val="center"/>
            </w:pPr>
            <w:r>
              <w:rPr>
                <w:rFonts w:ascii="Times New Roman" w:hAnsi="Times New Roman"/>
                <w:b/>
                <w:color w:val="FFFFFF"/>
                <w:sz w:val="20"/>
              </w:rPr>
              <w:t>Revenue (RMB M)</w:t>
            </w:r>
          </w:p>
        </w:tc>
        <w:tc>
          <w:tcPr>
            <w:tcW w:type="dxa" w:w="2268"/>
            <w:shd w:fill="1F4E79" w:val="clear"/>
          </w:tcPr>
          <w:p>
            <w:pPr>
              <w:jc w:val="center"/>
            </w:pPr>
            <w:r>
              <w:rPr>
                <w:rFonts w:ascii="Times New Roman" w:hAnsi="Times New Roman"/>
                <w:b/>
                <w:color w:val="FFFFFF"/>
                <w:sz w:val="20"/>
              </w:rPr>
              <w:t>Net Profit (RMB M)</w:t>
            </w:r>
          </w:p>
        </w:tc>
        <w:tc>
          <w:tcPr>
            <w:tcW w:type="dxa" w:w="2268"/>
            <w:shd w:fill="1F4E79" w:val="clear"/>
          </w:tcPr>
          <w:p>
            <w:pPr>
              <w:jc w:val="center"/>
            </w:pPr>
            <w:r>
              <w:rPr>
                <w:rFonts w:ascii="Times New Roman" w:hAnsi="Times New Roman"/>
                <w:b/>
                <w:color w:val="FFFFFF"/>
                <w:sz w:val="20"/>
              </w:rPr>
              <w:t>YoY Profit Growth (%)</w:t>
            </w:r>
          </w:p>
        </w:tc>
        <w:tc>
          <w:tcPr>
            <w:tcW w:type="dxa" w:w="1984"/>
            <w:shd w:fill="1F4E79" w:val="clear"/>
          </w:tcPr>
          <w:p>
            <w:pPr>
              <w:jc w:val="center"/>
            </w:pPr>
            <w:r>
              <w:rPr>
                <w:rFonts w:ascii="Times New Roman" w:hAnsi="Times New Roman"/>
                <w:b/>
                <w:color w:val="FFFFFF"/>
                <w:sz w:val="20"/>
              </w:rPr>
              <w:t>Gross Margin (%)</w:t>
            </w:r>
          </w:p>
        </w:tc>
      </w:tr>
      <w:tr>
        <w:tc>
          <w:tcPr>
            <w:tcW w:type="dxa" w:w="1701"/>
            <w:shd w:fill="D6E4F0" w:val="clear"/>
          </w:tcPr>
          <w:p>
            <w:pPr>
              <w:jc w:val="center"/>
            </w:pPr>
            <w:r>
              <w:rPr>
                <w:rFonts w:ascii="Times New Roman" w:hAnsi="Times New Roman"/>
                <w:sz w:val="20"/>
              </w:rPr>
              <w:t>2022</w:t>
            </w:r>
          </w:p>
        </w:tc>
        <w:tc>
          <w:tcPr>
            <w:tcW w:type="dxa" w:w="2268"/>
            <w:shd w:fill="D6E4F0" w:val="clear"/>
          </w:tcPr>
          <w:p>
            <w:pPr>
              <w:jc w:val="center"/>
            </w:pPr>
            <w:r>
              <w:rPr>
                <w:rFonts w:ascii="Times New Roman" w:hAnsi="Times New Roman"/>
                <w:sz w:val="20"/>
              </w:rPr>
              <w:t>128,990</w:t>
            </w:r>
          </w:p>
        </w:tc>
        <w:tc>
          <w:tcPr>
            <w:tcW w:type="dxa" w:w="2268"/>
            <w:shd w:fill="D6E4F0" w:val="clear"/>
          </w:tcPr>
          <w:p>
            <w:pPr>
              <w:jc w:val="center"/>
            </w:pPr>
            <w:r>
              <w:rPr>
                <w:rFonts w:ascii="Times New Roman" w:hAnsi="Times New Roman"/>
                <w:sz w:val="20"/>
              </w:rPr>
              <w:t>14,839</w:t>
            </w:r>
          </w:p>
        </w:tc>
        <w:tc>
          <w:tcPr>
            <w:tcW w:type="dxa" w:w="2268"/>
            <w:shd w:fill="D6E4F0" w:val="clear"/>
          </w:tcPr>
          <w:p>
            <w:pPr>
              <w:jc w:val="center"/>
            </w:pPr>
            <w:r>
              <w:rPr>
                <w:rFonts w:ascii="Times New Roman" w:hAnsi="Times New Roman"/>
                <w:sz w:val="20"/>
              </w:rPr>
              <w:t>20.2</w:t>
            </w:r>
          </w:p>
        </w:tc>
        <w:tc>
          <w:tcPr>
            <w:tcW w:type="dxa" w:w="1984"/>
            <w:shd w:fill="D6E4F0" w:val="clear"/>
          </w:tcPr>
          <w:p>
            <w:pPr>
              <w:jc w:val="center"/>
            </w:pPr>
            <w:r>
              <w:rPr>
                <w:rFonts w:ascii="Times New Roman" w:hAnsi="Times New Roman"/>
                <w:sz w:val="20"/>
              </w:rPr>
              <w:t>18.5</w:t>
            </w:r>
          </w:p>
        </w:tc>
      </w:tr>
      <w:tr>
        <w:tc>
          <w:tcPr>
            <w:tcW w:type="dxa" w:w="1701"/>
          </w:tcPr>
          <w:p>
            <w:pPr>
              <w:jc w:val="center"/>
            </w:pPr>
            <w:r>
              <w:rPr>
                <w:rFonts w:ascii="Times New Roman" w:hAnsi="Times New Roman"/>
                <w:sz w:val="20"/>
              </w:rPr>
              <w:t>2023</w:t>
            </w:r>
          </w:p>
        </w:tc>
        <w:tc>
          <w:tcPr>
            <w:tcW w:type="dxa" w:w="2268"/>
          </w:tcPr>
          <w:p>
            <w:pPr>
              <w:jc w:val="center"/>
            </w:pPr>
            <w:r>
              <w:rPr>
                <w:rFonts w:ascii="Times New Roman" w:hAnsi="Times New Roman"/>
                <w:sz w:val="20"/>
              </w:rPr>
              <w:t>129,400</w:t>
            </w:r>
          </w:p>
        </w:tc>
        <w:tc>
          <w:tcPr>
            <w:tcW w:type="dxa" w:w="2268"/>
          </w:tcPr>
          <w:p>
            <w:pPr>
              <w:jc w:val="center"/>
            </w:pPr>
            <w:r>
              <w:rPr>
                <w:rFonts w:ascii="Times New Roman" w:hAnsi="Times New Roman"/>
                <w:sz w:val="20"/>
              </w:rPr>
              <w:t>10,752</w:t>
            </w:r>
          </w:p>
        </w:tc>
        <w:tc>
          <w:tcPr>
            <w:tcW w:type="dxa" w:w="2268"/>
          </w:tcPr>
          <w:p>
            <w:pPr>
              <w:jc w:val="center"/>
            </w:pPr>
            <w:r>
              <w:rPr>
                <w:rFonts w:ascii="Times New Roman" w:hAnsi="Times New Roman"/>
                <w:sz w:val="20"/>
              </w:rPr>
              <w:t>-27.5</w:t>
            </w:r>
          </w:p>
        </w:tc>
        <w:tc>
          <w:tcPr>
            <w:tcW w:type="dxa" w:w="1984"/>
          </w:tcPr>
          <w:p>
            <w:pPr>
              <w:jc w:val="center"/>
            </w:pPr>
            <w:r>
              <w:rPr>
                <w:rFonts w:ascii="Times New Roman" w:hAnsi="Times New Roman"/>
                <w:sz w:val="20"/>
              </w:rPr>
              <w:t>16.8</w:t>
            </w:r>
          </w:p>
        </w:tc>
      </w:tr>
      <w:tr>
        <w:tc>
          <w:tcPr>
            <w:tcW w:type="dxa" w:w="1701"/>
            <w:shd w:fill="D6E4F0" w:val="clear"/>
          </w:tcPr>
          <w:p>
            <w:pPr>
              <w:jc w:val="center"/>
            </w:pPr>
            <w:r>
              <w:rPr>
                <w:rFonts w:ascii="Times New Roman" w:hAnsi="Times New Roman"/>
                <w:sz w:val="20"/>
              </w:rPr>
              <w:t>2024</w:t>
            </w:r>
          </w:p>
        </w:tc>
        <w:tc>
          <w:tcPr>
            <w:tcW w:type="dxa" w:w="2268"/>
            <w:shd w:fill="D6E4F0" w:val="clear"/>
          </w:tcPr>
          <w:p>
            <w:pPr>
              <w:jc w:val="center"/>
            </w:pPr>
            <w:r>
              <w:rPr>
                <w:rFonts w:ascii="Times New Roman" w:hAnsi="Times New Roman"/>
                <w:sz w:val="20"/>
              </w:rPr>
              <w:t>74,800</w:t>
            </w:r>
          </w:p>
        </w:tc>
        <w:tc>
          <w:tcPr>
            <w:tcW w:type="dxa" w:w="2268"/>
            <w:shd w:fill="D6E4F0" w:val="clear"/>
          </w:tcPr>
          <w:p>
            <w:pPr>
              <w:jc w:val="center"/>
            </w:pPr>
            <w:r>
              <w:rPr>
                <w:rFonts w:ascii="Times New Roman" w:hAnsi="Times New Roman"/>
                <w:sz w:val="20"/>
              </w:rPr>
              <w:t>-8,200</w:t>
            </w:r>
          </w:p>
        </w:tc>
        <w:tc>
          <w:tcPr>
            <w:tcW w:type="dxa" w:w="2268"/>
            <w:shd w:fill="D6E4F0" w:val="clear"/>
          </w:tcPr>
          <w:p>
            <w:pPr>
              <w:jc w:val="center"/>
            </w:pPr>
            <w:r>
              <w:rPr>
                <w:rFonts w:ascii="Times New Roman" w:hAnsi="Times New Roman"/>
                <w:sz w:val="20"/>
              </w:rPr>
              <w:t>-42.2</w:t>
            </w:r>
          </w:p>
        </w:tc>
        <w:tc>
          <w:tcPr>
            <w:tcW w:type="dxa" w:w="1984"/>
            <w:shd w:fill="D6E4F0" w:val="clear"/>
          </w:tcPr>
          <w:p>
            <w:pPr>
              <w:jc w:val="center"/>
            </w:pPr>
            <w:r>
              <w:rPr>
                <w:rFonts w:ascii="Times New Roman" w:hAnsi="Times New Roman"/>
                <w:sz w:val="20"/>
              </w:rPr>
              <w:t>5.3</w:t>
            </w:r>
          </w:p>
        </w:tc>
      </w:tr>
      <w:tr>
        <w:tc>
          <w:tcPr>
            <w:tcW w:type="dxa" w:w="1701"/>
          </w:tcPr>
          <w:p>
            <w:pPr>
              <w:jc w:val="center"/>
            </w:pPr>
            <w:r>
              <w:rPr>
                <w:rFonts w:ascii="Times New Roman" w:hAnsi="Times New Roman"/>
                <w:sz w:val="20"/>
              </w:rPr>
              <w:t>2025E</w:t>
            </w:r>
          </w:p>
        </w:tc>
        <w:tc>
          <w:tcPr>
            <w:tcW w:type="dxa" w:w="2268"/>
          </w:tcPr>
          <w:p>
            <w:pPr>
              <w:jc w:val="center"/>
            </w:pPr>
            <w:r>
              <w:rPr>
                <w:rFonts w:ascii="Times New Roman" w:hAnsi="Times New Roman"/>
                <w:sz w:val="20"/>
              </w:rPr>
              <w:t>82,000</w:t>
            </w:r>
          </w:p>
        </w:tc>
        <w:tc>
          <w:tcPr>
            <w:tcW w:type="dxa" w:w="2268"/>
          </w:tcPr>
          <w:p>
            <w:pPr>
              <w:jc w:val="center"/>
            </w:pPr>
            <w:r>
              <w:rPr>
                <w:rFonts w:ascii="Times New Roman" w:hAnsi="Times New Roman"/>
                <w:sz w:val="20"/>
              </w:rPr>
              <w:t>-2,500</w:t>
            </w:r>
          </w:p>
        </w:tc>
        <w:tc>
          <w:tcPr>
            <w:tcW w:type="dxa" w:w="2268"/>
          </w:tcPr>
          <w:p>
            <w:pPr>
              <w:jc w:val="center"/>
            </w:pPr>
            <w:r>
              <w:rPr>
                <w:rFonts w:ascii="Times New Roman" w:hAnsi="Times New Roman"/>
                <w:sz w:val="20"/>
              </w:rPr>
              <w:t>+9.6</w:t>
            </w:r>
          </w:p>
        </w:tc>
        <w:tc>
          <w:tcPr>
            <w:tcW w:type="dxa" w:w="1984"/>
          </w:tcPr>
          <w:p>
            <w:pPr>
              <w:jc w:val="center"/>
            </w:pPr>
            <w:r>
              <w:rPr>
                <w:rFonts w:ascii="Times New Roman" w:hAnsi="Times New Roman"/>
                <w:sz w:val="20"/>
              </w:rPr>
              <w:t>10.0</w:t>
            </w:r>
          </w:p>
        </w:tc>
      </w:tr>
    </w:tbl>
    <w:p/>
    <w:p>
      <w:pPr>
        <w:pStyle w:val="Heading2"/>
      </w:pPr>
      <w:r>
        <w:rPr>
          <w:rFonts w:ascii="Times New Roman" w:hAnsi="Times New Roman"/>
          <w:color w:val="000000"/>
        </w:rPr>
        <w:t>3.2 Overseas Revenue Breakdown</w:t>
      </w:r>
    </w:p>
    <w:tbl>
      <w:tblPr>
        <w:tblStyle w:val="TableGrid"/>
        <w:tblW w:type="auto" w:w="0"/>
        <w:jc w:val="center"/>
        <w:tblLook w:firstColumn="1" w:firstRow="1" w:lastColumn="0" w:lastRow="0" w:noHBand="0" w:noVBand="1" w:val="04A0"/>
      </w:tblPr>
      <w:tblGrid>
        <w:gridCol w:w="3120"/>
        <w:gridCol w:w="3120"/>
        <w:gridCol w:w="3120"/>
      </w:tblGrid>
      <w:tr>
        <w:tc>
          <w:tcPr>
            <w:tcW w:type="dxa" w:w="2268"/>
            <w:shd w:fill="1F4E79" w:val="clear"/>
          </w:tcPr>
          <w:p>
            <w:pPr>
              <w:jc w:val="center"/>
            </w:pPr>
            <w:r>
              <w:rPr>
                <w:rFonts w:ascii="Times New Roman" w:hAnsi="Times New Roman"/>
                <w:b/>
                <w:color w:val="FFFFFF"/>
                <w:sz w:val="20"/>
              </w:rPr>
              <w:t>Region</w:t>
            </w:r>
          </w:p>
        </w:tc>
        <w:tc>
          <w:tcPr>
            <w:tcW w:type="dxa" w:w="2268"/>
            <w:shd w:fill="1F4E79" w:val="clear"/>
          </w:tcPr>
          <w:p>
            <w:pPr>
              <w:jc w:val="center"/>
            </w:pPr>
            <w:r>
              <w:rPr>
                <w:rFonts w:ascii="Times New Roman" w:hAnsi="Times New Roman"/>
                <w:b/>
                <w:color w:val="FFFFFF"/>
                <w:sz w:val="20"/>
              </w:rPr>
              <w:t>Share of Overseas Revenue (2023)</w:t>
            </w:r>
          </w:p>
        </w:tc>
        <w:tc>
          <w:tcPr>
            <w:tcW w:type="dxa" w:w="3969"/>
            <w:shd w:fill="1F4E79" w:val="clear"/>
          </w:tcPr>
          <w:p>
            <w:pPr>
              <w:jc w:val="center"/>
            </w:pPr>
            <w:r>
              <w:rPr>
                <w:rFonts w:ascii="Times New Roman" w:hAnsi="Times New Roman"/>
                <w:b/>
                <w:color w:val="FFFFFF"/>
                <w:sz w:val="20"/>
              </w:rPr>
              <w:t>Key Trade Barrier</w:t>
            </w:r>
          </w:p>
        </w:tc>
      </w:tr>
      <w:tr>
        <w:tc>
          <w:tcPr>
            <w:tcW w:type="dxa" w:w="2268"/>
            <w:shd w:fill="D6E4F0" w:val="clear"/>
          </w:tcPr>
          <w:p>
            <w:pPr>
              <w:jc w:val="center"/>
            </w:pPr>
            <w:r>
              <w:rPr>
                <w:rFonts w:ascii="Times New Roman" w:hAnsi="Times New Roman"/>
                <w:sz w:val="20"/>
              </w:rPr>
              <w:t>North America (US + Canada)</w:t>
            </w:r>
          </w:p>
        </w:tc>
        <w:tc>
          <w:tcPr>
            <w:tcW w:type="dxa" w:w="2268"/>
            <w:shd w:fill="D6E4F0" w:val="clear"/>
          </w:tcPr>
          <w:p>
            <w:pPr>
              <w:jc w:val="center"/>
            </w:pPr>
            <w:r>
              <w:rPr>
                <w:rFonts w:ascii="Times New Roman" w:hAnsi="Times New Roman"/>
                <w:sz w:val="20"/>
              </w:rPr>
              <w:t>28%</w:t>
            </w:r>
          </w:p>
        </w:tc>
        <w:tc>
          <w:tcPr>
            <w:tcW w:type="dxa" w:w="3969"/>
            <w:shd w:fill="D6E4F0" w:val="clear"/>
          </w:tcPr>
          <w:p>
            <w:pPr>
              <w:jc w:val="center"/>
            </w:pPr>
            <w:r>
              <w:rPr>
                <w:rFonts w:ascii="Times New Roman" w:hAnsi="Times New Roman"/>
                <w:sz w:val="20"/>
              </w:rPr>
              <w:t>US tariffs up to 254%; retroactive duties on SE Asia</w:t>
            </w:r>
          </w:p>
        </w:tc>
      </w:tr>
      <w:tr>
        <w:tc>
          <w:tcPr>
            <w:tcW w:type="dxa" w:w="2268"/>
          </w:tcPr>
          <w:p>
            <w:pPr>
              <w:jc w:val="center"/>
            </w:pPr>
            <w:r>
              <w:rPr>
                <w:rFonts w:ascii="Times New Roman" w:hAnsi="Times New Roman"/>
                <w:sz w:val="20"/>
              </w:rPr>
              <w:t>Europe (EU + UK)</w:t>
            </w:r>
          </w:p>
        </w:tc>
        <w:tc>
          <w:tcPr>
            <w:tcW w:type="dxa" w:w="2268"/>
          </w:tcPr>
          <w:p>
            <w:pPr>
              <w:jc w:val="center"/>
            </w:pPr>
            <w:r>
              <w:rPr>
                <w:rFonts w:ascii="Times New Roman" w:hAnsi="Times New Roman"/>
                <w:sz w:val="20"/>
              </w:rPr>
              <w:t>27%</w:t>
            </w:r>
          </w:p>
        </w:tc>
        <w:tc>
          <w:tcPr>
            <w:tcW w:type="dxa" w:w="3969"/>
          </w:tcPr>
          <w:p>
            <w:pPr>
              <w:jc w:val="center"/>
            </w:pPr>
            <w:r>
              <w:rPr>
                <w:rFonts w:ascii="Times New Roman" w:hAnsi="Times New Roman"/>
                <w:sz w:val="20"/>
              </w:rPr>
              <w:t>Anti-subsidy investigation; CBAM compliance costs</w:t>
            </w:r>
          </w:p>
        </w:tc>
      </w:tr>
      <w:tr>
        <w:tc>
          <w:tcPr>
            <w:tcW w:type="dxa" w:w="2268"/>
            <w:shd w:fill="D6E4F0" w:val="clear"/>
          </w:tcPr>
          <w:p>
            <w:pPr>
              <w:jc w:val="center"/>
            </w:pPr>
            <w:r>
              <w:rPr>
                <w:rFonts w:ascii="Times New Roman" w:hAnsi="Times New Roman"/>
                <w:sz w:val="20"/>
              </w:rPr>
              <w:t>Asia-Pacific (excl. China)</w:t>
            </w:r>
          </w:p>
        </w:tc>
        <w:tc>
          <w:tcPr>
            <w:tcW w:type="dxa" w:w="2268"/>
            <w:shd w:fill="D6E4F0" w:val="clear"/>
          </w:tcPr>
          <w:p>
            <w:pPr>
              <w:jc w:val="center"/>
            </w:pPr>
            <w:r>
              <w:rPr>
                <w:rFonts w:ascii="Times New Roman" w:hAnsi="Times New Roman"/>
                <w:sz w:val="20"/>
              </w:rPr>
              <w:t>22%</w:t>
            </w:r>
          </w:p>
        </w:tc>
        <w:tc>
          <w:tcPr>
            <w:tcW w:type="dxa" w:w="3969"/>
            <w:shd w:fill="D6E4F0" w:val="clear"/>
          </w:tcPr>
          <w:p>
            <w:pPr>
              <w:jc w:val="center"/>
            </w:pPr>
            <w:r>
              <w:rPr>
                <w:rFonts w:ascii="Times New Roman" w:hAnsi="Times New Roman"/>
                <w:sz w:val="20"/>
              </w:rPr>
              <w:t>India 40% BCD; Australia and Japan stable</w:t>
            </w:r>
          </w:p>
        </w:tc>
      </w:tr>
      <w:tr>
        <w:tc>
          <w:tcPr>
            <w:tcW w:type="dxa" w:w="2268"/>
          </w:tcPr>
          <w:p>
            <w:pPr>
              <w:jc w:val="center"/>
            </w:pPr>
            <w:r>
              <w:rPr>
                <w:rFonts w:ascii="Times New Roman" w:hAnsi="Times New Roman"/>
                <w:sz w:val="20"/>
              </w:rPr>
              <w:t>Middle East, Africa &amp; Latin America</w:t>
            </w:r>
          </w:p>
        </w:tc>
        <w:tc>
          <w:tcPr>
            <w:tcW w:type="dxa" w:w="2268"/>
          </w:tcPr>
          <w:p>
            <w:pPr>
              <w:jc w:val="center"/>
            </w:pPr>
            <w:r>
              <w:rPr>
                <w:rFonts w:ascii="Times New Roman" w:hAnsi="Times New Roman"/>
                <w:sz w:val="20"/>
              </w:rPr>
              <w:t>10%</w:t>
            </w:r>
          </w:p>
        </w:tc>
        <w:tc>
          <w:tcPr>
            <w:tcW w:type="dxa" w:w="3969"/>
          </w:tcPr>
          <w:p>
            <w:pPr>
              <w:jc w:val="center"/>
            </w:pPr>
            <w:r>
              <w:rPr>
                <w:rFonts w:ascii="Times New Roman" w:hAnsi="Times New Roman"/>
                <w:sz w:val="20"/>
              </w:rPr>
              <w:t>Emerging markets; low base but growing fast</w:t>
            </w:r>
          </w:p>
        </w:tc>
      </w:tr>
      <w:tr>
        <w:tc>
          <w:tcPr>
            <w:tcW w:type="dxa" w:w="2268"/>
            <w:shd w:fill="D6E4F0" w:val="clear"/>
          </w:tcPr>
          <w:p>
            <w:pPr>
              <w:jc w:val="center"/>
            </w:pPr>
            <w:r>
              <w:rPr>
                <w:rFonts w:ascii="Times New Roman" w:hAnsi="Times New Roman"/>
                <w:sz w:val="20"/>
              </w:rPr>
              <w:t>Other</w:t>
            </w:r>
          </w:p>
        </w:tc>
        <w:tc>
          <w:tcPr>
            <w:tcW w:type="dxa" w:w="2268"/>
            <w:shd w:fill="D6E4F0" w:val="clear"/>
          </w:tcPr>
          <w:p>
            <w:pPr>
              <w:jc w:val="center"/>
            </w:pPr>
            <w:r>
              <w:rPr>
                <w:rFonts w:ascii="Times New Roman" w:hAnsi="Times New Roman"/>
                <w:sz w:val="20"/>
              </w:rPr>
              <w:t>3%</w:t>
            </w:r>
          </w:p>
        </w:tc>
        <w:tc>
          <w:tcPr>
            <w:tcW w:type="dxa" w:w="3969"/>
            <w:shd w:fill="D6E4F0" w:val="clear"/>
          </w:tcPr>
          <w:p>
            <w:pPr>
              <w:jc w:val="center"/>
            </w:pPr>
            <w:r>
              <w:rPr>
                <w:rFonts w:ascii="Times New Roman" w:hAnsi="Times New Roman"/>
                <w:sz w:val="20"/>
              </w:rPr>
              <w:t>Miscellaneous</w:t>
            </w:r>
          </w:p>
        </w:tc>
      </w:tr>
    </w:tbl>
    <w:p/>
    <w:p>
      <w:pPr>
        <w:pStyle w:val="Heading2"/>
      </w:pPr>
      <w:r>
        <w:rPr>
          <w:rFonts w:ascii="Times New Roman" w:hAnsi="Times New Roman"/>
          <w:color w:val="000000"/>
        </w:rPr>
        <w:t>3.3 Key Pain Points</w:t>
      </w:r>
    </w:p>
    <w:p>
      <w:pPr>
        <w:pStyle w:val="ListBullet"/>
        <w:spacing w:line="360" w:lineRule="auto"/>
        <w:ind w:left="720"/>
      </w:pPr>
      <w:r>
        <w:rPr>
          <w:rFonts w:ascii="Times New Roman" w:hAnsi="Times New Roman"/>
          <w:sz w:val="24"/>
        </w:rPr>
        <w:t>Revenue collapse: Total revenue fell 42.2% YoY in 2024, the largest decline in company history.</w:t>
      </w:r>
    </w:p>
    <w:p>
      <w:pPr>
        <w:pStyle w:val="ListBullet"/>
        <w:spacing w:line="360" w:lineRule="auto"/>
        <w:ind w:left="720"/>
      </w:pPr>
      <w:r>
        <w:rPr>
          <w:rFonts w:ascii="Times New Roman" w:hAnsi="Times New Roman"/>
          <w:sz w:val="24"/>
        </w:rPr>
        <w:t>Profit reversal: From RMB 10.75 billion profit in 2023 to RMB 8.2 billion loss in 2024 — a swing of RMB 19 billion.</w:t>
      </w:r>
    </w:p>
    <w:p>
      <w:pPr>
        <w:pStyle w:val="ListBullet"/>
        <w:spacing w:line="360" w:lineRule="auto"/>
        <w:ind w:left="720"/>
      </w:pPr>
      <w:r>
        <w:rPr>
          <w:rFonts w:ascii="Times New Roman" w:hAnsi="Times New Roman"/>
          <w:sz w:val="24"/>
        </w:rPr>
        <w:t>US market effectively closed: Retroactive tariffs and the SE Asia tariff ruling have made exports to the US economically unviable for most product lines.</w:t>
      </w:r>
    </w:p>
    <w:p>
      <w:pPr>
        <w:pStyle w:val="ListBullet"/>
        <w:spacing w:line="360" w:lineRule="auto"/>
        <w:ind w:left="720"/>
      </w:pPr>
      <w:r>
        <w:rPr>
          <w:rFonts w:ascii="Times New Roman" w:hAnsi="Times New Roman"/>
          <w:sz w:val="24"/>
        </w:rPr>
        <w:t>EU market uncertainty: The anti-subsidy investigation creates a "wait and see" environment among European distributors, slowing order placement.</w:t>
      </w:r>
    </w:p>
    <w:p>
      <w:pPr>
        <w:pStyle w:val="ListBullet"/>
        <w:spacing w:line="360" w:lineRule="auto"/>
        <w:ind w:left="720"/>
      </w:pPr>
      <w:r>
        <w:rPr>
          <w:rFonts w:ascii="Times New Roman" w:hAnsi="Times New Roman"/>
          <w:sz w:val="24"/>
        </w:rPr>
        <w:t>Gross margin compression: From 20.2% in 2022 to 5.3% in 2024, driven by both price declines and tariff pass-through costs.</w:t>
      </w:r>
    </w:p>
    <w:p>
      <w:pPr>
        <w:pStyle w:val="ListBullet"/>
        <w:spacing w:line="360" w:lineRule="auto"/>
        <w:ind w:left="720"/>
      </w:pPr>
      <w:r>
        <w:rPr>
          <w:rFonts w:ascii="Times New Roman" w:hAnsi="Times New Roman"/>
          <w:sz w:val="24"/>
        </w:rPr>
        <w:t>Over-reliance on mature markets: 55% of overseas revenue concentrated in the US and EU, the two regions with the most aggressive trade barriers.</w:t>
      </w:r>
    </w:p>
    <w:p>
      <w:pPr>
        <w:pStyle w:val="Heading1"/>
      </w:pPr>
      <w:r>
        <w:rPr>
          <w:rFonts w:ascii="Times New Roman" w:hAnsi="Times New Roman"/>
          <w:color w:val="000000"/>
        </w:rPr>
        <w:t>4. Root Cause Analysis</w:t>
      </w:r>
    </w:p>
    <w:p>
      <w:pPr>
        <w:pStyle w:val="Heading2"/>
      </w:pPr>
      <w:r>
        <w:rPr>
          <w:rFonts w:ascii="Times New Roman" w:hAnsi="Times New Roman"/>
          <w:color w:val="000000"/>
        </w:rPr>
        <w:t>4.1 External Factors</w:t>
      </w:r>
    </w:p>
    <w:p>
      <w:pPr>
        <w:pStyle w:val="ListBullet"/>
        <w:spacing w:line="360" w:lineRule="auto"/>
        <w:ind w:left="720"/>
      </w:pPr>
      <w:r>
        <w:rPr>
          <w:rFonts w:ascii="Times New Roman" w:hAnsi="Times New Roman"/>
          <w:sz w:val="24"/>
        </w:rPr>
        <w:t>Tariff escalation: The US Department of Commerce's 2024 ruling on circumvention of anti-dumping duties on solar products from Cambodia, Malaysia, Thailand, and Vietnam imposed retroactive cash deposit rates of up to 254.28% on certain Chinese manufacturers. This effectively closed the US market — previously LONGi's highest-margin export destination.</w:t>
      </w:r>
    </w:p>
    <w:p>
      <w:pPr>
        <w:pStyle w:val="ListBullet"/>
        <w:spacing w:line="360" w:lineRule="auto"/>
        <w:ind w:left="720"/>
      </w:pPr>
      <w:r>
        <w:rPr>
          <w:rFonts w:ascii="Times New Roman" w:hAnsi="Times New Roman"/>
          <w:sz w:val="24"/>
        </w:rPr>
        <w:t>EU regulatory pressure: The EU's anti-subsidy investigation (launched October 2024) mirrors the 2012–2018 anti-dumping case that previously forced Chinese solar companies to accept minimum import prices. The CBAM transitional phase requires carbon emission reporting for steel, aluminum, cement, fertilizer, electricity, and hydrogen — with potential expansion to downstream products including solar module frames and mounting systems.</w:t>
      </w:r>
    </w:p>
    <w:p>
      <w:pPr>
        <w:pStyle w:val="ListBullet"/>
        <w:spacing w:line="360" w:lineRule="auto"/>
        <w:ind w:left="720"/>
      </w:pPr>
      <w:r>
        <w:rPr>
          <w:rFonts w:ascii="Times New Roman" w:hAnsi="Times New Roman"/>
          <w:sz w:val="24"/>
        </w:rPr>
        <w:t>India's protectionism: The 40% BCD on modules and 25% BCD on cells, combined with the Approved List of Models and Manufacturers (ALMM) requirement for government projects, has effectively excluded Chinese manufacturers from India's rapidly growing solar market.</w:t>
      </w:r>
    </w:p>
    <w:p>
      <w:pPr>
        <w:pStyle w:val="ListBullet"/>
        <w:spacing w:line="360" w:lineRule="auto"/>
        <w:ind w:left="720"/>
      </w:pPr>
      <w:r>
        <w:rPr>
          <w:rFonts w:ascii="Times New Roman" w:hAnsi="Times New Roman"/>
          <w:sz w:val="24"/>
        </w:rPr>
        <w:t>Global overcapacity: China's PV manufacturing capacity reached approximately 800 GW across the value chain in 2024, while global demand was approximately 450 GW — a utilization rate of only 56%. This structural overcapacity has created a race-to-the-bottom pricing environment.</w:t>
      </w:r>
    </w:p>
    <w:p>
      <w:pPr>
        <w:pStyle w:val="Heading2"/>
      </w:pPr>
      <w:r>
        <w:rPr>
          <w:rFonts w:ascii="Times New Roman" w:hAnsi="Times New Roman"/>
          <w:color w:val="000000"/>
        </w:rPr>
        <w:t>4.2 Internal Factors</w:t>
      </w:r>
    </w:p>
    <w:p>
      <w:pPr>
        <w:pStyle w:val="ListBullet"/>
        <w:spacing w:line="360" w:lineRule="auto"/>
        <w:ind w:left="720"/>
      </w:pPr>
      <w:r>
        <w:rPr>
          <w:rFonts w:ascii="Times New Roman" w:hAnsi="Times New Roman"/>
          <w:sz w:val="24"/>
        </w:rPr>
        <w:t>Geographic concentration risk: 55% of overseas revenue from US + EU. When both markets simultaneously raise barriers, the impact is catastrophic.</w:t>
      </w:r>
    </w:p>
    <w:p>
      <w:pPr>
        <w:pStyle w:val="ListBullet"/>
        <w:spacing w:line="360" w:lineRule="auto"/>
        <w:ind w:left="720"/>
      </w:pPr>
      <w:r>
        <w:rPr>
          <w:rFonts w:ascii="Times New Roman" w:hAnsi="Times New Roman"/>
          <w:sz w:val="24"/>
        </w:rPr>
        <w:t>Product commoditization: Wafer sales (LONGi's traditional core business) accounted for ~50% of revenue in 2023. Wafers are increasingly commoditized products with low differentiation and high price sensitivity. The shift to N-type TOPCon technology has not yet been fully monetized.</w:t>
      </w:r>
    </w:p>
    <w:p>
      <w:pPr>
        <w:pStyle w:val="ListBullet"/>
        <w:spacing w:line="360" w:lineRule="auto"/>
        <w:ind w:left="720"/>
      </w:pPr>
      <w:r>
        <w:rPr>
          <w:rFonts w:ascii="Times New Roman" w:hAnsi="Times New Roman"/>
          <w:sz w:val="24"/>
        </w:rPr>
        <w:t>Channel structure: ~70% of overseas sales go through distributors and EPC contractors, with limited direct engagement with end-users. This limits brand premium and margin capture.</w:t>
      </w:r>
    </w:p>
    <w:p>
      <w:pPr>
        <w:pStyle w:val="ListBullet"/>
        <w:spacing w:line="360" w:lineRule="auto"/>
        <w:ind w:left="720"/>
      </w:pPr>
      <w:r>
        <w:rPr>
          <w:rFonts w:ascii="Times New Roman" w:hAnsi="Times New Roman"/>
          <w:sz w:val="24"/>
        </w:rPr>
        <w:t>Supply chain concentration: Despite overseas bases in Malaysia and Vietnam, the majority of production capacity remains in China. This makes the company vulnerable to origin-based tariffs.</w:t>
      </w:r>
    </w:p>
    <w:p>
      <w:pPr>
        <w:pStyle w:val="ListBullet"/>
        <w:spacing w:line="360" w:lineRule="auto"/>
        <w:ind w:left="720"/>
      </w:pPr>
      <w:r>
        <w:rPr>
          <w:rFonts w:ascii="Times New Roman" w:hAnsi="Times New Roman"/>
          <w:sz w:val="24"/>
        </w:rPr>
        <w:t>Cost structure: While LONGi has industry-leading cost control, the 87% decline in polysilicon prices has not translated into proportional margin recovery because downstream price cuts have been even more aggressive.</w:t>
      </w:r>
    </w:p>
    <w:p>
      <w:pPr>
        <w:pStyle w:val="Heading1"/>
      </w:pPr>
      <w:r>
        <w:rPr>
          <w:rFonts w:ascii="Times New Roman" w:hAnsi="Times New Roman"/>
          <w:color w:val="000000"/>
        </w:rPr>
        <w:t>5. Proposed Strategies</w:t>
      </w:r>
    </w:p>
    <w:p>
      <w:pPr>
        <w:spacing w:line="360" w:lineRule="auto"/>
      </w:pPr>
      <w:r>
        <w:rPr>
          <w:rFonts w:ascii="Times New Roman" w:hAnsi="Times New Roman"/>
          <w:b w:val="0"/>
          <w:sz w:val="24"/>
        </w:rPr>
        <w:t>We propose a three-pillar strategy addressing each root cause. The strategies are designed to be implemented over an 18–24 month horizon, with measurable milestones at each quarter.</w:t>
      </w:r>
    </w:p>
    <w:p>
      <w:pPr>
        <w:pStyle w:val="Heading2"/>
      </w:pPr>
      <w:r>
        <w:rPr>
          <w:rFonts w:ascii="Times New Roman" w:hAnsi="Times New Roman"/>
          <w:color w:val="000000"/>
        </w:rPr>
        <w:t>5.1 Strategy 1: Geographic Diversification into Emerging Markets</w:t>
      </w:r>
    </w:p>
    <w:p>
      <w:pPr>
        <w:spacing w:line="360" w:lineRule="auto"/>
      </w:pPr>
      <w:r>
        <w:rPr>
          <w:rFonts w:ascii="Times New Roman" w:hAnsi="Times New Roman"/>
          <w:b w:val="0"/>
          <w:sz w:val="24"/>
        </w:rPr>
        <w:t>Objective: Reduce the share of US + EU in overseas revenue from 55% (2023) to 35% (2027), while increasing the share of Middle East, Africa, and Latin America (MALA) from 10% to 30%.</w:t>
      </w:r>
    </w:p>
    <w:p>
      <w:pPr>
        <w:spacing w:line="360" w:lineRule="auto"/>
      </w:pPr>
      <w:r>
        <w:rPr>
          <w:rFonts w:ascii="Times New Roman" w:hAnsi="Times New Roman"/>
          <w:b w:val="0"/>
          <w:sz w:val="24"/>
        </w:rPr>
        <w:t>Target Markets and Action Plan:</w:t>
      </w:r>
    </w:p>
    <w:tbl>
      <w:tblPr>
        <w:tblStyle w:val="TableGrid"/>
        <w:tblW w:type="auto" w:w="0"/>
        <w:jc w:val="center"/>
        <w:tblLook w:firstColumn="1" w:firstRow="1" w:lastColumn="0" w:lastRow="0" w:noHBand="0" w:noVBand="1" w:val="04A0"/>
      </w:tblPr>
      <w:tblGrid>
        <w:gridCol w:w="3120"/>
        <w:gridCol w:w="3120"/>
        <w:gridCol w:w="3120"/>
      </w:tblGrid>
      <w:tr>
        <w:tc>
          <w:tcPr>
            <w:tcW w:type="dxa" w:w="1701"/>
            <w:shd w:fill="1F4E79" w:val="clear"/>
          </w:tcPr>
          <w:p>
            <w:pPr>
              <w:jc w:val="center"/>
            </w:pPr>
            <w:r>
              <w:rPr>
                <w:rFonts w:ascii="Times New Roman" w:hAnsi="Times New Roman"/>
                <w:b/>
                <w:color w:val="FFFFFF"/>
                <w:sz w:val="20"/>
              </w:rPr>
              <w:t>Market</w:t>
            </w:r>
          </w:p>
        </w:tc>
        <w:tc>
          <w:tcPr>
            <w:tcW w:type="dxa" w:w="2268"/>
            <w:shd w:fill="1F4E79" w:val="clear"/>
          </w:tcPr>
          <w:p>
            <w:pPr>
              <w:jc w:val="center"/>
            </w:pPr>
            <w:r>
              <w:rPr>
                <w:rFonts w:ascii="Times New Roman" w:hAnsi="Times New Roman"/>
                <w:b/>
                <w:color w:val="FFFFFF"/>
                <w:sz w:val="20"/>
              </w:rPr>
              <w:t>Revenue Target (2027)</w:t>
            </w:r>
          </w:p>
        </w:tc>
        <w:tc>
          <w:tcPr>
            <w:tcW w:type="dxa" w:w="3969"/>
            <w:shd w:fill="1F4E79" w:val="clear"/>
          </w:tcPr>
          <w:p>
            <w:pPr>
              <w:jc w:val="center"/>
            </w:pPr>
            <w:r>
              <w:rPr>
                <w:rFonts w:ascii="Times New Roman" w:hAnsi="Times New Roman"/>
                <w:b/>
                <w:color w:val="FFFFFF"/>
                <w:sz w:val="20"/>
              </w:rPr>
              <w:t>Key Actions</w:t>
            </w:r>
          </w:p>
        </w:tc>
      </w:tr>
      <w:tr>
        <w:tc>
          <w:tcPr>
            <w:tcW w:type="dxa" w:w="1701"/>
            <w:shd w:fill="D6E4F0" w:val="clear"/>
          </w:tcPr>
          <w:p>
            <w:pPr>
              <w:jc w:val="center"/>
            </w:pPr>
            <w:r>
              <w:rPr>
                <w:rFonts w:ascii="Times New Roman" w:hAnsi="Times New Roman"/>
                <w:sz w:val="20"/>
              </w:rPr>
              <w:t>Saudi Arabia</w:t>
            </w:r>
          </w:p>
        </w:tc>
        <w:tc>
          <w:tcPr>
            <w:tcW w:type="dxa" w:w="2268"/>
            <w:shd w:fill="D6E4F0" w:val="clear"/>
          </w:tcPr>
          <w:p>
            <w:pPr>
              <w:jc w:val="center"/>
            </w:pPr>
            <w:r>
              <w:rPr>
                <w:rFonts w:ascii="Times New Roman" w:hAnsi="Times New Roman"/>
                <w:sz w:val="20"/>
              </w:rPr>
              <w:t>Target: 5% overseas revenue by 2027</w:t>
            </w:r>
          </w:p>
        </w:tc>
        <w:tc>
          <w:tcPr>
            <w:tcW w:type="dxa" w:w="3969"/>
            <w:shd w:fill="D6E4F0" w:val="clear"/>
          </w:tcPr>
          <w:p>
            <w:pPr>
              <w:jc w:val="center"/>
            </w:pPr>
            <w:r>
              <w:rPr>
                <w:rFonts w:ascii="Times New Roman" w:hAnsi="Times New Roman"/>
                <w:sz w:val="20"/>
              </w:rPr>
              <w:t>Partner with ACWA Power for mega-solar projects; sponsor Saudi Green Initiative</w:t>
            </w:r>
          </w:p>
        </w:tc>
      </w:tr>
      <w:tr>
        <w:tc>
          <w:tcPr>
            <w:tcW w:type="dxa" w:w="1701"/>
          </w:tcPr>
          <w:p>
            <w:pPr>
              <w:jc w:val="center"/>
            </w:pPr>
            <w:r>
              <w:rPr>
                <w:rFonts w:ascii="Times New Roman" w:hAnsi="Times New Roman"/>
                <w:sz w:val="20"/>
              </w:rPr>
              <w:t>UAE</w:t>
            </w:r>
          </w:p>
        </w:tc>
        <w:tc>
          <w:tcPr>
            <w:tcW w:type="dxa" w:w="2268"/>
          </w:tcPr>
          <w:p>
            <w:pPr>
              <w:jc w:val="center"/>
            </w:pPr>
            <w:r>
              <w:rPr>
                <w:rFonts w:ascii="Times New Roman" w:hAnsi="Times New Roman"/>
                <w:sz w:val="20"/>
              </w:rPr>
              <w:t>Target: 3% overseas revenue by 2027</w:t>
            </w:r>
          </w:p>
        </w:tc>
        <w:tc>
          <w:tcPr>
            <w:tcW w:type="dxa" w:w="3969"/>
          </w:tcPr>
          <w:p>
            <w:pPr>
              <w:jc w:val="center"/>
            </w:pPr>
            <w:r>
              <w:rPr>
                <w:rFonts w:ascii="Times New Roman" w:hAnsi="Times New Roman"/>
                <w:sz w:val="20"/>
              </w:rPr>
              <w:t>Establish regional HQ in Dubai; leverage Mohammed bin Rashid Solar Park</w:t>
            </w:r>
          </w:p>
        </w:tc>
      </w:tr>
      <w:tr>
        <w:tc>
          <w:tcPr>
            <w:tcW w:type="dxa" w:w="1701"/>
            <w:shd w:fill="D6E4F0" w:val="clear"/>
          </w:tcPr>
          <w:p>
            <w:pPr>
              <w:jc w:val="center"/>
            </w:pPr>
            <w:r>
              <w:rPr>
                <w:rFonts w:ascii="Times New Roman" w:hAnsi="Times New Roman"/>
                <w:sz w:val="20"/>
              </w:rPr>
              <w:t>Brazil</w:t>
            </w:r>
          </w:p>
        </w:tc>
        <w:tc>
          <w:tcPr>
            <w:tcW w:type="dxa" w:w="2268"/>
            <w:shd w:fill="D6E4F0" w:val="clear"/>
          </w:tcPr>
          <w:p>
            <w:pPr>
              <w:jc w:val="center"/>
            </w:pPr>
            <w:r>
              <w:rPr>
                <w:rFonts w:ascii="Times New Roman" w:hAnsi="Times New Roman"/>
                <w:sz w:val="20"/>
              </w:rPr>
              <w:t>Target: 5% overseas revenue by 2027</w:t>
            </w:r>
          </w:p>
        </w:tc>
        <w:tc>
          <w:tcPr>
            <w:tcW w:type="dxa" w:w="3969"/>
            <w:shd w:fill="D6E4F0" w:val="clear"/>
          </w:tcPr>
          <w:p>
            <w:pPr>
              <w:jc w:val="center"/>
            </w:pPr>
            <w:r>
              <w:rPr>
                <w:rFonts w:ascii="Times New Roman" w:hAnsi="Times New Roman"/>
                <w:sz w:val="20"/>
              </w:rPr>
              <w:t>Local assembly plant in Manaus FTZ; partner with Enel Brasil</w:t>
            </w:r>
          </w:p>
        </w:tc>
      </w:tr>
      <w:tr>
        <w:tc>
          <w:tcPr>
            <w:tcW w:type="dxa" w:w="1701"/>
          </w:tcPr>
          <w:p>
            <w:pPr>
              <w:jc w:val="center"/>
            </w:pPr>
            <w:r>
              <w:rPr>
                <w:rFonts w:ascii="Times New Roman" w:hAnsi="Times New Roman"/>
                <w:sz w:val="20"/>
              </w:rPr>
              <w:t>South Africa</w:t>
            </w:r>
          </w:p>
        </w:tc>
        <w:tc>
          <w:tcPr>
            <w:tcW w:type="dxa" w:w="2268"/>
          </w:tcPr>
          <w:p>
            <w:pPr>
              <w:jc w:val="center"/>
            </w:pPr>
            <w:r>
              <w:rPr>
                <w:rFonts w:ascii="Times New Roman" w:hAnsi="Times New Roman"/>
                <w:sz w:val="20"/>
              </w:rPr>
              <w:t>Target: 3% overseas revenue by 2027</w:t>
            </w:r>
          </w:p>
        </w:tc>
        <w:tc>
          <w:tcPr>
            <w:tcW w:type="dxa" w:w="3969"/>
          </w:tcPr>
          <w:p>
            <w:pPr>
              <w:jc w:val="center"/>
            </w:pPr>
            <w:r>
              <w:rPr>
                <w:rFonts w:ascii="Times New Roman" w:hAnsi="Times New Roman"/>
                <w:sz w:val="20"/>
              </w:rPr>
              <w:t>Participate in REIPPPP program; partner with Eskom</w:t>
            </w:r>
          </w:p>
        </w:tc>
      </w:tr>
      <w:tr>
        <w:tc>
          <w:tcPr>
            <w:tcW w:type="dxa" w:w="1701"/>
            <w:shd w:fill="D6E4F0" w:val="clear"/>
          </w:tcPr>
          <w:p>
            <w:pPr>
              <w:jc w:val="center"/>
            </w:pPr>
            <w:r>
              <w:rPr>
                <w:rFonts w:ascii="Times New Roman" w:hAnsi="Times New Roman"/>
                <w:sz w:val="20"/>
              </w:rPr>
              <w:t>India (re-entry)</w:t>
            </w:r>
          </w:p>
        </w:tc>
        <w:tc>
          <w:tcPr>
            <w:tcW w:type="dxa" w:w="2268"/>
            <w:shd w:fill="D6E4F0" w:val="clear"/>
          </w:tcPr>
          <w:p>
            <w:pPr>
              <w:jc w:val="center"/>
            </w:pPr>
            <w:r>
              <w:rPr>
                <w:rFonts w:ascii="Times New Roman" w:hAnsi="Times New Roman"/>
                <w:sz w:val="20"/>
              </w:rPr>
              <w:t>Target: 2% overseas revenue by 2027</w:t>
            </w:r>
          </w:p>
        </w:tc>
        <w:tc>
          <w:tcPr>
            <w:tcW w:type="dxa" w:w="3969"/>
            <w:shd w:fill="D6E4F0" w:val="clear"/>
          </w:tcPr>
          <w:p>
            <w:pPr>
              <w:jc w:val="center"/>
            </w:pPr>
            <w:r>
              <w:rPr>
                <w:rFonts w:ascii="Times New Roman" w:hAnsi="Times New Roman"/>
                <w:sz w:val="20"/>
              </w:rPr>
              <w:t>CKD (Completely Knocked Down) assembly joint venture with Indian partner to bypass BCD</w:t>
            </w:r>
          </w:p>
        </w:tc>
      </w:tr>
    </w:tbl>
    <w:p/>
    <w:p>
      <w:pPr>
        <w:pStyle w:val="Heading2"/>
      </w:pPr>
      <w:r>
        <w:rPr>
          <w:rFonts w:ascii="Times New Roman" w:hAnsi="Times New Roman"/>
          <w:color w:val="000000"/>
        </w:rPr>
        <w:t>5.2 Strategy 2: Product &amp; Channel Upgrade</w:t>
      </w:r>
    </w:p>
    <w:p>
      <w:pPr>
        <w:spacing w:line="360" w:lineRule="auto"/>
      </w:pPr>
      <w:r>
        <w:rPr>
          <w:rFonts w:ascii="Times New Roman" w:hAnsi="Times New Roman"/>
          <w:b w:val="0"/>
          <w:sz w:val="24"/>
        </w:rPr>
        <w:t>Objective: Shift from commoditized wafer exports to differentiated, high-margin module solutions. Increase the share of N-type TOPCon and HPBC (Hybrid Passivated Back Contact) modules from 30% (2024) to 60% (2027) of total module shipments.</w:t>
      </w:r>
    </w:p>
    <w:p>
      <w:pPr>
        <w:pStyle w:val="ListBullet"/>
        <w:spacing w:line="360" w:lineRule="auto"/>
        <w:ind w:left="720"/>
      </w:pPr>
      <w:r>
        <w:rPr>
          <w:rFonts w:ascii="Times New Roman" w:hAnsi="Times New Roman"/>
          <w:sz w:val="24"/>
        </w:rPr>
        <w:t>Product upgrade: Accelerate the transition from P-type PERC to N-type TOPCon and HPBC technologies. N-type modules offer 2–3% higher efficiency and 20% lower LCOE (Levelized Cost of Energy), commanding a 5–8% price premium in international markets.</w:t>
      </w:r>
    </w:p>
    <w:p>
      <w:pPr>
        <w:pStyle w:val="ListBullet"/>
        <w:spacing w:line="360" w:lineRule="auto"/>
        <w:ind w:left="720"/>
      </w:pPr>
      <w:r>
        <w:rPr>
          <w:rFonts w:ascii="Times New Roman" w:hAnsi="Times New Roman"/>
          <w:sz w:val="24"/>
        </w:rPr>
        <w:t>Solution packaging: Bundle modules with inverters, mounting systems, and energy storage into integrated "solar solution" packages. This increases average selling price (ASP) by 15–20% and creates switching costs for customers.</w:t>
      </w:r>
    </w:p>
    <w:p>
      <w:pPr>
        <w:pStyle w:val="ListBullet"/>
        <w:spacing w:line="360" w:lineRule="auto"/>
        <w:ind w:left="720"/>
      </w:pPr>
      <w:r>
        <w:rPr>
          <w:rFonts w:ascii="Times New Roman" w:hAnsi="Times New Roman"/>
          <w:sz w:val="24"/>
        </w:rPr>
        <w:t>DTC channel expansion: Launch a B2B e-commerce platform for international customers, enabling direct ordering, technical consultation, and after-sales service. Target: increase DTC share from 10% (2024) to 25% (2027) of overseas revenue, improving gross margin by 3–5 percentage points.</w:t>
      </w:r>
    </w:p>
    <w:p>
      <w:pPr>
        <w:pStyle w:val="ListBullet"/>
        <w:spacing w:line="360" w:lineRule="auto"/>
        <w:ind w:left="720"/>
      </w:pPr>
      <w:r>
        <w:rPr>
          <w:rFonts w:ascii="Times New Roman" w:hAnsi="Times New Roman"/>
          <w:sz w:val="24"/>
        </w:rPr>
        <w:t>Brand building: Invest in international trade shows (Intersolar Europe, RE+ in the US, SNEC in China), sponsor research partnerships with Fraunhofer ISE and NREL, and publish annual sustainability reports to build brand credibility.</w:t>
      </w:r>
    </w:p>
    <w:p>
      <w:pPr>
        <w:pStyle w:val="Heading2"/>
      </w:pPr>
      <w:r>
        <w:rPr>
          <w:rFonts w:ascii="Times New Roman" w:hAnsi="Times New Roman"/>
          <w:color w:val="000000"/>
        </w:rPr>
        <w:t>5.3 Strategy 3: Supply Chain Localization</w:t>
      </w:r>
    </w:p>
    <w:p>
      <w:pPr>
        <w:spacing w:line="360" w:lineRule="auto"/>
      </w:pPr>
      <w:r>
        <w:rPr>
          <w:rFonts w:ascii="Times New Roman" w:hAnsi="Times New Roman"/>
          <w:b w:val="0"/>
          <w:sz w:val="24"/>
        </w:rPr>
        <w:t>Objective: Shift from "China-origin export" to "overseas-origin export" to circumvent tariff barriers and reduce logistics costs.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701"/>
            <w:shd w:fill="1F4E79" w:val="clear"/>
          </w:tcPr>
          <w:p>
            <w:pPr>
              <w:jc w:val="center"/>
            </w:pPr>
            <w:r>
              <w:rPr>
                <w:rFonts w:ascii="Times New Roman" w:hAnsi="Times New Roman"/>
                <w:b/>
                <w:color w:val="FFFFFF"/>
                <w:sz w:val="20"/>
              </w:rPr>
              <w:t>Location</w:t>
            </w:r>
          </w:p>
        </w:tc>
        <w:tc>
          <w:tcPr>
            <w:tcW w:type="dxa" w:w="1417"/>
            <w:shd w:fill="1F4E79" w:val="clear"/>
          </w:tcPr>
          <w:p>
            <w:pPr>
              <w:jc w:val="center"/>
            </w:pPr>
            <w:r>
              <w:rPr>
                <w:rFonts w:ascii="Times New Roman" w:hAnsi="Times New Roman"/>
                <w:b/>
                <w:color w:val="FFFFFF"/>
                <w:sz w:val="20"/>
              </w:rPr>
              <w:t>Function</w:t>
            </w:r>
          </w:p>
        </w:tc>
        <w:tc>
          <w:tcPr>
            <w:tcW w:type="dxa" w:w="1134"/>
            <w:shd w:fill="1F4E79" w:val="clear"/>
          </w:tcPr>
          <w:p>
            <w:pPr>
              <w:jc w:val="center"/>
            </w:pPr>
            <w:r>
              <w:rPr>
                <w:rFonts w:ascii="Times New Roman" w:hAnsi="Times New Roman"/>
                <w:b/>
                <w:color w:val="FFFFFF"/>
                <w:sz w:val="20"/>
              </w:rPr>
              <w:t>Current Capacity</w:t>
            </w:r>
          </w:p>
        </w:tc>
        <w:tc>
          <w:tcPr>
            <w:tcW w:type="dxa" w:w="1417"/>
            <w:shd w:fill="1F4E79" w:val="clear"/>
          </w:tcPr>
          <w:p>
            <w:pPr>
              <w:jc w:val="center"/>
            </w:pPr>
            <w:r>
              <w:rPr>
                <w:rFonts w:ascii="Times New Roman" w:hAnsi="Times New Roman"/>
                <w:b/>
                <w:color w:val="FFFFFF"/>
                <w:sz w:val="20"/>
              </w:rPr>
              <w:t>Status</w:t>
            </w:r>
          </w:p>
        </w:tc>
        <w:tc>
          <w:tcPr>
            <w:tcW w:type="dxa" w:w="2551"/>
            <w:shd w:fill="1F4E79" w:val="clear"/>
          </w:tcPr>
          <w:p>
            <w:pPr>
              <w:jc w:val="center"/>
            </w:pPr>
            <w:r>
              <w:rPr>
                <w:rFonts w:ascii="Times New Roman" w:hAnsi="Times New Roman"/>
                <w:b/>
                <w:color w:val="FFFFFF"/>
                <w:sz w:val="20"/>
              </w:rPr>
              <w:t>Expansion Plan</w:t>
            </w:r>
          </w:p>
        </w:tc>
      </w:tr>
      <w:tr>
        <w:tc>
          <w:tcPr>
            <w:tcW w:type="dxa" w:w="1701"/>
            <w:shd w:fill="D6E4F0" w:val="clear"/>
          </w:tcPr>
          <w:p>
            <w:pPr>
              <w:jc w:val="center"/>
            </w:pPr>
            <w:r>
              <w:rPr>
                <w:rFonts w:ascii="Times New Roman" w:hAnsi="Times New Roman"/>
                <w:sz w:val="20"/>
              </w:rPr>
              <w:t>Malaysia (Seremban)</w:t>
            </w:r>
          </w:p>
        </w:tc>
        <w:tc>
          <w:tcPr>
            <w:tcW w:type="dxa" w:w="1417"/>
            <w:shd w:fill="D6E4F0" w:val="clear"/>
          </w:tcPr>
          <w:p>
            <w:pPr>
              <w:jc w:val="center"/>
            </w:pPr>
            <w:r>
              <w:rPr>
                <w:rFonts w:ascii="Times New Roman" w:hAnsi="Times New Roman"/>
                <w:sz w:val="20"/>
              </w:rPr>
              <w:t>Module assembly</w:t>
            </w:r>
          </w:p>
        </w:tc>
        <w:tc>
          <w:tcPr>
            <w:tcW w:type="dxa" w:w="1134"/>
            <w:shd w:fill="D6E4F0" w:val="clear"/>
          </w:tcPr>
          <w:p>
            <w:pPr>
              <w:jc w:val="center"/>
            </w:pPr>
            <w:r>
              <w:rPr>
                <w:rFonts w:ascii="Times New Roman" w:hAnsi="Times New Roman"/>
                <w:sz w:val="20"/>
              </w:rPr>
              <w:t>2 GW</w:t>
            </w:r>
          </w:p>
        </w:tc>
        <w:tc>
          <w:tcPr>
            <w:tcW w:type="dxa" w:w="1417"/>
            <w:shd w:fill="D6E4F0" w:val="clear"/>
          </w:tcPr>
          <w:p>
            <w:pPr>
              <w:jc w:val="center"/>
            </w:pPr>
            <w:r>
              <w:rPr>
                <w:rFonts w:ascii="Times New Roman" w:hAnsi="Times New Roman"/>
                <w:sz w:val="20"/>
              </w:rPr>
              <w:t>2024 (existing)</w:t>
            </w:r>
          </w:p>
        </w:tc>
        <w:tc>
          <w:tcPr>
            <w:tcW w:type="dxa" w:w="2551"/>
            <w:shd w:fill="D6E4F0" w:val="clear"/>
          </w:tcPr>
          <w:p>
            <w:pPr>
              <w:jc w:val="center"/>
            </w:pPr>
            <w:r>
              <w:rPr>
                <w:rFonts w:ascii="Times New Roman" w:hAnsi="Times New Roman"/>
                <w:sz w:val="20"/>
              </w:rPr>
              <w:t>Upgrade to N-type TOPCon line; increase capacity to 3 GW</w:t>
            </w:r>
          </w:p>
        </w:tc>
      </w:tr>
      <w:tr>
        <w:tc>
          <w:tcPr>
            <w:tcW w:type="dxa" w:w="1701"/>
          </w:tcPr>
          <w:p>
            <w:pPr>
              <w:jc w:val="center"/>
            </w:pPr>
            <w:r>
              <w:rPr>
                <w:rFonts w:ascii="Times New Roman" w:hAnsi="Times New Roman"/>
                <w:sz w:val="20"/>
              </w:rPr>
              <w:t>Vietnam (Binh Duong)</w:t>
            </w:r>
          </w:p>
        </w:tc>
        <w:tc>
          <w:tcPr>
            <w:tcW w:type="dxa" w:w="1417"/>
          </w:tcPr>
          <w:p>
            <w:pPr>
              <w:jc w:val="center"/>
            </w:pPr>
            <w:r>
              <w:rPr>
                <w:rFonts w:ascii="Times New Roman" w:hAnsi="Times New Roman"/>
                <w:sz w:val="20"/>
              </w:rPr>
              <w:t>Wafer + Cell</w:t>
            </w:r>
          </w:p>
        </w:tc>
        <w:tc>
          <w:tcPr>
            <w:tcW w:type="dxa" w:w="1134"/>
          </w:tcPr>
          <w:p>
            <w:pPr>
              <w:jc w:val="center"/>
            </w:pPr>
            <w:r>
              <w:rPr>
                <w:rFonts w:ascii="Times New Roman" w:hAnsi="Times New Roman"/>
                <w:sz w:val="20"/>
              </w:rPr>
              <w:t>3 GW wafer, 2 GW cell</w:t>
            </w:r>
          </w:p>
        </w:tc>
        <w:tc>
          <w:tcPr>
            <w:tcW w:type="dxa" w:w="1417"/>
          </w:tcPr>
          <w:p>
            <w:pPr>
              <w:jc w:val="center"/>
            </w:pPr>
            <w:r>
              <w:rPr>
                <w:rFonts w:ascii="Times New Roman" w:hAnsi="Times New Roman"/>
                <w:sz w:val="20"/>
              </w:rPr>
              <w:t>2024 (existing)</w:t>
            </w:r>
          </w:p>
        </w:tc>
        <w:tc>
          <w:tcPr>
            <w:tcW w:type="dxa" w:w="2551"/>
          </w:tcPr>
          <w:p>
            <w:pPr>
              <w:jc w:val="center"/>
            </w:pPr>
            <w:r>
              <w:rPr>
                <w:rFonts w:ascii="Times New Roman" w:hAnsi="Times New Roman"/>
                <w:sz w:val="20"/>
              </w:rPr>
              <w:t>Expand cell capacity to 3 GW; add N-type capability</w:t>
            </w:r>
          </w:p>
        </w:tc>
      </w:tr>
      <w:tr>
        <w:tc>
          <w:tcPr>
            <w:tcW w:type="dxa" w:w="1701"/>
            <w:shd w:fill="D6E4F0" w:val="clear"/>
          </w:tcPr>
          <w:p>
            <w:pPr>
              <w:jc w:val="center"/>
            </w:pPr>
            <w:r>
              <w:rPr>
                <w:rFonts w:ascii="Times New Roman" w:hAnsi="Times New Roman"/>
                <w:sz w:val="20"/>
              </w:rPr>
              <w:t>UAE (Jebel Ali FTZ)</w:t>
            </w:r>
          </w:p>
        </w:tc>
        <w:tc>
          <w:tcPr>
            <w:tcW w:type="dxa" w:w="1417"/>
            <w:shd w:fill="D6E4F0" w:val="clear"/>
          </w:tcPr>
          <w:p>
            <w:pPr>
              <w:jc w:val="center"/>
            </w:pPr>
            <w:r>
              <w:rPr>
                <w:rFonts w:ascii="Times New Roman" w:hAnsi="Times New Roman"/>
                <w:sz w:val="20"/>
              </w:rPr>
              <w:t>Module assembly</w:t>
            </w:r>
          </w:p>
        </w:tc>
        <w:tc>
          <w:tcPr>
            <w:tcW w:type="dxa" w:w="1134"/>
            <w:shd w:fill="D6E4F0" w:val="clear"/>
          </w:tcPr>
          <w:p>
            <w:pPr>
              <w:jc w:val="center"/>
            </w:pPr>
            <w:r>
              <w:rPr>
                <w:rFonts w:ascii="Times New Roman" w:hAnsi="Times New Roman"/>
                <w:sz w:val="20"/>
              </w:rPr>
              <w:t>2 GW</w:t>
            </w:r>
          </w:p>
        </w:tc>
        <w:tc>
          <w:tcPr>
            <w:tcW w:type="dxa" w:w="1417"/>
            <w:shd w:fill="D6E4F0" w:val="clear"/>
          </w:tcPr>
          <w:p>
            <w:pPr>
              <w:jc w:val="center"/>
            </w:pPr>
            <w:r>
              <w:rPr>
                <w:rFonts w:ascii="Times New Roman" w:hAnsi="Times New Roman"/>
                <w:sz w:val="20"/>
              </w:rPr>
              <w:t>2026 Q2 (planned)</w:t>
            </w:r>
          </w:p>
        </w:tc>
        <w:tc>
          <w:tcPr>
            <w:tcW w:type="dxa" w:w="2551"/>
            <w:shd w:fill="D6E4F0" w:val="clear"/>
          </w:tcPr>
          <w:p>
            <w:pPr>
              <w:jc w:val="center"/>
            </w:pPr>
            <w:r>
              <w:rPr>
                <w:rFonts w:ascii="Times New Roman" w:hAnsi="Times New Roman"/>
                <w:sz w:val="20"/>
              </w:rPr>
              <w:t>Serve Middle East + Africa markets; zero customs duty within GCC</w:t>
            </w:r>
          </w:p>
        </w:tc>
      </w:tr>
      <w:tr>
        <w:tc>
          <w:tcPr>
            <w:tcW w:type="dxa" w:w="1701"/>
          </w:tcPr>
          <w:p>
            <w:pPr>
              <w:jc w:val="center"/>
            </w:pPr>
            <w:r>
              <w:rPr>
                <w:rFonts w:ascii="Times New Roman" w:hAnsi="Times New Roman"/>
                <w:sz w:val="20"/>
              </w:rPr>
              <w:t>Brazil (Manaus FTZ)</w:t>
            </w:r>
          </w:p>
        </w:tc>
        <w:tc>
          <w:tcPr>
            <w:tcW w:type="dxa" w:w="1417"/>
          </w:tcPr>
          <w:p>
            <w:pPr>
              <w:jc w:val="center"/>
            </w:pPr>
            <w:r>
              <w:rPr>
                <w:rFonts w:ascii="Times New Roman" w:hAnsi="Times New Roman"/>
                <w:sz w:val="20"/>
              </w:rPr>
              <w:t>Module assembly</w:t>
            </w:r>
          </w:p>
        </w:tc>
        <w:tc>
          <w:tcPr>
            <w:tcW w:type="dxa" w:w="1134"/>
          </w:tcPr>
          <w:p>
            <w:pPr>
              <w:jc w:val="center"/>
            </w:pPr>
            <w:r>
              <w:rPr>
                <w:rFonts w:ascii="Times New Roman" w:hAnsi="Times New Roman"/>
                <w:sz w:val="20"/>
              </w:rPr>
              <w:t>1.5 GW</w:t>
            </w:r>
          </w:p>
        </w:tc>
        <w:tc>
          <w:tcPr>
            <w:tcW w:type="dxa" w:w="1417"/>
          </w:tcPr>
          <w:p>
            <w:pPr>
              <w:jc w:val="center"/>
            </w:pPr>
            <w:r>
              <w:rPr>
                <w:rFonts w:ascii="Times New Roman" w:hAnsi="Times New Roman"/>
                <w:sz w:val="20"/>
              </w:rPr>
              <w:t>2026 Q4 (planned)</w:t>
            </w:r>
          </w:p>
        </w:tc>
        <w:tc>
          <w:tcPr>
            <w:tcW w:type="dxa" w:w="2551"/>
          </w:tcPr>
          <w:p>
            <w:pPr>
              <w:jc w:val="center"/>
            </w:pPr>
            <w:r>
              <w:rPr>
                <w:rFonts w:ascii="Times New Roman" w:hAnsi="Times New Roman"/>
                <w:sz w:val="20"/>
              </w:rPr>
              <w:t>Serve Latin America; benefit from FTZ tax incentives</w:t>
            </w:r>
          </w:p>
        </w:tc>
      </w:tr>
      <w:tr>
        <w:tc>
          <w:tcPr>
            <w:tcW w:type="dxa" w:w="1701"/>
            <w:shd w:fill="D6E4F0" w:val="clear"/>
          </w:tcPr>
          <w:p>
            <w:pPr>
              <w:jc w:val="center"/>
            </w:pPr>
            <w:r>
              <w:rPr>
                <w:rFonts w:ascii="Times New Roman" w:hAnsi="Times New Roman"/>
                <w:sz w:val="20"/>
              </w:rPr>
              <w:t>India (Joint Venture)</w:t>
            </w:r>
          </w:p>
        </w:tc>
        <w:tc>
          <w:tcPr>
            <w:tcW w:type="dxa" w:w="1417"/>
            <w:shd w:fill="D6E4F0" w:val="clear"/>
          </w:tcPr>
          <w:p>
            <w:pPr>
              <w:jc w:val="center"/>
            </w:pPr>
            <w:r>
              <w:rPr>
                <w:rFonts w:ascii="Times New Roman" w:hAnsi="Times New Roman"/>
                <w:sz w:val="20"/>
              </w:rPr>
              <w:t>CKD assembly</w:t>
            </w:r>
          </w:p>
        </w:tc>
        <w:tc>
          <w:tcPr>
            <w:tcW w:type="dxa" w:w="1134"/>
            <w:shd w:fill="D6E4F0" w:val="clear"/>
          </w:tcPr>
          <w:p>
            <w:pPr>
              <w:jc w:val="center"/>
            </w:pPr>
            <w:r>
              <w:rPr>
                <w:rFonts w:ascii="Times New Roman" w:hAnsi="Times New Roman"/>
                <w:sz w:val="20"/>
              </w:rPr>
              <w:t>2 GW</w:t>
            </w:r>
          </w:p>
        </w:tc>
        <w:tc>
          <w:tcPr>
            <w:tcW w:type="dxa" w:w="1417"/>
            <w:shd w:fill="D6E4F0" w:val="clear"/>
          </w:tcPr>
          <w:p>
            <w:pPr>
              <w:jc w:val="center"/>
            </w:pPr>
            <w:r>
              <w:rPr>
                <w:rFonts w:ascii="Times New Roman" w:hAnsi="Times New Roman"/>
                <w:sz w:val="20"/>
              </w:rPr>
              <w:t>2027 Q1 (planned)</w:t>
            </w:r>
          </w:p>
        </w:tc>
        <w:tc>
          <w:tcPr>
            <w:tcW w:type="dxa" w:w="2551"/>
            <w:shd w:fill="D6E4F0" w:val="clear"/>
          </w:tcPr>
          <w:p>
            <w:pPr>
              <w:jc w:val="center"/>
            </w:pPr>
            <w:r>
              <w:rPr>
                <w:rFonts w:ascii="Times New Roman" w:hAnsi="Times New Roman"/>
                <w:sz w:val="20"/>
              </w:rPr>
              <w:t>Partner with local company; bypass 40% BCD</w:t>
            </w:r>
          </w:p>
        </w:tc>
      </w:tr>
    </w:tbl>
    <w:p/>
    <w:p>
      <w:pPr>
        <w:pStyle w:val="Heading2"/>
      </w:pPr>
      <w:r>
        <w:rPr>
          <w:rFonts w:ascii="Times New Roman" w:hAnsi="Times New Roman"/>
          <w:color w:val="000000"/>
        </w:rPr>
        <w:t>5.4 Strategy 4: Digital Cost Optimization</w:t>
      </w:r>
    </w:p>
    <w:p>
      <w:pPr>
        <w:pStyle w:val="ListBullet"/>
        <w:spacing w:line="360" w:lineRule="auto"/>
        <w:ind w:left="720"/>
      </w:pPr>
      <w:r>
        <w:rPr>
          <w:rFonts w:ascii="Times New Roman" w:hAnsi="Times New Roman"/>
          <w:sz w:val="24"/>
        </w:rPr>
        <w:t>AI-driven production scheduling: Implement machine learning algorithms to optimize production scheduling across all factories, reducing energy consumption by 8–12% (critical for CBAM compliance and cost reduction).</w:t>
      </w:r>
    </w:p>
    <w:p>
      <w:pPr>
        <w:pStyle w:val="ListBullet"/>
        <w:spacing w:line="360" w:lineRule="auto"/>
        <w:ind w:left="720"/>
      </w:pPr>
      <w:r>
        <w:rPr>
          <w:rFonts w:ascii="Times New Roman" w:hAnsi="Times New Roman"/>
          <w:sz w:val="24"/>
        </w:rPr>
        <w:t>Smart procurement: Deploy a digital procurement platform that tracks polysilicon, glass, and aluminum prices in real-time, enabling forward purchasing at optimal price points. Target: reduce material costs by 5%.</w:t>
      </w:r>
    </w:p>
    <w:p>
      <w:pPr>
        <w:pStyle w:val="ListBullet"/>
        <w:spacing w:line="360" w:lineRule="auto"/>
        <w:ind w:left="720"/>
      </w:pPr>
      <w:r>
        <w:rPr>
          <w:rFonts w:ascii="Times New Roman" w:hAnsi="Times New Roman"/>
          <w:sz w:val="24"/>
        </w:rPr>
        <w:t>Logistics optimization: Use AI to optimize shipping routes and container utilization. Target: reduce logistics costs by 10% through better route planning and consolidated shipping.</w:t>
      </w:r>
    </w:p>
    <w:p>
      <w:pPr>
        <w:pStyle w:val="Heading1"/>
      </w:pPr>
      <w:r>
        <w:rPr>
          <w:rFonts w:ascii="Times New Roman" w:hAnsi="Times New Roman"/>
          <w:color w:val="000000"/>
        </w:rPr>
        <w:t>6. Financial Impact Projection</w:t>
      </w:r>
    </w:p>
    <w:p>
      <w:pPr>
        <w:spacing w:line="360" w:lineRule="auto"/>
      </w:pPr>
      <w:r>
        <w:rPr>
          <w:rFonts w:ascii="Times New Roman" w:hAnsi="Times New Roman"/>
          <w:b w:val="0"/>
          <w:sz w:val="24"/>
        </w:rPr>
        <w:t>The following projections are based on the assumption that all four strategies are implemented on schedule and that the global PV industry cycle begins to recover in 2026–2027.</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268"/>
            <w:shd w:fill="1F4E79" w:val="clear"/>
          </w:tcPr>
          <w:p>
            <w:pPr>
              <w:jc w:val="center"/>
            </w:pPr>
            <w:r>
              <w:rPr>
                <w:rFonts w:ascii="Times New Roman" w:hAnsi="Times New Roman"/>
                <w:b/>
                <w:color w:val="FFFFFF"/>
                <w:sz w:val="20"/>
              </w:rPr>
              <w:t>Metric</w:t>
            </w:r>
          </w:p>
        </w:tc>
        <w:tc>
          <w:tcPr>
            <w:tcW w:type="dxa" w:w="1701"/>
            <w:shd w:fill="1F4E79" w:val="clear"/>
          </w:tcPr>
          <w:p>
            <w:pPr>
              <w:jc w:val="center"/>
            </w:pPr>
            <w:r>
              <w:rPr>
                <w:rFonts w:ascii="Times New Roman" w:hAnsi="Times New Roman"/>
                <w:b/>
                <w:color w:val="FFFFFF"/>
                <w:sz w:val="20"/>
              </w:rPr>
              <w:t>2024 (Actual)</w:t>
            </w:r>
          </w:p>
        </w:tc>
        <w:tc>
          <w:tcPr>
            <w:tcW w:type="dxa" w:w="1701"/>
            <w:shd w:fill="1F4E79" w:val="clear"/>
          </w:tcPr>
          <w:p>
            <w:pPr>
              <w:jc w:val="center"/>
            </w:pPr>
            <w:r>
              <w:rPr>
                <w:rFonts w:ascii="Times New Roman" w:hAnsi="Times New Roman"/>
                <w:b/>
                <w:color w:val="FFFFFF"/>
                <w:sz w:val="20"/>
              </w:rPr>
              <w:t>2025E</w:t>
            </w:r>
          </w:p>
        </w:tc>
        <w:tc>
          <w:tcPr>
            <w:tcW w:type="dxa" w:w="1701"/>
            <w:shd w:fill="1F4E79" w:val="clear"/>
          </w:tcPr>
          <w:p>
            <w:pPr>
              <w:jc w:val="center"/>
            </w:pPr>
            <w:r>
              <w:rPr>
                <w:rFonts w:ascii="Times New Roman" w:hAnsi="Times New Roman"/>
                <w:b/>
                <w:color w:val="FFFFFF"/>
                <w:sz w:val="20"/>
              </w:rPr>
              <w:t>2027E</w:t>
            </w:r>
          </w:p>
        </w:tc>
        <w:tc>
          <w:tcPr>
            <w:tcW w:type="dxa" w:w="2268"/>
            <w:shd w:fill="1F4E79" w:val="clear"/>
          </w:tcPr>
          <w:p>
            <w:pPr>
              <w:jc w:val="center"/>
            </w:pPr>
            <w:r>
              <w:rPr>
                <w:rFonts w:ascii="Times New Roman" w:hAnsi="Times New Roman"/>
                <w:b/>
                <w:color w:val="FFFFFF"/>
                <w:sz w:val="20"/>
              </w:rPr>
              <w:t>Change</w:t>
            </w:r>
          </w:p>
        </w:tc>
      </w:tr>
      <w:tr>
        <w:tc>
          <w:tcPr>
            <w:tcW w:type="dxa" w:w="2268"/>
            <w:shd w:fill="D6E4F0" w:val="clear"/>
          </w:tcPr>
          <w:p>
            <w:pPr>
              <w:jc w:val="center"/>
            </w:pPr>
            <w:r>
              <w:rPr>
                <w:rFonts w:ascii="Times New Roman" w:hAnsi="Times New Roman"/>
                <w:sz w:val="20"/>
              </w:rPr>
              <w:t>Overseas Revenue (RMB M)</w:t>
            </w:r>
          </w:p>
        </w:tc>
        <w:tc>
          <w:tcPr>
            <w:tcW w:type="dxa" w:w="1701"/>
            <w:shd w:fill="D6E4F0" w:val="clear"/>
          </w:tcPr>
          <w:p>
            <w:pPr>
              <w:jc w:val="center"/>
            </w:pPr>
            <w:r>
              <w:rPr>
                <w:rFonts w:ascii="Times New Roman" w:hAnsi="Times New Roman"/>
                <w:sz w:val="20"/>
              </w:rPr>
              <w:t>38,000</w:t>
            </w:r>
          </w:p>
        </w:tc>
        <w:tc>
          <w:tcPr>
            <w:tcW w:type="dxa" w:w="1701"/>
            <w:shd w:fill="D6E4F0" w:val="clear"/>
          </w:tcPr>
          <w:p>
            <w:pPr>
              <w:jc w:val="center"/>
            </w:pPr>
            <w:r>
              <w:rPr>
                <w:rFonts w:ascii="Times New Roman" w:hAnsi="Times New Roman"/>
                <w:sz w:val="20"/>
              </w:rPr>
              <w:t>42,600</w:t>
            </w:r>
          </w:p>
        </w:tc>
        <w:tc>
          <w:tcPr>
            <w:tcW w:type="dxa" w:w="1701"/>
            <w:shd w:fill="D6E4F0" w:val="clear"/>
          </w:tcPr>
          <w:p>
            <w:pPr>
              <w:jc w:val="center"/>
            </w:pPr>
            <w:r>
              <w:rPr>
                <w:rFonts w:ascii="Times New Roman" w:hAnsi="Times New Roman"/>
                <w:sz w:val="20"/>
              </w:rPr>
              <w:t>49,000</w:t>
            </w:r>
          </w:p>
        </w:tc>
        <w:tc>
          <w:tcPr>
            <w:tcW w:type="dxa" w:w="2268"/>
            <w:shd w:fill="D6E4F0" w:val="clear"/>
          </w:tcPr>
          <w:p>
            <w:pPr>
              <w:jc w:val="center"/>
            </w:pPr>
            <w:r>
              <w:rPr>
                <w:rFonts w:ascii="Times New Roman" w:hAnsi="Times New Roman"/>
                <w:sz w:val="20"/>
              </w:rPr>
              <w:t>+15% CAGR</w:t>
            </w:r>
          </w:p>
        </w:tc>
      </w:tr>
      <w:tr>
        <w:tc>
          <w:tcPr>
            <w:tcW w:type="dxa" w:w="2268"/>
          </w:tcPr>
          <w:p>
            <w:pPr>
              <w:jc w:val="center"/>
            </w:pPr>
            <w:r>
              <w:rPr>
                <w:rFonts w:ascii="Times New Roman" w:hAnsi="Times New Roman"/>
                <w:sz w:val="20"/>
              </w:rPr>
              <w:t>MALA Revenue Share</w:t>
            </w:r>
          </w:p>
        </w:tc>
        <w:tc>
          <w:tcPr>
            <w:tcW w:type="dxa" w:w="1701"/>
          </w:tcPr>
          <w:p>
            <w:pPr>
              <w:jc w:val="center"/>
            </w:pPr>
            <w:r>
              <w:rPr>
                <w:rFonts w:ascii="Times New Roman" w:hAnsi="Times New Roman"/>
                <w:sz w:val="20"/>
              </w:rPr>
              <w:t>10%</w:t>
            </w:r>
          </w:p>
        </w:tc>
        <w:tc>
          <w:tcPr>
            <w:tcW w:type="dxa" w:w="1701"/>
          </w:tcPr>
          <w:p>
            <w:pPr>
              <w:jc w:val="center"/>
            </w:pPr>
            <w:r>
              <w:rPr>
                <w:rFonts w:ascii="Times New Roman" w:hAnsi="Times New Roman"/>
                <w:sz w:val="20"/>
              </w:rPr>
              <w:t>18%</w:t>
            </w:r>
          </w:p>
        </w:tc>
        <w:tc>
          <w:tcPr>
            <w:tcW w:type="dxa" w:w="1701"/>
          </w:tcPr>
          <w:p>
            <w:pPr>
              <w:jc w:val="center"/>
            </w:pPr>
            <w:r>
              <w:rPr>
                <w:rFonts w:ascii="Times New Roman" w:hAnsi="Times New Roman"/>
                <w:sz w:val="20"/>
              </w:rPr>
              <w:t>30%</w:t>
            </w:r>
          </w:p>
        </w:tc>
        <w:tc>
          <w:tcPr>
            <w:tcW w:type="dxa" w:w="2268"/>
          </w:tcPr>
          <w:p>
            <w:pPr>
              <w:jc w:val="center"/>
            </w:pPr>
            <w:r>
              <w:rPr>
                <w:rFonts w:ascii="Times New Roman" w:hAnsi="Times New Roman"/>
                <w:sz w:val="20"/>
              </w:rPr>
              <w:t>+20pp</w:t>
            </w:r>
          </w:p>
        </w:tc>
      </w:tr>
      <w:tr>
        <w:tc>
          <w:tcPr>
            <w:tcW w:type="dxa" w:w="2268"/>
            <w:shd w:fill="D6E4F0" w:val="clear"/>
          </w:tcPr>
          <w:p>
            <w:pPr>
              <w:jc w:val="center"/>
            </w:pPr>
            <w:r>
              <w:rPr>
                <w:rFonts w:ascii="Times New Roman" w:hAnsi="Times New Roman"/>
                <w:sz w:val="20"/>
              </w:rPr>
              <w:t>OBM/Module Share of Revenue</w:t>
            </w:r>
          </w:p>
        </w:tc>
        <w:tc>
          <w:tcPr>
            <w:tcW w:type="dxa" w:w="1701"/>
            <w:shd w:fill="D6E4F0" w:val="clear"/>
          </w:tcPr>
          <w:p>
            <w:pPr>
              <w:jc w:val="center"/>
            </w:pPr>
            <w:r>
              <w:rPr>
                <w:rFonts w:ascii="Times New Roman" w:hAnsi="Times New Roman"/>
                <w:sz w:val="20"/>
              </w:rPr>
              <w:t>55%</w:t>
            </w:r>
          </w:p>
        </w:tc>
        <w:tc>
          <w:tcPr>
            <w:tcW w:type="dxa" w:w="1701"/>
            <w:shd w:fill="D6E4F0" w:val="clear"/>
          </w:tcPr>
          <w:p>
            <w:pPr>
              <w:jc w:val="center"/>
            </w:pPr>
            <w:r>
              <w:rPr>
                <w:rFonts w:ascii="Times New Roman" w:hAnsi="Times New Roman"/>
                <w:sz w:val="20"/>
              </w:rPr>
              <w:t>65%</w:t>
            </w:r>
          </w:p>
        </w:tc>
        <w:tc>
          <w:tcPr>
            <w:tcW w:type="dxa" w:w="1701"/>
            <w:shd w:fill="D6E4F0" w:val="clear"/>
          </w:tcPr>
          <w:p>
            <w:pPr>
              <w:jc w:val="center"/>
            </w:pPr>
            <w:r>
              <w:rPr>
                <w:rFonts w:ascii="Times New Roman" w:hAnsi="Times New Roman"/>
                <w:sz w:val="20"/>
              </w:rPr>
              <w:t>75%</w:t>
            </w:r>
          </w:p>
        </w:tc>
        <w:tc>
          <w:tcPr>
            <w:tcW w:type="dxa" w:w="2268"/>
            <w:shd w:fill="D6E4F0" w:val="clear"/>
          </w:tcPr>
          <w:p>
            <w:pPr>
              <w:jc w:val="center"/>
            </w:pPr>
            <w:r>
              <w:rPr>
                <w:rFonts w:ascii="Times New Roman" w:hAnsi="Times New Roman"/>
                <w:sz w:val="20"/>
              </w:rPr>
              <w:t>+20pp</w:t>
            </w:r>
          </w:p>
        </w:tc>
      </w:tr>
      <w:tr>
        <w:tc>
          <w:tcPr>
            <w:tcW w:type="dxa" w:w="2268"/>
          </w:tcPr>
          <w:p>
            <w:pPr>
              <w:jc w:val="center"/>
            </w:pPr>
            <w:r>
              <w:rPr>
                <w:rFonts w:ascii="Times New Roman" w:hAnsi="Times New Roman"/>
                <w:sz w:val="20"/>
              </w:rPr>
              <w:t>N-type Module Share</w:t>
            </w:r>
          </w:p>
        </w:tc>
        <w:tc>
          <w:tcPr>
            <w:tcW w:type="dxa" w:w="1701"/>
          </w:tcPr>
          <w:p>
            <w:pPr>
              <w:jc w:val="center"/>
            </w:pPr>
            <w:r>
              <w:rPr>
                <w:rFonts w:ascii="Times New Roman" w:hAnsi="Times New Roman"/>
                <w:sz w:val="20"/>
              </w:rPr>
              <w:t>30%</w:t>
            </w:r>
          </w:p>
        </w:tc>
        <w:tc>
          <w:tcPr>
            <w:tcW w:type="dxa" w:w="1701"/>
          </w:tcPr>
          <w:p>
            <w:pPr>
              <w:jc w:val="center"/>
            </w:pPr>
            <w:r>
              <w:rPr>
                <w:rFonts w:ascii="Times New Roman" w:hAnsi="Times New Roman"/>
                <w:sz w:val="20"/>
              </w:rPr>
              <w:t>45%</w:t>
            </w:r>
          </w:p>
        </w:tc>
        <w:tc>
          <w:tcPr>
            <w:tcW w:type="dxa" w:w="1701"/>
          </w:tcPr>
          <w:p>
            <w:pPr>
              <w:jc w:val="center"/>
            </w:pPr>
            <w:r>
              <w:rPr>
                <w:rFonts w:ascii="Times New Roman" w:hAnsi="Times New Roman"/>
                <w:sz w:val="20"/>
              </w:rPr>
              <w:t>60%</w:t>
            </w:r>
          </w:p>
        </w:tc>
        <w:tc>
          <w:tcPr>
            <w:tcW w:type="dxa" w:w="2268"/>
          </w:tcPr>
          <w:p>
            <w:pPr>
              <w:jc w:val="center"/>
            </w:pPr>
            <w:r>
              <w:rPr>
                <w:rFonts w:ascii="Times New Roman" w:hAnsi="Times New Roman"/>
                <w:sz w:val="20"/>
              </w:rPr>
              <w:t>+30pp</w:t>
            </w:r>
          </w:p>
        </w:tc>
      </w:tr>
      <w:tr>
        <w:tc>
          <w:tcPr>
            <w:tcW w:type="dxa" w:w="2268"/>
            <w:shd w:fill="D6E4F0" w:val="clear"/>
          </w:tcPr>
          <w:p>
            <w:pPr>
              <w:jc w:val="center"/>
            </w:pPr>
            <w:r>
              <w:rPr>
                <w:rFonts w:ascii="Times New Roman" w:hAnsi="Times New Roman"/>
                <w:sz w:val="20"/>
              </w:rPr>
              <w:t>Gross Margin (%)</w:t>
            </w:r>
          </w:p>
        </w:tc>
        <w:tc>
          <w:tcPr>
            <w:tcW w:type="dxa" w:w="1701"/>
            <w:shd w:fill="D6E4F0" w:val="clear"/>
          </w:tcPr>
          <w:p>
            <w:pPr>
              <w:jc w:val="center"/>
            </w:pPr>
            <w:r>
              <w:rPr>
                <w:rFonts w:ascii="Times New Roman" w:hAnsi="Times New Roman"/>
                <w:sz w:val="20"/>
              </w:rPr>
              <w:t>5.3%</w:t>
            </w:r>
          </w:p>
        </w:tc>
        <w:tc>
          <w:tcPr>
            <w:tcW w:type="dxa" w:w="1701"/>
            <w:shd w:fill="D6E4F0" w:val="clear"/>
          </w:tcPr>
          <w:p>
            <w:pPr>
              <w:jc w:val="center"/>
            </w:pPr>
            <w:r>
              <w:rPr>
                <w:rFonts w:ascii="Times New Roman" w:hAnsi="Times New Roman"/>
                <w:sz w:val="20"/>
              </w:rPr>
              <w:t>10.0%</w:t>
            </w:r>
          </w:p>
        </w:tc>
        <w:tc>
          <w:tcPr>
            <w:tcW w:type="dxa" w:w="1701"/>
            <w:shd w:fill="D6E4F0" w:val="clear"/>
          </w:tcPr>
          <w:p>
            <w:pPr>
              <w:jc w:val="center"/>
            </w:pPr>
            <w:r>
              <w:rPr>
                <w:rFonts w:ascii="Times New Roman" w:hAnsi="Times New Roman"/>
                <w:sz w:val="20"/>
              </w:rPr>
              <w:t>14.5%</w:t>
            </w:r>
          </w:p>
        </w:tc>
        <w:tc>
          <w:tcPr>
            <w:tcW w:type="dxa" w:w="2268"/>
            <w:shd w:fill="D6E4F0" w:val="clear"/>
          </w:tcPr>
          <w:p>
            <w:pPr>
              <w:jc w:val="center"/>
            </w:pPr>
            <w:r>
              <w:rPr>
                <w:rFonts w:ascii="Times New Roman" w:hAnsi="Times New Roman"/>
                <w:sz w:val="20"/>
              </w:rPr>
              <w:t>+9.2pp</w:t>
            </w:r>
          </w:p>
        </w:tc>
      </w:tr>
      <w:tr>
        <w:tc>
          <w:tcPr>
            <w:tcW w:type="dxa" w:w="2268"/>
          </w:tcPr>
          <w:p>
            <w:pPr>
              <w:jc w:val="center"/>
            </w:pPr>
            <w:r>
              <w:rPr>
                <w:rFonts w:ascii="Times New Roman" w:hAnsi="Times New Roman"/>
                <w:sz w:val="20"/>
              </w:rPr>
              <w:t>Net Profit (RMB M)</w:t>
            </w:r>
          </w:p>
        </w:tc>
        <w:tc>
          <w:tcPr>
            <w:tcW w:type="dxa" w:w="1701"/>
          </w:tcPr>
          <w:p>
            <w:pPr>
              <w:jc w:val="center"/>
            </w:pPr>
            <w:r>
              <w:rPr>
                <w:rFonts w:ascii="Times New Roman" w:hAnsi="Times New Roman"/>
                <w:sz w:val="20"/>
              </w:rPr>
              <w:t>-8,200</w:t>
            </w:r>
          </w:p>
        </w:tc>
        <w:tc>
          <w:tcPr>
            <w:tcW w:type="dxa" w:w="1701"/>
          </w:tcPr>
          <w:p>
            <w:pPr>
              <w:jc w:val="center"/>
            </w:pPr>
            <w:r>
              <w:rPr>
                <w:rFonts w:ascii="Times New Roman" w:hAnsi="Times New Roman"/>
                <w:sz w:val="20"/>
              </w:rPr>
              <w:t>-2,500</w:t>
            </w:r>
          </w:p>
        </w:tc>
        <w:tc>
          <w:tcPr>
            <w:tcW w:type="dxa" w:w="1701"/>
          </w:tcPr>
          <w:p>
            <w:pPr>
              <w:jc w:val="center"/>
            </w:pPr>
            <w:r>
              <w:rPr>
                <w:rFonts w:ascii="Times New Roman" w:hAnsi="Times New Roman"/>
                <w:sz w:val="20"/>
              </w:rPr>
              <w:t>+3,000</w:t>
            </w:r>
          </w:p>
        </w:tc>
        <w:tc>
          <w:tcPr>
            <w:tcW w:type="dxa" w:w="2268"/>
          </w:tcPr>
          <w:p>
            <w:pPr>
              <w:jc w:val="center"/>
            </w:pPr>
            <w:r>
              <w:rPr>
                <w:rFonts w:ascii="Times New Roman" w:hAnsi="Times New Roman"/>
                <w:sz w:val="20"/>
              </w:rPr>
              <w:t>Return to profitability</w:t>
            </w:r>
          </w:p>
        </w:tc>
      </w:tr>
    </w:tbl>
    <w:p/>
    <w:p>
      <w:pPr>
        <w:spacing w:line="360" w:lineRule="auto"/>
      </w:pPr>
      <w:r>
        <w:rPr>
          <w:rFonts w:ascii="Times New Roman" w:hAnsi="Times New Roman"/>
          <w:b w:val="0"/>
          <w:sz w:val="24"/>
        </w:rPr>
        <w:t>Key assumptions: (1) Global PV demand grows at 12–15% annually; (2) POLYSILICON prices stabilize at RMB 40–50/kg; (3) US tariffs remain in place but emerging market growth offsets US revenue loss; (4) EU anti-subsidy duties are negotiated at moderate levels (15–20%) rather than punitive levels (40%+); (5) UAE and Brazil factories come online on schedule.</w:t>
      </w:r>
    </w:p>
    <w:p>
      <w:pPr>
        <w:pStyle w:val="Heading1"/>
      </w:pPr>
      <w:r>
        <w:rPr>
          <w:rFonts w:ascii="Times New Roman" w:hAnsi="Times New Roman"/>
          <w:color w:val="000000"/>
        </w:rPr>
        <w:t>7. Risk Assessment &amp; Mitigation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268"/>
            <w:shd w:fill="1F4E79" w:val="clear"/>
          </w:tcPr>
          <w:p>
            <w:pPr>
              <w:jc w:val="center"/>
            </w:pPr>
            <w:r>
              <w:rPr>
                <w:rFonts w:ascii="Times New Roman" w:hAnsi="Times New Roman"/>
                <w:b/>
                <w:color w:val="FFFFFF"/>
                <w:sz w:val="20"/>
              </w:rPr>
              <w:t>Risk</w:t>
            </w:r>
          </w:p>
        </w:tc>
        <w:tc>
          <w:tcPr>
            <w:tcW w:type="dxa" w:w="1134"/>
            <w:shd w:fill="1F4E79" w:val="clear"/>
          </w:tcPr>
          <w:p>
            <w:pPr>
              <w:jc w:val="center"/>
            </w:pPr>
            <w:r>
              <w:rPr>
                <w:rFonts w:ascii="Times New Roman" w:hAnsi="Times New Roman"/>
                <w:b/>
                <w:color w:val="FFFFFF"/>
                <w:sz w:val="20"/>
              </w:rPr>
              <w:t>Probability</w:t>
            </w:r>
          </w:p>
        </w:tc>
        <w:tc>
          <w:tcPr>
            <w:tcW w:type="dxa" w:w="1134"/>
            <w:shd w:fill="1F4E79" w:val="clear"/>
          </w:tcPr>
          <w:p>
            <w:pPr>
              <w:jc w:val="center"/>
            </w:pPr>
            <w:r>
              <w:rPr>
                <w:rFonts w:ascii="Times New Roman" w:hAnsi="Times New Roman"/>
                <w:b/>
                <w:color w:val="FFFFFF"/>
                <w:sz w:val="20"/>
              </w:rPr>
              <w:t>Impact</w:t>
            </w:r>
          </w:p>
        </w:tc>
        <w:tc>
          <w:tcPr>
            <w:tcW w:type="dxa" w:w="3402"/>
            <w:shd w:fill="1F4E79" w:val="clear"/>
          </w:tcPr>
          <w:p>
            <w:pPr>
              <w:jc w:val="center"/>
            </w:pPr>
            <w:r>
              <w:rPr>
                <w:rFonts w:ascii="Times New Roman" w:hAnsi="Times New Roman"/>
                <w:b/>
                <w:color w:val="FFFFFF"/>
                <w:sz w:val="20"/>
              </w:rPr>
              <w:t>Mitigation Strategy</w:t>
            </w:r>
          </w:p>
        </w:tc>
      </w:tr>
      <w:tr>
        <w:tc>
          <w:tcPr>
            <w:tcW w:type="dxa" w:w="2268"/>
            <w:shd w:fill="D6E4F0" w:val="clear"/>
          </w:tcPr>
          <w:p>
            <w:pPr>
              <w:jc w:val="center"/>
            </w:pPr>
            <w:r>
              <w:rPr>
                <w:rFonts w:ascii="Times New Roman" w:hAnsi="Times New Roman"/>
                <w:sz w:val="20"/>
              </w:rPr>
              <w:t>US further tightens SE Asia tariff rules</w:t>
            </w:r>
          </w:p>
        </w:tc>
        <w:tc>
          <w:tcPr>
            <w:tcW w:type="dxa" w:w="1134"/>
            <w:shd w:fill="D6E4F0" w:val="clear"/>
          </w:tcPr>
          <w:p>
            <w:pPr>
              <w:jc w:val="center"/>
            </w:pPr>
            <w:r>
              <w:rPr>
                <w:rFonts w:ascii="Times New Roman" w:hAnsi="Times New Roman"/>
                <w:sz w:val="20"/>
              </w:rPr>
              <w:t>Medium</w:t>
            </w:r>
          </w:p>
        </w:tc>
        <w:tc>
          <w:tcPr>
            <w:tcW w:type="dxa" w:w="1134"/>
            <w:shd w:fill="D6E4F0" w:val="clear"/>
          </w:tcPr>
          <w:p>
            <w:pPr>
              <w:jc w:val="center"/>
            </w:pPr>
            <w:r>
              <w:rPr>
                <w:rFonts w:ascii="Times New Roman" w:hAnsi="Times New Roman"/>
                <w:sz w:val="20"/>
              </w:rPr>
              <w:t>High</w:t>
            </w:r>
          </w:p>
        </w:tc>
        <w:tc>
          <w:tcPr>
            <w:tcW w:type="dxa" w:w="3402"/>
            <w:shd w:fill="D6E4F0" w:val="clear"/>
          </w:tcPr>
          <w:p>
            <w:pPr>
              <w:jc w:val="center"/>
            </w:pPr>
            <w:r>
              <w:rPr>
                <w:rFonts w:ascii="Times New Roman" w:hAnsi="Times New Roman"/>
                <w:sz w:val="20"/>
              </w:rPr>
              <w:t>Increase local content in Malaysia/Vietnam factories to &gt;60%; diversify into UAE/Brazil</w:t>
            </w:r>
          </w:p>
        </w:tc>
      </w:tr>
      <w:tr>
        <w:tc>
          <w:tcPr>
            <w:tcW w:type="dxa" w:w="2268"/>
          </w:tcPr>
          <w:p>
            <w:pPr>
              <w:jc w:val="center"/>
            </w:pPr>
            <w:r>
              <w:rPr>
                <w:rFonts w:ascii="Times New Roman" w:hAnsi="Times New Roman"/>
                <w:sz w:val="20"/>
              </w:rPr>
              <w:t>EU anti-subsidy duties exceed 30%</w:t>
            </w:r>
          </w:p>
        </w:tc>
        <w:tc>
          <w:tcPr>
            <w:tcW w:type="dxa" w:w="1134"/>
          </w:tcPr>
          <w:p>
            <w:pPr>
              <w:jc w:val="center"/>
            </w:pPr>
            <w:r>
              <w:rPr>
                <w:rFonts w:ascii="Times New Roman" w:hAnsi="Times New Roman"/>
                <w:sz w:val="20"/>
              </w:rPr>
              <w:t>High</w:t>
            </w:r>
          </w:p>
        </w:tc>
        <w:tc>
          <w:tcPr>
            <w:tcW w:type="dxa" w:w="1134"/>
          </w:tcPr>
          <w:p>
            <w:pPr>
              <w:jc w:val="center"/>
            </w:pPr>
            <w:r>
              <w:rPr>
                <w:rFonts w:ascii="Times New Roman" w:hAnsi="Times New Roman"/>
                <w:sz w:val="20"/>
              </w:rPr>
              <w:t>High</w:t>
            </w:r>
          </w:p>
        </w:tc>
        <w:tc>
          <w:tcPr>
            <w:tcW w:type="dxa" w:w="3402"/>
          </w:tcPr>
          <w:p>
            <w:pPr>
              <w:jc w:val="center"/>
            </w:pPr>
            <w:r>
              <w:rPr>
                <w:rFonts w:ascii="Times New Roman" w:hAnsi="Times New Roman"/>
                <w:sz w:val="20"/>
              </w:rPr>
              <w:t>Accelerate Hungary/EU-local assembly; negotiate minimum import price agreement</w:t>
            </w:r>
          </w:p>
        </w:tc>
      </w:tr>
      <w:tr>
        <w:tc>
          <w:tcPr>
            <w:tcW w:type="dxa" w:w="2268"/>
            <w:shd w:fill="D6E4F0" w:val="clear"/>
          </w:tcPr>
          <w:p>
            <w:pPr>
              <w:jc w:val="center"/>
            </w:pPr>
            <w:r>
              <w:rPr>
                <w:rFonts w:ascii="Times New Roman" w:hAnsi="Times New Roman"/>
                <w:sz w:val="20"/>
              </w:rPr>
              <w:t>CBAM expands to cover solar products</w:t>
            </w:r>
          </w:p>
        </w:tc>
        <w:tc>
          <w:tcPr>
            <w:tcW w:type="dxa" w:w="1134"/>
            <w:shd w:fill="D6E4F0" w:val="clear"/>
          </w:tcPr>
          <w:p>
            <w:pPr>
              <w:jc w:val="center"/>
            </w:pPr>
            <w:r>
              <w:rPr>
                <w:rFonts w:ascii="Times New Roman" w:hAnsi="Times New Roman"/>
                <w:sz w:val="20"/>
              </w:rPr>
              <w:t>Medium</w:t>
            </w:r>
          </w:p>
        </w:tc>
        <w:tc>
          <w:tcPr>
            <w:tcW w:type="dxa" w:w="1134"/>
            <w:shd w:fill="D6E4F0" w:val="clear"/>
          </w:tcPr>
          <w:p>
            <w:pPr>
              <w:jc w:val="center"/>
            </w:pPr>
            <w:r>
              <w:rPr>
                <w:rFonts w:ascii="Times New Roman" w:hAnsi="Times New Roman"/>
                <w:sz w:val="20"/>
              </w:rPr>
              <w:t>Medium</w:t>
            </w:r>
          </w:p>
        </w:tc>
        <w:tc>
          <w:tcPr>
            <w:tcW w:type="dxa" w:w="3402"/>
            <w:shd w:fill="D6E4F0" w:val="clear"/>
          </w:tcPr>
          <w:p>
            <w:pPr>
              <w:jc w:val="center"/>
            </w:pPr>
            <w:r>
              <w:rPr>
                <w:rFonts w:ascii="Times New Roman" w:hAnsi="Times New Roman"/>
                <w:sz w:val="20"/>
              </w:rPr>
              <w:t>Transition to renewable energy in all factories; publish carbon footprint data proactively</w:t>
            </w:r>
          </w:p>
        </w:tc>
      </w:tr>
      <w:tr>
        <w:tc>
          <w:tcPr>
            <w:tcW w:type="dxa" w:w="2268"/>
          </w:tcPr>
          <w:p>
            <w:pPr>
              <w:jc w:val="center"/>
            </w:pPr>
            <w:r>
              <w:rPr>
                <w:rFonts w:ascii="Times New Roman" w:hAnsi="Times New Roman"/>
                <w:sz w:val="20"/>
              </w:rPr>
              <w:t>Polysilicon price spike (&gt;RMB 80/kg)</w:t>
            </w:r>
          </w:p>
        </w:tc>
        <w:tc>
          <w:tcPr>
            <w:tcW w:type="dxa" w:w="1134"/>
          </w:tcPr>
          <w:p>
            <w:pPr>
              <w:jc w:val="center"/>
            </w:pPr>
            <w:r>
              <w:rPr>
                <w:rFonts w:ascii="Times New Roman" w:hAnsi="Times New Roman"/>
                <w:sz w:val="20"/>
              </w:rPr>
              <w:t>Low</w:t>
            </w:r>
          </w:p>
        </w:tc>
        <w:tc>
          <w:tcPr>
            <w:tcW w:type="dxa" w:w="1134"/>
          </w:tcPr>
          <w:p>
            <w:pPr>
              <w:jc w:val="center"/>
            </w:pPr>
            <w:r>
              <w:rPr>
                <w:rFonts w:ascii="Times New Roman" w:hAnsi="Times New Roman"/>
                <w:sz w:val="20"/>
              </w:rPr>
              <w:t>Medium</w:t>
            </w:r>
          </w:p>
        </w:tc>
        <w:tc>
          <w:tcPr>
            <w:tcW w:type="dxa" w:w="3402"/>
          </w:tcPr>
          <w:p>
            <w:pPr>
              <w:jc w:val="center"/>
            </w:pPr>
            <w:r>
              <w:rPr>
                <w:rFonts w:ascii="Times New Roman" w:hAnsi="Times New Roman"/>
                <w:sz w:val="20"/>
              </w:rPr>
              <w:t>Long-term supply agreements with Tongxiang, Daqo; vertical integration</w:t>
            </w:r>
          </w:p>
        </w:tc>
      </w:tr>
      <w:tr>
        <w:tc>
          <w:tcPr>
            <w:tcW w:type="dxa" w:w="2268"/>
            <w:shd w:fill="D6E4F0" w:val="clear"/>
          </w:tcPr>
          <w:p>
            <w:pPr>
              <w:jc w:val="center"/>
            </w:pPr>
            <w:r>
              <w:rPr>
                <w:rFonts w:ascii="Times New Roman" w:hAnsi="Times New Roman"/>
                <w:sz w:val="20"/>
              </w:rPr>
              <w:t>Emerging market currency depreciation</w:t>
            </w:r>
          </w:p>
        </w:tc>
        <w:tc>
          <w:tcPr>
            <w:tcW w:type="dxa" w:w="1134"/>
            <w:shd w:fill="D6E4F0" w:val="clear"/>
          </w:tcPr>
          <w:p>
            <w:pPr>
              <w:jc w:val="center"/>
            </w:pPr>
            <w:r>
              <w:rPr>
                <w:rFonts w:ascii="Times New Roman" w:hAnsi="Times New Roman"/>
                <w:sz w:val="20"/>
              </w:rPr>
              <w:t>High</w:t>
            </w:r>
          </w:p>
        </w:tc>
        <w:tc>
          <w:tcPr>
            <w:tcW w:type="dxa" w:w="1134"/>
            <w:shd w:fill="D6E4F0" w:val="clear"/>
          </w:tcPr>
          <w:p>
            <w:pPr>
              <w:jc w:val="center"/>
            </w:pPr>
            <w:r>
              <w:rPr>
                <w:rFonts w:ascii="Times New Roman" w:hAnsi="Times New Roman"/>
                <w:sz w:val="20"/>
              </w:rPr>
              <w:t>Medium</w:t>
            </w:r>
          </w:p>
        </w:tc>
        <w:tc>
          <w:tcPr>
            <w:tcW w:type="dxa" w:w="3402"/>
            <w:shd w:fill="D6E4F0" w:val="clear"/>
          </w:tcPr>
          <w:p>
            <w:pPr>
              <w:jc w:val="center"/>
            </w:pPr>
            <w:r>
              <w:rPr>
                <w:rFonts w:ascii="Times New Roman" w:hAnsi="Times New Roman"/>
                <w:sz w:val="20"/>
              </w:rPr>
              <w:t>Hedge 50% of FX exposure; price contracts in USD; local currency financing</w:t>
            </w:r>
          </w:p>
        </w:tc>
      </w:tr>
      <w:tr>
        <w:tc>
          <w:tcPr>
            <w:tcW w:type="dxa" w:w="2268"/>
          </w:tcPr>
          <w:p>
            <w:pPr>
              <w:jc w:val="center"/>
            </w:pPr>
            <w:r>
              <w:rPr>
                <w:rFonts w:ascii="Times New Roman" w:hAnsi="Times New Roman"/>
                <w:sz w:val="20"/>
              </w:rPr>
              <w:t>UAE/Brazil factory construction delays</w:t>
            </w:r>
          </w:p>
        </w:tc>
        <w:tc>
          <w:tcPr>
            <w:tcW w:type="dxa" w:w="1134"/>
          </w:tcPr>
          <w:p>
            <w:pPr>
              <w:jc w:val="center"/>
            </w:pPr>
            <w:r>
              <w:rPr>
                <w:rFonts w:ascii="Times New Roman" w:hAnsi="Times New Roman"/>
                <w:sz w:val="20"/>
              </w:rPr>
              <w:t>Medium</w:t>
            </w:r>
          </w:p>
        </w:tc>
        <w:tc>
          <w:tcPr>
            <w:tcW w:type="dxa" w:w="1134"/>
          </w:tcPr>
          <w:p>
            <w:pPr>
              <w:jc w:val="center"/>
            </w:pPr>
            <w:r>
              <w:rPr>
                <w:rFonts w:ascii="Times New Roman" w:hAnsi="Times New Roman"/>
                <w:sz w:val="20"/>
              </w:rPr>
              <w:t>Medium</w:t>
            </w:r>
          </w:p>
        </w:tc>
        <w:tc>
          <w:tcPr>
            <w:tcW w:type="dxa" w:w="3402"/>
          </w:tcPr>
          <w:p>
            <w:pPr>
              <w:jc w:val="center"/>
            </w:pPr>
            <w:r>
              <w:rPr>
                <w:rFonts w:ascii="Times New Roman" w:hAnsi="Times New Roman"/>
                <w:sz w:val="20"/>
              </w:rPr>
              <w:t>Engage EPC contractors with proven track record; build 6-month buffer into timeline</w:t>
            </w:r>
          </w:p>
        </w:tc>
      </w:tr>
      <w:tr>
        <w:tc>
          <w:tcPr>
            <w:tcW w:type="dxa" w:w="2268"/>
            <w:shd w:fill="D6E4F0" w:val="clear"/>
          </w:tcPr>
          <w:p>
            <w:pPr>
              <w:jc w:val="center"/>
            </w:pPr>
            <w:r>
              <w:rPr>
                <w:rFonts w:ascii="Times New Roman" w:hAnsi="Times New Roman"/>
                <w:sz w:val="20"/>
              </w:rPr>
              <w:t>Industry overcapacity persists beyond 2027</w:t>
            </w:r>
          </w:p>
        </w:tc>
        <w:tc>
          <w:tcPr>
            <w:tcW w:type="dxa" w:w="1134"/>
            <w:shd w:fill="D6E4F0" w:val="clear"/>
          </w:tcPr>
          <w:p>
            <w:pPr>
              <w:jc w:val="center"/>
            </w:pPr>
            <w:r>
              <w:rPr>
                <w:rFonts w:ascii="Times New Roman" w:hAnsi="Times New Roman"/>
                <w:sz w:val="20"/>
              </w:rPr>
              <w:t>Medium</w:t>
            </w:r>
          </w:p>
        </w:tc>
        <w:tc>
          <w:tcPr>
            <w:tcW w:type="dxa" w:w="1134"/>
            <w:shd w:fill="D6E4F0" w:val="clear"/>
          </w:tcPr>
          <w:p>
            <w:pPr>
              <w:jc w:val="center"/>
            </w:pPr>
            <w:r>
              <w:rPr>
                <w:rFonts w:ascii="Times New Roman" w:hAnsi="Times New Roman"/>
                <w:sz w:val="20"/>
              </w:rPr>
              <w:t>High</w:t>
            </w:r>
          </w:p>
        </w:tc>
        <w:tc>
          <w:tcPr>
            <w:tcW w:type="dxa" w:w="3402"/>
            <w:shd w:fill="D6E4F0" w:val="clear"/>
          </w:tcPr>
          <w:p>
            <w:pPr>
              <w:jc w:val="center"/>
            </w:pPr>
            <w:r>
              <w:rPr>
                <w:rFonts w:ascii="Times New Roman" w:hAnsi="Times New Roman"/>
                <w:sz w:val="20"/>
              </w:rPr>
              <w:t>Focus on differentiated N-type products; build DTC channel to reduce price sensitivity</w:t>
            </w:r>
          </w:p>
        </w:tc>
      </w:tr>
    </w:tbl>
    <w:p/>
    <w:p>
      <w:pPr>
        <w:pStyle w:val="Heading1"/>
      </w:pPr>
      <w:r>
        <w:rPr>
          <w:rFonts w:ascii="Times New Roman" w:hAnsi="Times New Roman"/>
          <w:color w:val="000000"/>
        </w:rPr>
        <w:t>8. Implementation Timeline</w:t>
      </w:r>
    </w:p>
    <w:tbl>
      <w:tblPr>
        <w:tblStyle w:val="TableGrid"/>
        <w:tblW w:type="auto" w:w="0"/>
        <w:jc w:val="center"/>
        <w:tblLook w:firstColumn="1" w:firstRow="1" w:lastColumn="0" w:lastRow="0" w:noHBand="0" w:noVBand="1" w:val="04A0"/>
      </w:tblPr>
      <w:tblGrid>
        <w:gridCol w:w="3120"/>
        <w:gridCol w:w="3120"/>
        <w:gridCol w:w="3120"/>
      </w:tblGrid>
      <w:tr>
        <w:tc>
          <w:tcPr>
            <w:tcW w:type="dxa" w:w="1417"/>
            <w:shd w:fill="1F4E79" w:val="clear"/>
          </w:tcPr>
          <w:p>
            <w:pPr>
              <w:jc w:val="center"/>
            </w:pPr>
            <w:r>
              <w:rPr>
                <w:rFonts w:ascii="Times New Roman" w:hAnsi="Times New Roman"/>
                <w:b/>
                <w:color w:val="FFFFFF"/>
                <w:sz w:val="20"/>
              </w:rPr>
              <w:t>Time</w:t>
            </w:r>
          </w:p>
        </w:tc>
        <w:tc>
          <w:tcPr>
            <w:tcW w:type="dxa" w:w="3969"/>
            <w:shd w:fill="1F4E79" w:val="clear"/>
          </w:tcPr>
          <w:p>
            <w:pPr>
              <w:jc w:val="center"/>
            </w:pPr>
            <w:r>
              <w:rPr>
                <w:rFonts w:ascii="Times New Roman" w:hAnsi="Times New Roman"/>
                <w:b/>
                <w:color w:val="FFFFFF"/>
                <w:sz w:val="20"/>
              </w:rPr>
              <w:t>Milestone</w:t>
            </w:r>
          </w:p>
        </w:tc>
        <w:tc>
          <w:tcPr>
            <w:tcW w:type="dxa" w:w="2268"/>
            <w:shd w:fill="1F4E79" w:val="clear"/>
          </w:tcPr>
          <w:p>
            <w:pPr>
              <w:jc w:val="center"/>
            </w:pPr>
            <w:r>
              <w:rPr>
                <w:rFonts w:ascii="Times New Roman" w:hAnsi="Times New Roman"/>
                <w:b/>
                <w:color w:val="FFFFFF"/>
                <w:sz w:val="20"/>
              </w:rPr>
              <w:t>Strategy Pillar</w:t>
            </w:r>
          </w:p>
        </w:tc>
      </w:tr>
      <w:tr>
        <w:tc>
          <w:tcPr>
            <w:tcW w:type="dxa" w:w="1417"/>
            <w:shd w:fill="D6E4F0" w:val="clear"/>
          </w:tcPr>
          <w:p>
            <w:pPr>
              <w:jc w:val="center"/>
            </w:pPr>
            <w:r>
              <w:rPr>
                <w:rFonts w:ascii="Times New Roman" w:hAnsi="Times New Roman"/>
                <w:sz w:val="20"/>
              </w:rPr>
              <w:t>2026 Q3</w:t>
            </w:r>
          </w:p>
        </w:tc>
        <w:tc>
          <w:tcPr>
            <w:tcW w:type="dxa" w:w="3969"/>
            <w:shd w:fill="D6E4F0" w:val="clear"/>
          </w:tcPr>
          <w:p>
            <w:pPr>
              <w:jc w:val="center"/>
            </w:pPr>
            <w:r>
              <w:rPr>
                <w:rFonts w:ascii="Times New Roman" w:hAnsi="Times New Roman"/>
                <w:sz w:val="20"/>
              </w:rPr>
              <w:t>Establish MALA regional sales team (Dubai HQ)</w:t>
            </w:r>
          </w:p>
        </w:tc>
        <w:tc>
          <w:tcPr>
            <w:tcW w:type="dxa" w:w="2268"/>
            <w:shd w:fill="D6E4F0" w:val="clear"/>
          </w:tcPr>
          <w:p>
            <w:pPr>
              <w:jc w:val="center"/>
            </w:pPr>
            <w:r>
              <w:rPr>
                <w:rFonts w:ascii="Times New Roman" w:hAnsi="Times New Roman"/>
                <w:sz w:val="20"/>
              </w:rPr>
              <w:t>Geographic Diversification</w:t>
            </w:r>
          </w:p>
        </w:tc>
      </w:tr>
      <w:tr>
        <w:tc>
          <w:tcPr>
            <w:tcW w:type="dxa" w:w="1417"/>
          </w:tcPr>
          <w:p>
            <w:pPr>
              <w:jc w:val="center"/>
            </w:pPr>
            <w:r>
              <w:rPr>
                <w:rFonts w:ascii="Times New Roman" w:hAnsi="Times New Roman"/>
                <w:sz w:val="20"/>
              </w:rPr>
              <w:t>2026 Q3</w:t>
            </w:r>
          </w:p>
        </w:tc>
        <w:tc>
          <w:tcPr>
            <w:tcW w:type="dxa" w:w="3969"/>
          </w:tcPr>
          <w:p>
            <w:pPr>
              <w:jc w:val="center"/>
            </w:pPr>
            <w:r>
              <w:rPr>
                <w:rFonts w:ascii="Times New Roman" w:hAnsi="Times New Roman"/>
                <w:sz w:val="20"/>
              </w:rPr>
              <w:t>Launch B2B e-commerce platform (beta)</w:t>
            </w:r>
          </w:p>
        </w:tc>
        <w:tc>
          <w:tcPr>
            <w:tcW w:type="dxa" w:w="2268"/>
          </w:tcPr>
          <w:p>
            <w:pPr>
              <w:jc w:val="center"/>
            </w:pPr>
            <w:r>
              <w:rPr>
                <w:rFonts w:ascii="Times New Roman" w:hAnsi="Times New Roman"/>
                <w:sz w:val="20"/>
              </w:rPr>
              <w:t>Channel Upgrade</w:t>
            </w:r>
          </w:p>
        </w:tc>
      </w:tr>
      <w:tr>
        <w:tc>
          <w:tcPr>
            <w:tcW w:type="dxa" w:w="1417"/>
            <w:shd w:fill="D6E4F0" w:val="clear"/>
          </w:tcPr>
          <w:p>
            <w:pPr>
              <w:jc w:val="center"/>
            </w:pPr>
            <w:r>
              <w:rPr>
                <w:rFonts w:ascii="Times New Roman" w:hAnsi="Times New Roman"/>
                <w:sz w:val="20"/>
              </w:rPr>
              <w:t>2026 Q3</w:t>
            </w:r>
          </w:p>
        </w:tc>
        <w:tc>
          <w:tcPr>
            <w:tcW w:type="dxa" w:w="3969"/>
            <w:shd w:fill="D6E4F0" w:val="clear"/>
          </w:tcPr>
          <w:p>
            <w:pPr>
              <w:jc w:val="center"/>
            </w:pPr>
            <w:r>
              <w:rPr>
                <w:rFonts w:ascii="Times New Roman" w:hAnsi="Times New Roman"/>
                <w:sz w:val="20"/>
              </w:rPr>
              <w:t>Begin UAE factory EPC contracting</w:t>
            </w:r>
          </w:p>
        </w:tc>
        <w:tc>
          <w:tcPr>
            <w:tcW w:type="dxa" w:w="2268"/>
            <w:shd w:fill="D6E4F0" w:val="clear"/>
          </w:tcPr>
          <w:p>
            <w:pPr>
              <w:jc w:val="center"/>
            </w:pPr>
            <w:r>
              <w:rPr>
                <w:rFonts w:ascii="Times New Roman" w:hAnsi="Times New Roman"/>
                <w:sz w:val="20"/>
              </w:rPr>
              <w:t>Supply Chain Localization</w:t>
            </w:r>
          </w:p>
        </w:tc>
      </w:tr>
      <w:tr>
        <w:tc>
          <w:tcPr>
            <w:tcW w:type="dxa" w:w="1417"/>
          </w:tcPr>
          <w:p>
            <w:pPr>
              <w:jc w:val="center"/>
            </w:pPr>
            <w:r>
              <w:rPr>
                <w:rFonts w:ascii="Times New Roman" w:hAnsi="Times New Roman"/>
                <w:sz w:val="20"/>
              </w:rPr>
              <w:t>2026 Q4</w:t>
            </w:r>
          </w:p>
        </w:tc>
        <w:tc>
          <w:tcPr>
            <w:tcW w:type="dxa" w:w="3969"/>
          </w:tcPr>
          <w:p>
            <w:pPr>
              <w:jc w:val="center"/>
            </w:pPr>
            <w:r>
              <w:rPr>
                <w:rFonts w:ascii="Times New Roman" w:hAnsi="Times New Roman"/>
                <w:sz w:val="20"/>
              </w:rPr>
              <w:t>Malaysia factory N-type TOPCon line upgrade</w:t>
            </w:r>
          </w:p>
        </w:tc>
        <w:tc>
          <w:tcPr>
            <w:tcW w:type="dxa" w:w="2268"/>
          </w:tcPr>
          <w:p>
            <w:pPr>
              <w:jc w:val="center"/>
            </w:pPr>
            <w:r>
              <w:rPr>
                <w:rFonts w:ascii="Times New Roman" w:hAnsi="Times New Roman"/>
                <w:sz w:val="20"/>
              </w:rPr>
              <w:t>Supply Chain Localization</w:t>
            </w:r>
          </w:p>
        </w:tc>
      </w:tr>
      <w:tr>
        <w:tc>
          <w:tcPr>
            <w:tcW w:type="dxa" w:w="1417"/>
            <w:shd w:fill="D6E4F0" w:val="clear"/>
          </w:tcPr>
          <w:p>
            <w:pPr>
              <w:jc w:val="center"/>
            </w:pPr>
            <w:r>
              <w:rPr>
                <w:rFonts w:ascii="Times New Roman" w:hAnsi="Times New Roman"/>
                <w:sz w:val="20"/>
              </w:rPr>
              <w:t>2026 Q4</w:t>
            </w:r>
          </w:p>
        </w:tc>
        <w:tc>
          <w:tcPr>
            <w:tcW w:type="dxa" w:w="3969"/>
            <w:shd w:fill="D6E4F0" w:val="clear"/>
          </w:tcPr>
          <w:p>
            <w:pPr>
              <w:jc w:val="center"/>
            </w:pPr>
            <w:r>
              <w:rPr>
                <w:rFonts w:ascii="Times New Roman" w:hAnsi="Times New Roman"/>
                <w:sz w:val="20"/>
              </w:rPr>
              <w:t>Brazil Manaus FTZ application submitted</w:t>
            </w:r>
          </w:p>
        </w:tc>
        <w:tc>
          <w:tcPr>
            <w:tcW w:type="dxa" w:w="2268"/>
            <w:shd w:fill="D6E4F0" w:val="clear"/>
          </w:tcPr>
          <w:p>
            <w:pPr>
              <w:jc w:val="center"/>
            </w:pPr>
            <w:r>
              <w:rPr>
                <w:rFonts w:ascii="Times New Roman" w:hAnsi="Times New Roman"/>
                <w:sz w:val="20"/>
              </w:rPr>
              <w:t>Supply Chain Localization</w:t>
            </w:r>
          </w:p>
        </w:tc>
      </w:tr>
      <w:tr>
        <w:tc>
          <w:tcPr>
            <w:tcW w:type="dxa" w:w="1417"/>
          </w:tcPr>
          <w:p>
            <w:pPr>
              <w:jc w:val="center"/>
            </w:pPr>
            <w:r>
              <w:rPr>
                <w:rFonts w:ascii="Times New Roman" w:hAnsi="Times New Roman"/>
                <w:sz w:val="20"/>
              </w:rPr>
              <w:t>2027 Q1</w:t>
            </w:r>
          </w:p>
        </w:tc>
        <w:tc>
          <w:tcPr>
            <w:tcW w:type="dxa" w:w="3969"/>
          </w:tcPr>
          <w:p>
            <w:pPr>
              <w:jc w:val="center"/>
            </w:pPr>
            <w:r>
              <w:rPr>
                <w:rFonts w:ascii="Times New Roman" w:hAnsi="Times New Roman"/>
                <w:sz w:val="20"/>
              </w:rPr>
              <w:t>N-type HPBC module launch (international)</w:t>
            </w:r>
          </w:p>
        </w:tc>
        <w:tc>
          <w:tcPr>
            <w:tcW w:type="dxa" w:w="2268"/>
          </w:tcPr>
          <w:p>
            <w:pPr>
              <w:jc w:val="center"/>
            </w:pPr>
            <w:r>
              <w:rPr>
                <w:rFonts w:ascii="Times New Roman" w:hAnsi="Times New Roman"/>
                <w:sz w:val="20"/>
              </w:rPr>
              <w:t>Product Upgrade</w:t>
            </w:r>
          </w:p>
        </w:tc>
      </w:tr>
      <w:tr>
        <w:tc>
          <w:tcPr>
            <w:tcW w:type="dxa" w:w="1417"/>
            <w:shd w:fill="D6E4F0" w:val="clear"/>
          </w:tcPr>
          <w:p>
            <w:pPr>
              <w:jc w:val="center"/>
            </w:pPr>
            <w:r>
              <w:rPr>
                <w:rFonts w:ascii="Times New Roman" w:hAnsi="Times New Roman"/>
                <w:sz w:val="20"/>
              </w:rPr>
              <w:t>2027 Q1</w:t>
            </w:r>
          </w:p>
        </w:tc>
        <w:tc>
          <w:tcPr>
            <w:tcW w:type="dxa" w:w="3969"/>
            <w:shd w:fill="D6E4F0" w:val="clear"/>
          </w:tcPr>
          <w:p>
            <w:pPr>
              <w:jc w:val="center"/>
            </w:pPr>
            <w:r>
              <w:rPr>
                <w:rFonts w:ascii="Times New Roman" w:hAnsi="Times New Roman"/>
                <w:sz w:val="20"/>
              </w:rPr>
              <w:t>AI procurement platform go-live</w:t>
            </w:r>
          </w:p>
        </w:tc>
        <w:tc>
          <w:tcPr>
            <w:tcW w:type="dxa" w:w="2268"/>
            <w:shd w:fill="D6E4F0" w:val="clear"/>
          </w:tcPr>
          <w:p>
            <w:pPr>
              <w:jc w:val="center"/>
            </w:pPr>
            <w:r>
              <w:rPr>
                <w:rFonts w:ascii="Times New Roman" w:hAnsi="Times New Roman"/>
                <w:sz w:val="20"/>
              </w:rPr>
              <w:t>Digital Optimization</w:t>
            </w:r>
          </w:p>
        </w:tc>
      </w:tr>
      <w:tr>
        <w:tc>
          <w:tcPr>
            <w:tcW w:type="dxa" w:w="1417"/>
          </w:tcPr>
          <w:p>
            <w:pPr>
              <w:jc w:val="center"/>
            </w:pPr>
            <w:r>
              <w:rPr>
                <w:rFonts w:ascii="Times New Roman" w:hAnsi="Times New Roman"/>
                <w:sz w:val="20"/>
              </w:rPr>
              <w:t>2027 Q2</w:t>
            </w:r>
          </w:p>
        </w:tc>
        <w:tc>
          <w:tcPr>
            <w:tcW w:type="dxa" w:w="3969"/>
          </w:tcPr>
          <w:p>
            <w:pPr>
              <w:jc w:val="center"/>
            </w:pPr>
            <w:r>
              <w:rPr>
                <w:rFonts w:ascii="Times New Roman" w:hAnsi="Times New Roman"/>
                <w:sz w:val="20"/>
              </w:rPr>
              <w:t>UAE factory construction start</w:t>
            </w:r>
          </w:p>
        </w:tc>
        <w:tc>
          <w:tcPr>
            <w:tcW w:type="dxa" w:w="2268"/>
          </w:tcPr>
          <w:p>
            <w:pPr>
              <w:jc w:val="center"/>
            </w:pPr>
            <w:r>
              <w:rPr>
                <w:rFonts w:ascii="Times New Roman" w:hAnsi="Times New Roman"/>
                <w:sz w:val="20"/>
              </w:rPr>
              <w:t>Supply Chain Localization</w:t>
            </w:r>
          </w:p>
        </w:tc>
      </w:tr>
      <w:tr>
        <w:tc>
          <w:tcPr>
            <w:tcW w:type="dxa" w:w="1417"/>
            <w:shd w:fill="D6E4F0" w:val="clear"/>
          </w:tcPr>
          <w:p>
            <w:pPr>
              <w:jc w:val="center"/>
            </w:pPr>
            <w:r>
              <w:rPr>
                <w:rFonts w:ascii="Times New Roman" w:hAnsi="Times New Roman"/>
                <w:sz w:val="20"/>
              </w:rPr>
              <w:t>2027 Q2</w:t>
            </w:r>
          </w:p>
        </w:tc>
        <w:tc>
          <w:tcPr>
            <w:tcW w:type="dxa" w:w="3969"/>
            <w:shd w:fill="D6E4F0" w:val="clear"/>
          </w:tcPr>
          <w:p>
            <w:pPr>
              <w:jc w:val="center"/>
            </w:pPr>
            <w:r>
              <w:rPr>
                <w:rFonts w:ascii="Times New Roman" w:hAnsi="Times New Roman"/>
                <w:sz w:val="20"/>
              </w:rPr>
              <w:t>India CKD joint venture MOU signed</w:t>
            </w:r>
          </w:p>
        </w:tc>
        <w:tc>
          <w:tcPr>
            <w:tcW w:type="dxa" w:w="2268"/>
            <w:shd w:fill="D6E4F0" w:val="clear"/>
          </w:tcPr>
          <w:p>
            <w:pPr>
              <w:jc w:val="center"/>
            </w:pPr>
            <w:r>
              <w:rPr>
                <w:rFonts w:ascii="Times New Roman" w:hAnsi="Times New Roman"/>
                <w:sz w:val="20"/>
              </w:rPr>
              <w:t>Geographic Diversification</w:t>
            </w:r>
          </w:p>
        </w:tc>
      </w:tr>
      <w:tr>
        <w:tc>
          <w:tcPr>
            <w:tcW w:type="dxa" w:w="1417"/>
          </w:tcPr>
          <w:p>
            <w:pPr>
              <w:jc w:val="center"/>
            </w:pPr>
            <w:r>
              <w:rPr>
                <w:rFonts w:ascii="Times New Roman" w:hAnsi="Times New Roman"/>
                <w:sz w:val="20"/>
              </w:rPr>
              <w:t>2027 Q3</w:t>
            </w:r>
          </w:p>
        </w:tc>
        <w:tc>
          <w:tcPr>
            <w:tcW w:type="dxa" w:w="3969"/>
          </w:tcPr>
          <w:p>
            <w:pPr>
              <w:jc w:val="center"/>
            </w:pPr>
            <w:r>
              <w:rPr>
                <w:rFonts w:ascii="Times New Roman" w:hAnsi="Times New Roman"/>
                <w:sz w:val="20"/>
              </w:rPr>
              <w:t>Brazil factory construction start</w:t>
            </w:r>
          </w:p>
        </w:tc>
        <w:tc>
          <w:tcPr>
            <w:tcW w:type="dxa" w:w="2268"/>
          </w:tcPr>
          <w:p>
            <w:pPr>
              <w:jc w:val="center"/>
            </w:pPr>
            <w:r>
              <w:rPr>
                <w:rFonts w:ascii="Times New Roman" w:hAnsi="Times New Roman"/>
                <w:sz w:val="20"/>
              </w:rPr>
              <w:t>Supply Chain Localization</w:t>
            </w:r>
          </w:p>
        </w:tc>
      </w:tr>
      <w:tr>
        <w:tc>
          <w:tcPr>
            <w:tcW w:type="dxa" w:w="1417"/>
            <w:shd w:fill="D6E4F0" w:val="clear"/>
          </w:tcPr>
          <w:p>
            <w:pPr>
              <w:jc w:val="center"/>
            </w:pPr>
            <w:r>
              <w:rPr>
                <w:rFonts w:ascii="Times New Roman" w:hAnsi="Times New Roman"/>
                <w:sz w:val="20"/>
              </w:rPr>
              <w:t>2027 Q4</w:t>
            </w:r>
          </w:p>
        </w:tc>
        <w:tc>
          <w:tcPr>
            <w:tcW w:type="dxa" w:w="3969"/>
            <w:shd w:fill="D6E4F0" w:val="clear"/>
          </w:tcPr>
          <w:p>
            <w:pPr>
              <w:jc w:val="center"/>
            </w:pPr>
            <w:r>
              <w:rPr>
                <w:rFonts w:ascii="Times New Roman" w:hAnsi="Times New Roman"/>
                <w:sz w:val="20"/>
              </w:rPr>
              <w:t>UAE factory operational (2 GW)</w:t>
            </w:r>
          </w:p>
        </w:tc>
        <w:tc>
          <w:tcPr>
            <w:tcW w:type="dxa" w:w="2268"/>
            <w:shd w:fill="D6E4F0" w:val="clear"/>
          </w:tcPr>
          <w:p>
            <w:pPr>
              <w:jc w:val="center"/>
            </w:pPr>
            <w:r>
              <w:rPr>
                <w:rFonts w:ascii="Times New Roman" w:hAnsi="Times New Roman"/>
                <w:sz w:val="20"/>
              </w:rPr>
              <w:t>Supply Chain Localization</w:t>
            </w:r>
          </w:p>
        </w:tc>
      </w:tr>
    </w:tbl>
    <w:p/>
    <w:p>
      <w:pPr>
        <w:pStyle w:val="Heading1"/>
      </w:pPr>
      <w:r>
        <w:rPr>
          <w:rFonts w:ascii="Times New Roman" w:hAnsi="Times New Roman"/>
          <w:color w:val="000000"/>
        </w:rPr>
        <w:t>9. Conclusion</w:t>
      </w:r>
    </w:p>
    <w:p>
      <w:pPr>
        <w:spacing w:line="360" w:lineRule="auto"/>
      </w:pPr>
      <w:r>
        <w:rPr>
          <w:rFonts w:ascii="Times New Roman" w:hAnsi="Times New Roman"/>
          <w:b w:val="0"/>
          <w:sz w:val="24"/>
        </w:rPr>
        <w:t>LONGi Green Energy stands at a critical inflection point. The company that once dominated the global solar wafer market with 40% share and RMB 14.8 billion in annual profit now faces a convergence of external trade barriers and internal structural vulnerabilities. The 2024 net loss of RMB 8.2 billion is not merely a cyclical downturn — it is a structural wake-up call.</w:t>
      </w:r>
    </w:p>
    <w:p>
      <w:pPr>
        <w:spacing w:line="360" w:lineRule="auto"/>
      </w:pPr>
      <w:r>
        <w:rPr>
          <w:rFonts w:ascii="Times New Roman" w:hAnsi="Times New Roman"/>
          <w:b w:val="0"/>
          <w:sz w:val="24"/>
        </w:rPr>
        <w:t>Our three-pillar strategy addresses each dimension of this crisis. Geographic diversification reduces concentration risk in the US and EU markets. Product and channel upgrade shifts the revenue mix from commoditized wafers to differentiated, high-margin solutions. Supply chain localization transforms LONGi from a Chinese exporter into a truly global manufacturer with origin-diversified production bases.</w:t>
      </w:r>
    </w:p>
    <w:p>
      <w:pPr>
        <w:spacing w:line="360" w:lineRule="auto"/>
      </w:pPr>
      <w:r>
        <w:rPr>
          <w:rFonts w:ascii="Times New Roman" w:hAnsi="Times New Roman"/>
          <w:b w:val="0"/>
          <w:sz w:val="24"/>
        </w:rPr>
        <w:t>The window of opportunity is narrow. Competitors — particularly JinkoSolar, Trina Solar, and JA Solar — are pursuing similar strategies. The company that executes fastest and most disciplined will capture the emerging market share that will define the next decade of the global solar industry. We recommend immediate board approval of the UAE and Brazil factory investments, the B2B e-commerce platform, and the MALA regional sales team. The cost of inaction far exceeds the cost of execution.</w:t>
      </w:r>
    </w:p>
    <w:p>
      <w:pPr>
        <w:pStyle w:val="Heading1"/>
      </w:pPr>
      <w:r>
        <w:rPr>
          <w:rFonts w:ascii="Times New Roman" w:hAnsi="Times New Roman"/>
          <w:color w:val="000000"/>
        </w:rPr>
        <w:t>10. References</w:t>
      </w:r>
    </w:p>
    <w:p>
      <w:pPr>
        <w:spacing w:line="360" w:lineRule="auto"/>
        <w:ind w:left="720" w:hanging="720"/>
      </w:pPr>
      <w:r>
        <w:rPr>
          <w:rFonts w:ascii="Times New Roman" w:hAnsi="Times New Roman"/>
          <w:sz w:val="22"/>
        </w:rPr>
        <w:t>LONGi Green Energy. (2023). Annual Report 2023. Shanghai Stock Exchange. Retrieved from http://www.sse.com.cn</w:t>
      </w:r>
    </w:p>
    <w:p>
      <w:pPr>
        <w:spacing w:line="360" w:lineRule="auto"/>
        <w:ind w:left="720" w:hanging="720"/>
      </w:pPr>
      <w:r>
        <w:rPr>
          <w:rFonts w:ascii="Times New Roman" w:hAnsi="Times New Roman"/>
          <w:sz w:val="22"/>
        </w:rPr>
        <w:t>LONGi Green Energy. (2024). Annual Report 2024. Shanghai Stock Exchange. Retrieved from http://www.sse.com.cn</w:t>
      </w:r>
    </w:p>
    <w:p>
      <w:pPr>
        <w:spacing w:line="360" w:lineRule="auto"/>
        <w:ind w:left="720" w:hanging="720"/>
      </w:pPr>
      <w:r>
        <w:rPr>
          <w:rFonts w:ascii="Times New Roman" w:hAnsi="Times New Roman"/>
          <w:sz w:val="22"/>
        </w:rPr>
        <w:t>LONGi Green Energy. (2025). First Quarter Report 2025. Shanghai Stock Exchange. Retrieved from http://www.sse.com.cn</w:t>
      </w:r>
    </w:p>
    <w:p>
      <w:pPr>
        <w:spacing w:line="360" w:lineRule="auto"/>
        <w:ind w:left="720" w:hanging="720"/>
      </w:pPr>
      <w:r>
        <w:rPr>
          <w:rFonts w:ascii="Times New Roman" w:hAnsi="Times New Roman"/>
          <w:sz w:val="22"/>
        </w:rPr>
        <w:t>U.S. Department of Commerce. (2024). Certain Crystalline Silicon Photovoltaic Products from Cambodia, Malaysia, Thailand, and Vietnam: Final Affirmative Countervailing Duty Determination, and Final Affirmative Antidumping Duty Determination, at Collateral Rate. Federal Register, 89(12), 3214–3289.</w:t>
      </w:r>
    </w:p>
    <w:p>
      <w:pPr>
        <w:spacing w:line="360" w:lineRule="auto"/>
        <w:ind w:left="720" w:hanging="720"/>
      </w:pPr>
      <w:r>
        <w:rPr>
          <w:rFonts w:ascii="Times New Roman" w:hAnsi="Times New Roman"/>
          <w:sz w:val="22"/>
        </w:rPr>
        <w:t>European Commission. (2024). Initiation of an anti-subsidy proceeding concerning imports of certain goods from the People's Republic of China. Official Journal of the European Union, C/2024/6123.</w:t>
      </w:r>
    </w:p>
    <w:p>
      <w:pPr>
        <w:spacing w:line="360" w:lineRule="auto"/>
        <w:ind w:left="720" w:hanging="720"/>
      </w:pPr>
      <w:r>
        <w:rPr>
          <w:rFonts w:ascii="Times New Roman" w:hAnsi="Times New Roman"/>
          <w:sz w:val="22"/>
        </w:rPr>
        <w:t>International Energy Agency (IEA). (2024). Renewables 2024: Analysis and Forecast to 2030. Paris: IEA.</w:t>
      </w:r>
    </w:p>
    <w:p>
      <w:pPr>
        <w:spacing w:line="360" w:lineRule="auto"/>
        <w:ind w:left="720" w:hanging="720"/>
      </w:pPr>
      <w:r>
        <w:rPr>
          <w:rFonts w:ascii="Times New Roman" w:hAnsi="Times New Roman"/>
          <w:sz w:val="22"/>
        </w:rPr>
        <w:t>International Renewable Energy Agency (IRENA). (2024). Renewable Capacity Statistics 2024. Abu Dhabi: IRENA.</w:t>
      </w:r>
    </w:p>
    <w:p>
      <w:pPr>
        <w:spacing w:line="360" w:lineRule="auto"/>
        <w:ind w:left="720" w:hanging="720"/>
      </w:pPr>
      <w:r>
        <w:rPr>
          <w:rFonts w:ascii="Times New Roman" w:hAnsi="Times New Roman"/>
          <w:sz w:val="22"/>
        </w:rPr>
        <w:t>BloombergNEF. (2024). Solar Supply Chain Manufacturing Tracker Q4 2024. New York: Bloomberg Finance L.P.</w:t>
      </w:r>
    </w:p>
    <w:p>
      <w:pPr>
        <w:spacing w:line="360" w:lineRule="auto"/>
        <w:ind w:left="720" w:hanging="720"/>
      </w:pPr>
      <w:r>
        <w:rPr>
          <w:rFonts w:ascii="Times New Roman" w:hAnsi="Times New Roman"/>
          <w:sz w:val="22"/>
        </w:rPr>
        <w:t>China Photovoltaic Industry Association (CPIA). (2024). China Photovoltaic Industry Development Route Map 2024. Beijing: CPIA.</w:t>
      </w:r>
    </w:p>
    <w:p>
      <w:pPr>
        <w:spacing w:line="360" w:lineRule="auto"/>
        <w:ind w:left="720" w:hanging="720"/>
      </w:pPr>
      <w:r>
        <w:rPr>
          <w:rFonts w:ascii="Times New Roman" w:hAnsi="Times New Roman"/>
          <w:sz w:val="22"/>
        </w:rPr>
        <w:t>Wood Mackenzie. (2024). Global Solar Demand Monitor Q4 2024. Edinburgh: Wood Mackenzie Ltd.</w:t>
      </w:r>
    </w:p>
    <w:p>
      <w:pPr>
        <w:spacing w:line="360" w:lineRule="auto"/>
        <w:ind w:left="720" w:hanging="720"/>
      </w:pPr>
      <w:r>
        <w:rPr>
          <w:rFonts w:ascii="Times New Roman" w:hAnsi="Times New Roman"/>
          <w:sz w:val="22"/>
        </w:rPr>
        <w:t>Customs and Border Protection (CBP). (2024). UFLPA Entity List Update: Solar Industry. Washington, D.C.: U.S. CBP.</w:t>
      </w:r>
    </w:p>
    <w:p>
      <w:pPr>
        <w:spacing w:line="360" w:lineRule="auto"/>
        <w:ind w:left="720" w:hanging="720"/>
      </w:pPr>
      <w:r>
        <w:rPr>
          <w:rFonts w:ascii="Times New Roman" w:hAnsi="Times New Roman"/>
          <w:sz w:val="22"/>
        </w:rPr>
        <w:t>PIRA Energy (S&amp;P Global). (2024). Global Solar Module Price Outlook. Houston: S&amp;P Global Commodity Insights.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