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1990年绝对购买力平价偏离度检验（修正版）</w:t>
      </w:r>
    </w:p>
    <w:p/>
    <w:p>
      <w:pPr>
        <w:jc w:val="center"/>
      </w:pPr>
      <w:r>
        <w:rPr>
          <w:rFonts w:ascii="黑体" w:hAnsi="黑体" w:eastAsia="黑体"/>
          <w:b/>
          <w:sz w:val="24"/>
        </w:rPr>
        <w:t>修正后的图表：</w:t>
      </w:r>
    </w:p>
    <w:p>
      <w:r>
        <w:drawing>
          <wp:inline xmlns:a="http://schemas.openxmlformats.org/drawingml/2006/main" xmlns:pic="http://schemas.openxmlformats.org/drawingml/2006/picture">
            <wp:extent cx="5943600" cy="3446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p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2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黑体" w:hAnsi="黑体" w:eastAsia="黑体"/>
          <w:b/>
          <w:sz w:val="28"/>
        </w:rPr>
        <w:t>原始数据与修正结果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国家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货币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实际汇率</w:t>
              <w:br/>
              <w:t>(本币/美元)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PPP汇率</w:t>
              <w:br/>
              <w:t>(本币/美元)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偏离度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b/>
                <w:sz w:val="20"/>
              </w:rPr>
              <w:t>判断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日本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日元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278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199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+39.7%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本币低估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德国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马克（注：1990年无欧元）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1.02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-2.0%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本币高估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英国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英镑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2.02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1.95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+3.6%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sz w:val="20"/>
              </w:rPr>
              <w:t>本币低估</w:t>
            </w:r>
          </w:p>
        </w:tc>
      </w:tr>
      <w:tr>
        <w:tc>
          <w:tcPr>
            <w:tcW w:type="dxa" w:w="8838"/>
            <w:gridSpan w:val="6"/>
          </w:tcPr>
          <w:p>
            <w:pPr>
              <w:jc w:val="center"/>
            </w:pPr>
            <w:r>
              <w:rPr>
                <w:i/>
                <w:sz w:val="18"/>
              </w:rPr>
              <w:t>判断标准：偏离度 &gt; 0 → 本币低估（实际汇率 &gt; PPP汇率）；偏离度 &lt; 0 → 本币高估（实际汇率 &lt; PPP汇率）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8"/>
        </w:rPr>
        <w:t>修正说明</w:t>
      </w:r>
    </w:p>
    <w:p>
      <w:r>
        <w:rPr>
          <w:rFonts w:ascii="黑体" w:hAnsi="黑体" w:eastAsia="黑体"/>
          <w:b/>
          <w:sz w:val="22"/>
        </w:rPr>
        <w:t>修正一：图例标签反了：</w:t>
      </w:r>
      <w:r>
        <w:t>原图蓝色标注"本币高估"、红色标注"本币低估"，实际上应该反过来。正偏离（蓝色）对应本币低估，负偏离（红色）对应本币高估。判断依据：实际汇率 &gt; PPP汇率 → 1美元能兑换更多本币 → 本币被低估；实际汇率 &lt; PPP汇率 → 1美元兑换本币更少 → 本币被高估。</w:t>
      </w:r>
    </w:p>
    <w:p>
      <w:r>
        <w:rPr>
          <w:rFonts w:ascii="黑体" w:hAnsi="黑体" w:eastAsia="黑体"/>
          <w:b/>
          <w:sz w:val="22"/>
        </w:rPr>
        <w:t>修正二：英国偏离度符号错误：</w:t>
      </w:r>
      <w:r>
        <w:t>原图英国实际汇率(2.02) &gt; PPP汇率(1.95)，偏离度应为正值(+3.6%)，表示本币低估。但原图标为-3.5%并归类为"低估"，符号与结论矛盾。</w:t>
      </w:r>
    </w:p>
    <w:p>
      <w:r>
        <w:rPr>
          <w:rFonts w:ascii="黑体" w:hAnsi="黑体" w:eastAsia="黑体"/>
          <w:b/>
          <w:sz w:val="22"/>
        </w:rPr>
        <w:t>修正三：德国货币单位错误：</w:t>
      </w:r>
      <w:r>
        <w:t>原图标注为"欧元/马克"，但1990年德国货币仅为德国马克（DM），欧元直到1999年才诞生。应改为"马克"。</w:t>
      </w:r>
    </w:p>
    <w:p/>
    <w:p>
      <w:pPr>
        <w:jc w:val="center"/>
      </w:pPr>
      <w:r>
        <w:rPr>
          <w:rFonts w:ascii="黑体" w:hAnsi="黑体" w:eastAsia="黑体"/>
          <w:b/>
          <w:sz w:val="28"/>
        </w:rPr>
        <w:t>结论</w:t>
      </w:r>
    </w:p>
    <w:p>
      <w:r>
        <w:t>1990年，日元对美元的购买力平价偏离度为+39.7%，存在显著的本币低估现象，即按照购买力平价理论，日元被严重低估。德国马克的偏离度为-2.0%，英镑为+3.6%，两国货币相对更接近购买力平价。整体而言，日本在该时期的实际汇率与购买力平价存在较大偏差，这可能与当时日本的经济泡沫、资本管制、贸易结构等因素有关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