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line="360" w:lineRule="auto"/>
        <w:jc w:val="center"/>
      </w:pPr>
      <w:r>
        <w:rPr>
          <w:rFonts w:ascii="Times New Roman" w:hAnsi="Times New Roman" w:eastAsia="Times New Roman"/>
          <w:b/>
          <w:i w:val="0"/>
          <w:sz w:val="28"/>
        </w:rPr>
        <w:t>Course Final Assignment: International Trade Theory and Practice</w:t>
      </w:r>
    </w:p>
    <w:p>
      <w:pPr>
        <w:spacing w:before="0" w:after="360" w:line="360" w:lineRule="auto"/>
        <w:jc w:val="center"/>
      </w:pPr>
      <w:r>
        <w:rPr>
          <w:rFonts w:ascii="Times New Roman" w:hAnsi="Times New Roman" w:eastAsia="Times New Roman"/>
          <w:b/>
          <w:i w:val="0"/>
          <w:sz w:val="26"/>
        </w:rPr>
        <w:t>Title: Breaking Through: LONGi Green Energy's Global Export Strategy — A Revised Business Proposal Based on 2025 Data</w:t>
      </w:r>
    </w:p>
    <w:p>
      <w:pPr>
        <w:spacing w:before="240" w:after="120" w:line="360" w:lineRule="auto"/>
        <w:jc w:val="left"/>
      </w:pPr>
      <w:r>
        <w:rPr>
          <w:rFonts w:ascii="Times New Roman" w:hAnsi="Times New Roman" w:eastAsia="Times New Roman"/>
          <w:b/>
          <w:i w:val="0"/>
          <w:sz w:val="28"/>
        </w:rPr>
        <w:t>Abstract</w:t>
      </w:r>
    </w:p>
    <w:p>
      <w:pPr>
        <w:spacing w:before="0" w:after="120" w:line="360" w:lineRule="auto"/>
        <w:jc w:val="left"/>
      </w:pPr>
      <w:r>
        <w:rPr>
          <w:rFonts w:ascii="Times New Roman" w:hAnsi="Times New Roman" w:eastAsia="Times New Roman"/>
          <w:b w:val="0"/>
          <w:i w:val="0"/>
          <w:sz w:val="24"/>
        </w:rPr>
        <w:t>Abstract: Against the backdrop of overcapacity, escalating trade barriers, and a sustained price war in the global photovoltaic (PV) industry, LONGi Green Energy (601012.SH) experienced its first consecutive annual losses in nearly a decade during 2024–2025. In 2025, the company generated operating revenue of RMB 70.347 billion, a year-on-year decline of 14.82%; net profit attributable to shareholders stood at −RMB 6.420 billion; the comprehensive gross margin was merely 0.81%; and overseas revenue totalled RMB 31.480 billion, accounting for 44.7% of total revenue. Based on the latest 2025 data, this report diagnoses LONGi's predicament and export structure imbalance from an international trade perspective. The study finds that LONGi's predicament exhibits a triad of characteristics: industry-wide overcapacity, compounded trade barriers, and misaligned strategic pacing. The United States has erected a multi-layered tariff structure, while the EU's CBAM has entered formal enforcement and FSR investigations have intensified. After reviewing the company's BC technology capacity build-out and U.S. localised manufacturing progress, the report proposes a tripartite strategic optimisation framework of 'market rebalancing, technology value enhancement, and supply chain localisation,' benchmarked against 2025 data as the baseline. The report concludes that LONGi's export predicament essentially reflects the structural growing pains of Chinese manufacturing's transition from scale expansion to technology-driven growth, and offers actionable strategic pathways for the company to rebuild its international competitiveness.</w:t>
      </w:r>
    </w:p>
    <w:p>
      <w:pPr>
        <w:spacing w:before="0" w:after="240" w:line="360" w:lineRule="auto"/>
        <w:jc w:val="left"/>
      </w:pPr>
      <w:r>
        <w:rPr>
          <w:rFonts w:ascii="Times New Roman" w:hAnsi="Times New Roman" w:eastAsia="Times New Roman"/>
          <w:b w:val="0"/>
          <w:i/>
          <w:sz w:val="24"/>
        </w:rPr>
        <w:t>Keywords: LONGi Green Energy; photovoltaic industry; export strategy; trade barriers; BC technology; localised manufacturing</w:t>
      </w:r>
    </w:p>
    <w:p>
      <w:pPr>
        <w:spacing w:before="240" w:after="120" w:line="360" w:lineRule="auto"/>
        <w:jc w:val="left"/>
      </w:pPr>
      <w:r>
        <w:rPr>
          <w:rFonts w:ascii="Times New Roman" w:hAnsi="Times New Roman" w:eastAsia="Times New Roman"/>
          <w:b/>
          <w:i w:val="0"/>
          <w:sz w:val="28"/>
        </w:rPr>
        <w:t>I. Introduction</w:t>
      </w:r>
    </w:p>
    <w:p>
      <w:pPr>
        <w:spacing w:before="0" w:after="120" w:line="360" w:lineRule="auto"/>
        <w:jc w:val="left"/>
      </w:pPr>
      <w:r>
        <w:rPr>
          <w:rFonts w:ascii="Times New Roman" w:hAnsi="Times New Roman" w:eastAsia="Times New Roman"/>
          <w:b w:val="0"/>
          <w:i w:val="0"/>
          <w:sz w:val="24"/>
        </w:rPr>
        <w:t>The global photovoltaic industry is currently experiencing its most severe downturn since the 2012 European debt crisis, characterised by three structural shifts: severe overcapacity, escalating trade barriers, and the diffusion of protectionism into non-tariff measures. As the world's leading manufacturer of monocrystalline silicon wafers and PV modules, LONGi Green Energy (601012.SH) encountered its first consecutive annual losses in nearly a decade during 2024–2025. In 2025, the company generated operating revenue of RMB 70.347 billion, a year-on-year decline of 14.82%; net profit attributable to shareholders stood at −RMB 6.420 billion; the comprehensive gross margin was merely 0.81%; and overseas revenue totalled RMB 31.480 billion, accounting for 44.7% of total revenue. LONGi's predicament exhibits a triad of characteristics: industry-wide overcapacity, compounded external trade barriers, and misaligned internal strategic pacing. Its export setbacks reflect the structural growing pains experienced by Chinese manufacturing enterprises in transitioning from a scale-expansion model to a technology-driven one.</w:t>
      </w:r>
    </w:p>
    <w:p>
      <w:pPr>
        <w:spacing w:before="0" w:after="120" w:line="360" w:lineRule="auto"/>
        <w:jc w:val="left"/>
      </w:pPr>
      <w:r>
        <w:rPr>
          <w:rFonts w:ascii="Times New Roman" w:hAnsi="Times New Roman" w:eastAsia="Times New Roman"/>
          <w:b w:val="0"/>
          <w:i w:val="0"/>
          <w:sz w:val="24"/>
        </w:rPr>
        <w:t>The core question this report addresses is: against the backdrop of escalating trade protectionism, how should LONGi adjust its export strategy to extricate itself from its current predicament and rebuild its international competitiveness? This report employs a case study approach combined with financial diagnostics. Data sources include the company's 2023–2025 annual reports, official documents from the U.S. Department of Commerce and the European Commission, industry association reports, and customs statistics. All data are benchmarked against the latest 2025 disclosures.</w:t>
      </w:r>
    </w:p>
    <w:p>
      <w:pPr>
        <w:spacing w:before="240" w:after="120" w:line="360" w:lineRule="auto"/>
        <w:jc w:val="left"/>
      </w:pPr>
      <w:r>
        <w:rPr>
          <w:rFonts w:ascii="Times New Roman" w:hAnsi="Times New Roman" w:eastAsia="Times New Roman"/>
          <w:b/>
          <w:i w:val="0"/>
          <w:sz w:val="28"/>
        </w:rPr>
        <w:t>II. Company Overview and Industry Background</w:t>
      </w:r>
    </w:p>
    <w:p>
      <w:pPr>
        <w:spacing w:before="120" w:after="120" w:line="360" w:lineRule="auto"/>
        <w:jc w:val="left"/>
      </w:pPr>
      <w:r>
        <w:rPr>
          <w:rFonts w:ascii="Times New Roman" w:hAnsi="Times New Roman" w:eastAsia="Times New Roman"/>
          <w:b/>
          <w:i w:val="0"/>
          <w:sz w:val="24"/>
        </w:rPr>
        <w:t>2.1 Company Overview</w:t>
      </w:r>
    </w:p>
    <w:p>
      <w:pPr>
        <w:spacing w:before="0" w:after="120" w:line="360" w:lineRule="auto"/>
        <w:jc w:val="left"/>
      </w:pPr>
      <w:r>
        <w:rPr>
          <w:rFonts w:ascii="Times New Roman" w:hAnsi="Times New Roman" w:eastAsia="Times New Roman"/>
          <w:b w:val="0"/>
          <w:i w:val="0"/>
          <w:sz w:val="24"/>
        </w:rPr>
        <w:t>Founded in 2000 and headquartered in Xi'an, LONGi Green Energy is the global leader in the photovoltaic industry. In 2025, the company's business structure continued to shift downstream: module and battery revenue reached RMB 59.920 billion, rising to 85.2% of total revenue; wafer and ingot revenue stood at RMB 6.540 billion, representing 9.3%. This underscores a clear trajectory of manufacturing focus migrating from upstream to downstream segments. R&amp;D investment amounted to RMB 1.547 billion, with an R&amp;D expense ratio of 2.20%. Sales expenses decreased by 29.96% year-on-year, a decline significantly exceeding the revenue contraction rate.</w:t>
      </w:r>
    </w:p>
    <w:p>
      <w:pPr>
        <w:spacing w:before="120" w:after="120" w:line="360" w:lineRule="auto"/>
        <w:jc w:val="left"/>
      </w:pPr>
      <w:r>
        <w:rPr>
          <w:rFonts w:ascii="Times New Roman" w:hAnsi="Times New Roman" w:eastAsia="Times New Roman"/>
          <w:b/>
          <w:i w:val="0"/>
          <w:sz w:val="24"/>
        </w:rPr>
        <w:t>2.2 Industry Background: The Global PV Industry in Deep Adjustment</w:t>
      </w:r>
    </w:p>
    <w:p>
      <w:pPr>
        <w:spacing w:before="0" w:after="120" w:line="360" w:lineRule="auto"/>
        <w:jc w:val="left"/>
      </w:pPr>
      <w:r>
        <w:rPr>
          <w:rFonts w:ascii="Times New Roman" w:hAnsi="Times New Roman" w:eastAsia="Times New Roman"/>
          <w:b w:val="0"/>
          <w:i w:val="0"/>
          <w:sz w:val="24"/>
        </w:rPr>
        <w:t>The global PV industry is currently undergoing its most severe downturn since the 2012 European debt crisis, characterised by three structural shifts:</w:t>
      </w:r>
    </w:p>
    <w:p>
      <w:pPr>
        <w:spacing w:before="0" w:after="120" w:line="360" w:lineRule="auto"/>
        <w:jc w:val="left"/>
      </w:pPr>
      <w:r>
        <w:rPr>
          <w:rFonts w:ascii="Times New Roman" w:hAnsi="Times New Roman" w:eastAsia="Times New Roman"/>
          <w:b w:val="0"/>
          <w:i w:val="0"/>
          <w:sz w:val="24"/>
        </w:rPr>
        <w:t>First, severe global overcapacity. China's PV manufacturing capacity expanded by 3 to 5 times between 2021 and 2024, triggering a price war across the entire value chain. Polysilicon prices collapsed from RMB 300/kg in 2022 to RMB 40/kg in 2024, a decline of 87%. In 2025, China's PV module exports still reached 264.1 GW, with cell exports at 107.81 GW and wafer exports at 38.91 GW — volumes grew but prices remained under sustained pressure.</w:t>
      </w:r>
    </w:p>
    <w:p>
      <w:pPr>
        <w:spacing w:before="0" w:after="120" w:line="360" w:lineRule="auto"/>
        <w:jc w:val="left"/>
      </w:pPr>
      <w:r>
        <w:rPr>
          <w:rFonts w:ascii="Times New Roman" w:hAnsi="Times New Roman" w:eastAsia="Times New Roman"/>
          <w:b w:val="0"/>
          <w:i w:val="0"/>
          <w:sz w:val="24"/>
        </w:rPr>
        <w:t>Second, escalating trade barriers in key export markets. Since 2024, the U.S. has formally implemented countervailing and anti-dumping tariffs on PV cells/modules imported from four Southeast Asian countries (Cambodia, Malaysia, Vietnam, Thailand), with the exemption for bifacial modules under Section 201 tariffs also revoked. In 2025, anti-dumping duties on solar products from these four countries reached up to 271.28%, while countervailing duties ranged from 14.64% to 3,403.96%, creating formidable export obstacles for Chinese enterprises' Southeast Asian operations. Meanwhile, the EU's CBAM (Carbon Border Adjustment Mechanism) enters its formal levy phase on 1 January 2026, requiring importers to purchase CBAM certificates at the EU carbon price (approximately €72/tonne), directly increasing export costs.</w:t>
      </w:r>
    </w:p>
    <w:p>
      <w:pPr>
        <w:spacing w:before="0" w:after="120" w:line="360" w:lineRule="auto"/>
        <w:jc w:val="left"/>
      </w:pPr>
      <w:r>
        <w:rPr>
          <w:rFonts w:ascii="Times New Roman" w:hAnsi="Times New Roman" w:eastAsia="Times New Roman"/>
          <w:b w:val="0"/>
          <w:i w:val="0"/>
          <w:sz w:val="24"/>
        </w:rPr>
        <w:t>Third, trade protectionism expanding beyond tariffs into broader non-tariff measures. Since 2025, the EU has increasingly deployed the Foreign Subsidies Regulation (FSR) against Chinese enterprises. Five countries — France, Italy, Spain, the Netherlands, and one other — jointly proposed import quotas and excess tariffs on Chinese advantage industrial products including PV. India, while moderately reducing certain tariff rates in its 2025 federal budget, has not fundamentally altered its overall protectionist posture.</w:t>
      </w:r>
    </w:p>
    <w:p>
      <w:pPr>
        <w:spacing w:before="240" w:after="120" w:line="360" w:lineRule="auto"/>
        <w:jc w:val="left"/>
      </w:pPr>
      <w:r>
        <w:rPr>
          <w:rFonts w:ascii="Times New Roman" w:hAnsi="Times New Roman" w:eastAsia="Times New Roman"/>
          <w:b/>
          <w:i w:val="0"/>
          <w:sz w:val="28"/>
        </w:rPr>
        <w:t>III. Current Situation Analysis: Performance Diagnosis Based on 2025 Data</w:t>
      </w:r>
    </w:p>
    <w:p>
      <w:pPr>
        <w:spacing w:before="120" w:after="120" w:line="360" w:lineRule="auto"/>
        <w:jc w:val="left"/>
      </w:pPr>
      <w:r>
        <w:rPr>
          <w:rFonts w:ascii="Times New Roman" w:hAnsi="Times New Roman" w:eastAsia="Times New Roman"/>
          <w:b/>
          <w:i w:val="0"/>
          <w:sz w:val="24"/>
        </w:rPr>
        <w:t>3.1 Financial Performance</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007ACC" w:val="clear"/>
          </w:tcPr>
          <w:p>
            <w:pPr>
              <w:jc w:val="center"/>
            </w:pPr>
            <w:r>
              <w:rPr>
                <w:rFonts w:ascii="Times New Roman" w:hAnsi="Times New Roman"/>
                <w:b/>
                <w:color w:val="FFFFFF"/>
                <w:sz w:val="18"/>
              </w:rPr>
              <w:t>Year</w:t>
            </w:r>
          </w:p>
        </w:tc>
        <w:tc>
          <w:tcPr>
            <w:tcW w:type="dxa" w:w="1440"/>
            <w:shd w:fill="007ACC" w:val="clear"/>
          </w:tcPr>
          <w:p>
            <w:pPr>
              <w:jc w:val="center"/>
            </w:pPr>
            <w:r>
              <w:rPr>
                <w:rFonts w:ascii="Times New Roman" w:hAnsi="Times New Roman"/>
                <w:b/>
                <w:color w:val="FFFFFF"/>
                <w:sz w:val="18"/>
              </w:rPr>
              <w:t>Operating Revenue</w:t>
              <w:br/>
              <w:t>(RMB 100M)</w:t>
            </w:r>
          </w:p>
        </w:tc>
        <w:tc>
          <w:tcPr>
            <w:tcW w:type="dxa" w:w="1440"/>
            <w:shd w:fill="007ACC" w:val="clear"/>
          </w:tcPr>
          <w:p>
            <w:pPr>
              <w:jc w:val="center"/>
            </w:pPr>
            <w:r>
              <w:rPr>
                <w:rFonts w:ascii="Times New Roman" w:hAnsi="Times New Roman"/>
                <w:b/>
                <w:color w:val="FFFFFF"/>
                <w:sz w:val="18"/>
              </w:rPr>
              <w:t>Net Profit Attributable</w:t>
              <w:br/>
              <w:t>(RMB 100M)</w:t>
            </w:r>
          </w:p>
        </w:tc>
        <w:tc>
          <w:tcPr>
            <w:tcW w:type="dxa" w:w="1440"/>
            <w:shd w:fill="007ACC" w:val="clear"/>
          </w:tcPr>
          <w:p>
            <w:pPr>
              <w:jc w:val="center"/>
            </w:pPr>
            <w:r>
              <w:rPr>
                <w:rFonts w:ascii="Times New Roman" w:hAnsi="Times New Roman"/>
                <w:b/>
                <w:color w:val="FFFFFF"/>
                <w:sz w:val="18"/>
              </w:rPr>
              <w:t>Overseas Revenue</w:t>
              <w:br/>
              <w:t>(RMB 100M)</w:t>
            </w:r>
          </w:p>
        </w:tc>
        <w:tc>
          <w:tcPr>
            <w:tcW w:type="dxa" w:w="1440"/>
            <w:shd w:fill="007ACC" w:val="clear"/>
          </w:tcPr>
          <w:p>
            <w:pPr>
              <w:jc w:val="center"/>
            </w:pPr>
            <w:r>
              <w:rPr>
                <w:rFonts w:ascii="Times New Roman" w:hAnsi="Times New Roman"/>
                <w:b/>
                <w:color w:val="FFFFFF"/>
                <w:sz w:val="18"/>
              </w:rPr>
              <w:t>Overseas</w:t>
              <w:br/>
              <w:t>Share</w:t>
            </w:r>
          </w:p>
        </w:tc>
        <w:tc>
          <w:tcPr>
            <w:tcW w:type="dxa" w:w="1440"/>
            <w:shd w:fill="007ACC" w:val="clear"/>
          </w:tcPr>
          <w:p>
            <w:pPr>
              <w:jc w:val="center"/>
            </w:pPr>
            <w:r>
              <w:rPr>
                <w:rFonts w:ascii="Times New Roman" w:hAnsi="Times New Roman"/>
                <w:b/>
                <w:color w:val="FFFFFF"/>
                <w:sz w:val="18"/>
              </w:rPr>
              <w:t>Gross</w:t>
              <w:br/>
              <w:t>Margin</w:t>
            </w:r>
          </w:p>
        </w:tc>
      </w:tr>
      <w:tr>
        <w:tc>
          <w:tcPr>
            <w:tcW w:type="dxa" w:w="1440"/>
            <w:shd w:fill="FFFFFF" w:val="clear"/>
          </w:tcPr>
          <w:p>
            <w:pPr>
              <w:jc w:val="center"/>
            </w:pPr>
            <w:r>
              <w:rPr>
                <w:rFonts w:ascii="Times New Roman" w:hAnsi="Times New Roman"/>
                <w:b w:val="0"/>
                <w:color w:val="1A1A2E"/>
                <w:sz w:val="18"/>
              </w:rPr>
              <w:t>2022</w:t>
            </w:r>
          </w:p>
        </w:tc>
        <w:tc>
          <w:tcPr>
            <w:tcW w:type="dxa" w:w="1440"/>
            <w:shd w:fill="FFFFFF" w:val="clear"/>
          </w:tcPr>
          <w:p>
            <w:pPr>
              <w:jc w:val="center"/>
            </w:pPr>
            <w:r>
              <w:rPr>
                <w:rFonts w:ascii="Times New Roman" w:hAnsi="Times New Roman"/>
                <w:b w:val="0"/>
                <w:color w:val="1A1A2E"/>
                <w:sz w:val="18"/>
              </w:rPr>
              <w:t>12,899.0</w:t>
            </w:r>
          </w:p>
        </w:tc>
        <w:tc>
          <w:tcPr>
            <w:tcW w:type="dxa" w:w="1440"/>
            <w:shd w:fill="FFFFFF" w:val="clear"/>
          </w:tcPr>
          <w:p>
            <w:pPr>
              <w:jc w:val="center"/>
            </w:pPr>
            <w:r>
              <w:rPr>
                <w:rFonts w:ascii="Times New Roman" w:hAnsi="Times New Roman"/>
                <w:b w:val="0"/>
                <w:color w:val="1A1A2E"/>
                <w:sz w:val="18"/>
              </w:rPr>
              <w:t>1,483.9</w:t>
            </w:r>
          </w:p>
        </w:tc>
        <w:tc>
          <w:tcPr>
            <w:tcW w:type="dxa" w:w="1440"/>
            <w:shd w:fill="FFFFFF" w:val="clear"/>
          </w:tcPr>
          <w:p>
            <w:pPr>
              <w:jc w:val="center"/>
            </w:pPr>
            <w:r>
              <w:rPr>
                <w:rFonts w:ascii="Times New Roman" w:hAnsi="Times New Roman"/>
                <w:b w:val="0"/>
                <w:color w:val="1A1A2E"/>
                <w:sz w:val="18"/>
              </w:rPr>
              <w:t>~4,600.0</w:t>
            </w:r>
          </w:p>
        </w:tc>
        <w:tc>
          <w:tcPr>
            <w:tcW w:type="dxa" w:w="1440"/>
            <w:shd w:fill="FFFFFF" w:val="clear"/>
          </w:tcPr>
          <w:p>
            <w:pPr>
              <w:jc w:val="center"/>
            </w:pPr>
            <w:r>
              <w:rPr>
                <w:rFonts w:ascii="Times New Roman" w:hAnsi="Times New Roman"/>
                <w:b w:val="0"/>
                <w:color w:val="1A1A2E"/>
                <w:sz w:val="18"/>
              </w:rPr>
              <w:t>~35.7%</w:t>
            </w:r>
          </w:p>
        </w:tc>
        <w:tc>
          <w:tcPr>
            <w:tcW w:type="dxa" w:w="1440"/>
            <w:shd w:fill="FFFFFF" w:val="clear"/>
          </w:tcPr>
          <w:p>
            <w:pPr>
              <w:jc w:val="center"/>
            </w:pPr>
            <w:r>
              <w:rPr>
                <w:rFonts w:ascii="Times New Roman" w:hAnsi="Times New Roman"/>
                <w:b w:val="0"/>
                <w:color w:val="1A1A2E"/>
                <w:sz w:val="18"/>
              </w:rPr>
              <w:t>18.5%</w:t>
            </w:r>
          </w:p>
        </w:tc>
      </w:tr>
      <w:tr>
        <w:tc>
          <w:tcPr>
            <w:tcW w:type="dxa" w:w="1440"/>
            <w:shd w:fill="F2F4F7" w:val="clear"/>
          </w:tcPr>
          <w:p>
            <w:pPr>
              <w:jc w:val="center"/>
            </w:pPr>
            <w:r>
              <w:rPr>
                <w:rFonts w:ascii="Times New Roman" w:hAnsi="Times New Roman"/>
                <w:b w:val="0"/>
                <w:color w:val="1A1A2E"/>
                <w:sz w:val="18"/>
              </w:rPr>
              <w:t>2023</w:t>
            </w:r>
          </w:p>
        </w:tc>
        <w:tc>
          <w:tcPr>
            <w:tcW w:type="dxa" w:w="1440"/>
            <w:shd w:fill="F2F4F7" w:val="clear"/>
          </w:tcPr>
          <w:p>
            <w:pPr>
              <w:jc w:val="center"/>
            </w:pPr>
            <w:r>
              <w:rPr>
                <w:rFonts w:ascii="Times New Roman" w:hAnsi="Times New Roman"/>
                <w:b w:val="0"/>
                <w:color w:val="1A1A2E"/>
                <w:sz w:val="18"/>
              </w:rPr>
              <w:t>12,940.0</w:t>
            </w:r>
          </w:p>
        </w:tc>
        <w:tc>
          <w:tcPr>
            <w:tcW w:type="dxa" w:w="1440"/>
            <w:shd w:fill="F2F4F7" w:val="clear"/>
          </w:tcPr>
          <w:p>
            <w:pPr>
              <w:jc w:val="center"/>
            </w:pPr>
            <w:r>
              <w:rPr>
                <w:rFonts w:ascii="Times New Roman" w:hAnsi="Times New Roman"/>
                <w:b w:val="0"/>
                <w:color w:val="1A1A2E"/>
                <w:sz w:val="18"/>
              </w:rPr>
              <w:t>1,075.2</w:t>
            </w:r>
          </w:p>
        </w:tc>
        <w:tc>
          <w:tcPr>
            <w:tcW w:type="dxa" w:w="1440"/>
            <w:shd w:fill="F2F4F7" w:val="clear"/>
          </w:tcPr>
          <w:p>
            <w:pPr>
              <w:jc w:val="center"/>
            </w:pPr>
            <w:r>
              <w:rPr>
                <w:rFonts w:ascii="Times New Roman" w:hAnsi="Times New Roman"/>
                <w:b w:val="0"/>
                <w:color w:val="1A1A2E"/>
                <w:sz w:val="18"/>
              </w:rPr>
              <w:t>~4,650.0</w:t>
            </w:r>
          </w:p>
        </w:tc>
        <w:tc>
          <w:tcPr>
            <w:tcW w:type="dxa" w:w="1440"/>
            <w:shd w:fill="F2F4F7" w:val="clear"/>
          </w:tcPr>
          <w:p>
            <w:pPr>
              <w:jc w:val="center"/>
            </w:pPr>
            <w:r>
              <w:rPr>
                <w:rFonts w:ascii="Times New Roman" w:hAnsi="Times New Roman"/>
                <w:b w:val="0"/>
                <w:color w:val="1A1A2E"/>
                <w:sz w:val="18"/>
              </w:rPr>
              <w:t>~36.0%</w:t>
            </w:r>
          </w:p>
        </w:tc>
        <w:tc>
          <w:tcPr>
            <w:tcW w:type="dxa" w:w="1440"/>
            <w:shd w:fill="F2F4F7" w:val="clear"/>
          </w:tcPr>
          <w:p>
            <w:pPr>
              <w:jc w:val="center"/>
            </w:pPr>
            <w:r>
              <w:rPr>
                <w:rFonts w:ascii="Times New Roman" w:hAnsi="Times New Roman"/>
                <w:b w:val="0"/>
                <w:color w:val="1A1A2E"/>
                <w:sz w:val="18"/>
              </w:rPr>
              <w:t>16.8%</w:t>
            </w:r>
          </w:p>
        </w:tc>
      </w:tr>
      <w:tr>
        <w:tc>
          <w:tcPr>
            <w:tcW w:type="dxa" w:w="1440"/>
            <w:shd w:fill="FFFFFF" w:val="clear"/>
          </w:tcPr>
          <w:p>
            <w:pPr>
              <w:jc w:val="center"/>
            </w:pPr>
            <w:r>
              <w:rPr>
                <w:rFonts w:ascii="Times New Roman" w:hAnsi="Times New Roman"/>
                <w:b w:val="0"/>
                <w:color w:val="1A1A2E"/>
                <w:sz w:val="18"/>
              </w:rPr>
              <w:t>2024</w:t>
            </w:r>
          </w:p>
        </w:tc>
        <w:tc>
          <w:tcPr>
            <w:tcW w:type="dxa" w:w="1440"/>
            <w:shd w:fill="FFFFFF" w:val="clear"/>
          </w:tcPr>
          <w:p>
            <w:pPr>
              <w:jc w:val="center"/>
            </w:pPr>
            <w:r>
              <w:rPr>
                <w:rFonts w:ascii="Times New Roman" w:hAnsi="Times New Roman"/>
                <w:b w:val="0"/>
                <w:color w:val="1A1A2E"/>
                <w:sz w:val="18"/>
              </w:rPr>
              <w:t>~7,480.0</w:t>
            </w:r>
          </w:p>
        </w:tc>
        <w:tc>
          <w:tcPr>
            <w:tcW w:type="dxa" w:w="1440"/>
            <w:shd w:fill="FFFFFF" w:val="clear"/>
          </w:tcPr>
          <w:p>
            <w:pPr>
              <w:jc w:val="center"/>
            </w:pPr>
            <w:r>
              <w:rPr>
                <w:rFonts w:ascii="Times New Roman" w:hAnsi="Times New Roman"/>
                <w:b w:val="0"/>
                <w:color w:val="CC3333"/>
                <w:sz w:val="18"/>
              </w:rPr>
              <w:t>−861.8</w:t>
            </w:r>
          </w:p>
        </w:tc>
        <w:tc>
          <w:tcPr>
            <w:tcW w:type="dxa" w:w="1440"/>
            <w:shd w:fill="FFFFFF" w:val="clear"/>
          </w:tcPr>
          <w:p>
            <w:pPr>
              <w:jc w:val="center"/>
            </w:pPr>
            <w:r>
              <w:rPr>
                <w:rFonts w:ascii="Times New Roman" w:hAnsi="Times New Roman"/>
                <w:b w:val="0"/>
                <w:color w:val="1A1A2E"/>
                <w:sz w:val="18"/>
              </w:rPr>
              <w:t>~2,850.0</w:t>
            </w:r>
          </w:p>
        </w:tc>
        <w:tc>
          <w:tcPr>
            <w:tcW w:type="dxa" w:w="1440"/>
            <w:shd w:fill="FFFFFF" w:val="clear"/>
          </w:tcPr>
          <w:p>
            <w:pPr>
              <w:jc w:val="center"/>
            </w:pPr>
            <w:r>
              <w:rPr>
                <w:rFonts w:ascii="Times New Roman" w:hAnsi="Times New Roman"/>
                <w:b w:val="0"/>
                <w:color w:val="1A1A2E"/>
                <w:sz w:val="18"/>
              </w:rPr>
              <w:t>~38.1%</w:t>
            </w:r>
          </w:p>
        </w:tc>
        <w:tc>
          <w:tcPr>
            <w:tcW w:type="dxa" w:w="1440"/>
            <w:shd w:fill="FFFFFF" w:val="clear"/>
          </w:tcPr>
          <w:p>
            <w:pPr>
              <w:jc w:val="center"/>
            </w:pPr>
            <w:r>
              <w:rPr>
                <w:rFonts w:ascii="Times New Roman" w:hAnsi="Times New Roman"/>
                <w:b w:val="0"/>
                <w:color w:val="1A1A2E"/>
                <w:sz w:val="18"/>
              </w:rPr>
              <w:t>~5.3%</w:t>
            </w:r>
          </w:p>
        </w:tc>
      </w:tr>
      <w:tr>
        <w:tc>
          <w:tcPr>
            <w:tcW w:type="dxa" w:w="1440"/>
            <w:shd w:fill="F2F4F7" w:val="clear"/>
          </w:tcPr>
          <w:p>
            <w:pPr>
              <w:jc w:val="center"/>
            </w:pPr>
            <w:r>
              <w:rPr>
                <w:rFonts w:ascii="Times New Roman" w:hAnsi="Times New Roman"/>
                <w:b w:val="0"/>
                <w:color w:val="1A1A2E"/>
                <w:sz w:val="18"/>
              </w:rPr>
              <w:t>2025</w:t>
            </w:r>
          </w:p>
        </w:tc>
        <w:tc>
          <w:tcPr>
            <w:tcW w:type="dxa" w:w="1440"/>
            <w:shd w:fill="F2F4F7" w:val="clear"/>
          </w:tcPr>
          <w:p>
            <w:pPr>
              <w:jc w:val="center"/>
            </w:pPr>
            <w:r>
              <w:rPr>
                <w:rFonts w:ascii="Times New Roman" w:hAnsi="Times New Roman"/>
                <w:b w:val="0"/>
                <w:color w:val="1A1A2E"/>
                <w:sz w:val="18"/>
              </w:rPr>
              <w:t>7,034.7</w:t>
            </w:r>
          </w:p>
        </w:tc>
        <w:tc>
          <w:tcPr>
            <w:tcW w:type="dxa" w:w="1440"/>
            <w:shd w:fill="F2F4F7" w:val="clear"/>
          </w:tcPr>
          <w:p>
            <w:pPr>
              <w:jc w:val="center"/>
            </w:pPr>
            <w:r>
              <w:rPr>
                <w:rFonts w:ascii="Times New Roman" w:hAnsi="Times New Roman"/>
                <w:b w:val="0"/>
                <w:color w:val="CC3333"/>
                <w:sz w:val="18"/>
              </w:rPr>
              <w:t>−642.0</w:t>
            </w:r>
          </w:p>
        </w:tc>
        <w:tc>
          <w:tcPr>
            <w:tcW w:type="dxa" w:w="1440"/>
            <w:shd w:fill="F2F4F7" w:val="clear"/>
          </w:tcPr>
          <w:p>
            <w:pPr>
              <w:jc w:val="center"/>
            </w:pPr>
            <w:r>
              <w:rPr>
                <w:rFonts w:ascii="Times New Roman" w:hAnsi="Times New Roman"/>
                <w:b w:val="0"/>
                <w:color w:val="1A1A2E"/>
                <w:sz w:val="18"/>
              </w:rPr>
              <w:t>3,148.0</w:t>
            </w:r>
          </w:p>
        </w:tc>
        <w:tc>
          <w:tcPr>
            <w:tcW w:type="dxa" w:w="1440"/>
            <w:shd w:fill="F2F4F7" w:val="clear"/>
          </w:tcPr>
          <w:p>
            <w:pPr>
              <w:jc w:val="center"/>
            </w:pPr>
            <w:r>
              <w:rPr>
                <w:rFonts w:ascii="Times New Roman" w:hAnsi="Times New Roman"/>
                <w:b w:val="0"/>
                <w:color w:val="1A1A2E"/>
                <w:sz w:val="18"/>
              </w:rPr>
              <w:t>44.7%</w:t>
            </w:r>
          </w:p>
        </w:tc>
        <w:tc>
          <w:tcPr>
            <w:tcW w:type="dxa" w:w="1440"/>
            <w:shd w:fill="F2F4F7" w:val="clear"/>
          </w:tcPr>
          <w:p>
            <w:pPr>
              <w:jc w:val="center"/>
            </w:pPr>
            <w:r>
              <w:rPr>
                <w:rFonts w:ascii="Times New Roman" w:hAnsi="Times New Roman"/>
                <w:b w:val="0"/>
                <w:color w:val="1A1A2E"/>
                <w:sz w:val="18"/>
              </w:rPr>
              <w:t>0.81%</w:t>
            </w:r>
          </w:p>
        </w:tc>
      </w:tr>
      <w:tr>
        <w:tc>
          <w:tcPr>
            <w:tcW w:type="dxa" w:w="1440"/>
          </w:tcPr>
          <w:p/>
        </w:tc>
        <w:tc>
          <w:tcPr>
            <w:tcW w:type="dxa" w:w="1440"/>
          </w:tcPr>
          <w:p/>
        </w:tc>
        <w:tc>
          <w:tcPr>
            <w:tcW w:type="dxa" w:w="1440"/>
          </w:tcPr>
          <w:p/>
        </w:tc>
        <w:tc>
          <w:tcPr>
            <w:tcW w:type="dxa" w:w="1440"/>
          </w:tcPr>
          <w:p/>
        </w:tc>
        <w:tc>
          <w:tcPr>
            <w:tcW w:type="dxa" w:w="1440"/>
          </w:tcPr>
          <w:p/>
        </w:tc>
        <w:tc>
          <w:tcPr>
            <w:tcW w:type="dxa" w:w="1440"/>
          </w:tcPr>
          <w:p/>
        </w:tc>
      </w:tr>
    </w:tbl>
    <w:p>
      <w:pPr>
        <w:spacing w:before="0" w:after="240" w:line="360" w:lineRule="auto"/>
        <w:jc w:val="center"/>
      </w:pPr>
      <w:r>
        <w:rPr>
          <w:rFonts w:ascii="Times New Roman" w:hAnsi="Times New Roman" w:eastAsia="Times New Roman"/>
          <w:b w:val="0"/>
          <w:i/>
          <w:sz w:val="18"/>
        </w:rPr>
        <w:t>Data Source: LONGi Green Energy 2023–2025 Annual Reports; 2024 Performance Forecast Revision Announcement</w:t>
      </w:r>
    </w:p>
    <w:p>
      <w:pPr>
        <w:spacing w:before="120" w:after="120" w:line="360" w:lineRule="auto"/>
        <w:jc w:val="left"/>
      </w:pPr>
      <w:r>
        <w:rPr>
          <w:rFonts w:ascii="Times New Roman" w:hAnsi="Times New Roman" w:eastAsia="Times New Roman"/>
          <w:b/>
          <w:i w:val="0"/>
          <w:sz w:val="24"/>
        </w:rPr>
        <w:t>3.2 Regional Export Revenue Analysis (2025)</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007ACC" w:val="clear"/>
          </w:tcPr>
          <w:p>
            <w:pPr>
              <w:jc w:val="center"/>
            </w:pPr>
            <w:r>
              <w:rPr>
                <w:rFonts w:ascii="Times New Roman" w:hAnsi="Times New Roman"/>
                <w:b/>
                <w:color w:val="FFFFFF"/>
                <w:sz w:val="18"/>
              </w:rPr>
              <w:t>Region</w:t>
            </w:r>
          </w:p>
        </w:tc>
        <w:tc>
          <w:tcPr>
            <w:tcW w:type="dxa" w:w="1728"/>
            <w:shd w:fill="007ACC" w:val="clear"/>
          </w:tcPr>
          <w:p>
            <w:pPr>
              <w:jc w:val="center"/>
            </w:pPr>
            <w:r>
              <w:rPr>
                <w:rFonts w:ascii="Times New Roman" w:hAnsi="Times New Roman"/>
                <w:b/>
                <w:color w:val="FFFFFF"/>
                <w:sz w:val="18"/>
              </w:rPr>
              <w:t>Revenue</w:t>
              <w:br/>
              <w:t>(RMB 100M)</w:t>
            </w:r>
          </w:p>
        </w:tc>
        <w:tc>
          <w:tcPr>
            <w:tcW w:type="dxa" w:w="1728"/>
            <w:shd w:fill="007ACC" w:val="clear"/>
          </w:tcPr>
          <w:p>
            <w:pPr>
              <w:jc w:val="center"/>
            </w:pPr>
            <w:r>
              <w:rPr>
                <w:rFonts w:ascii="Times New Roman" w:hAnsi="Times New Roman"/>
                <w:b/>
                <w:color w:val="FFFFFF"/>
                <w:sz w:val="18"/>
              </w:rPr>
              <w:t>Share of Overseas</w:t>
              <w:br/>
              <w:t>Revenue</w:t>
            </w:r>
          </w:p>
        </w:tc>
        <w:tc>
          <w:tcPr>
            <w:tcW w:type="dxa" w:w="1728"/>
            <w:shd w:fill="007ACC" w:val="clear"/>
          </w:tcPr>
          <w:p>
            <w:pPr>
              <w:jc w:val="center"/>
            </w:pPr>
            <w:r>
              <w:rPr>
                <w:rFonts w:ascii="Times New Roman" w:hAnsi="Times New Roman"/>
                <w:b/>
                <w:color w:val="FFFFFF"/>
                <w:sz w:val="18"/>
              </w:rPr>
              <w:t>YoY Growth</w:t>
            </w:r>
          </w:p>
        </w:tc>
        <w:tc>
          <w:tcPr>
            <w:tcW w:type="dxa" w:w="1728"/>
            <w:shd w:fill="007ACC" w:val="clear"/>
          </w:tcPr>
          <w:p>
            <w:pPr>
              <w:jc w:val="center"/>
            </w:pPr>
            <w:r>
              <w:rPr>
                <w:rFonts w:ascii="Times New Roman" w:hAnsi="Times New Roman"/>
                <w:b/>
                <w:color w:val="FFFFFF"/>
                <w:sz w:val="18"/>
              </w:rPr>
              <w:t>Key Trade Barriers</w:t>
            </w:r>
          </w:p>
        </w:tc>
      </w:tr>
      <w:tr>
        <w:tc>
          <w:tcPr>
            <w:tcW w:type="dxa" w:w="1728"/>
            <w:shd w:fill="FFFFFF" w:val="clear"/>
          </w:tcPr>
          <w:p>
            <w:pPr>
              <w:jc w:val="center"/>
            </w:pPr>
            <w:r>
              <w:rPr>
                <w:rFonts w:ascii="Times New Roman" w:hAnsi="Times New Roman"/>
                <w:b w:val="0"/>
                <w:color w:val="1A1A2E"/>
                <w:sz w:val="18"/>
              </w:rPr>
              <w:t>Europe</w:t>
            </w:r>
          </w:p>
        </w:tc>
        <w:tc>
          <w:tcPr>
            <w:tcW w:type="dxa" w:w="1728"/>
            <w:shd w:fill="FFFFFF" w:val="clear"/>
          </w:tcPr>
          <w:p>
            <w:pPr>
              <w:jc w:val="center"/>
            </w:pPr>
            <w:r>
              <w:rPr>
                <w:rFonts w:ascii="Times New Roman" w:hAnsi="Times New Roman"/>
                <w:b w:val="0"/>
                <w:color w:val="1A1A2E"/>
                <w:sz w:val="18"/>
              </w:rPr>
              <w:t>1,098.9</w:t>
            </w:r>
          </w:p>
        </w:tc>
        <w:tc>
          <w:tcPr>
            <w:tcW w:type="dxa" w:w="1728"/>
            <w:shd w:fill="FFFFFF" w:val="clear"/>
          </w:tcPr>
          <w:p>
            <w:pPr>
              <w:jc w:val="center"/>
            </w:pPr>
            <w:r>
              <w:rPr>
                <w:rFonts w:ascii="Times New Roman" w:hAnsi="Times New Roman"/>
                <w:b w:val="0"/>
                <w:color w:val="1A1A2E"/>
                <w:sz w:val="18"/>
              </w:rPr>
              <w:t>34.9%</w:t>
            </w:r>
          </w:p>
        </w:tc>
        <w:tc>
          <w:tcPr>
            <w:tcW w:type="dxa" w:w="1728"/>
            <w:shd w:fill="FFFFFF" w:val="clear"/>
          </w:tcPr>
          <w:p>
            <w:pPr>
              <w:jc w:val="center"/>
            </w:pPr>
            <w:r>
              <w:rPr>
                <w:rFonts w:ascii="Times New Roman" w:hAnsi="Times New Roman"/>
                <w:b w:val="0"/>
                <w:color w:val="1A1A2E"/>
                <w:sz w:val="18"/>
              </w:rPr>
              <w:t>—</w:t>
            </w:r>
          </w:p>
        </w:tc>
        <w:tc>
          <w:tcPr>
            <w:tcW w:type="dxa" w:w="1728"/>
            <w:shd w:fill="FFFFFF" w:val="clear"/>
          </w:tcPr>
          <w:p>
            <w:pPr>
              <w:jc w:val="center"/>
            </w:pPr>
            <w:r>
              <w:rPr>
                <w:rFonts w:ascii="Times New Roman" w:hAnsi="Times New Roman"/>
                <w:b w:val="0"/>
                <w:color w:val="1A1A2E"/>
                <w:sz w:val="18"/>
              </w:rPr>
              <w:t>CBAM formal levy; anti-subsidy investigation risk; FSR review</w:t>
            </w:r>
          </w:p>
        </w:tc>
      </w:tr>
      <w:tr>
        <w:tc>
          <w:tcPr>
            <w:tcW w:type="dxa" w:w="1728"/>
            <w:shd w:fill="F2F4F7" w:val="clear"/>
          </w:tcPr>
          <w:p>
            <w:pPr>
              <w:jc w:val="center"/>
            </w:pPr>
            <w:r>
              <w:rPr>
                <w:rFonts w:ascii="Times New Roman" w:hAnsi="Times New Roman"/>
                <w:b w:val="0"/>
                <w:color w:val="1A1A2E"/>
                <w:sz w:val="18"/>
              </w:rPr>
              <w:t>Americas</w:t>
            </w:r>
          </w:p>
        </w:tc>
        <w:tc>
          <w:tcPr>
            <w:tcW w:type="dxa" w:w="1728"/>
            <w:shd w:fill="F2F4F7" w:val="clear"/>
          </w:tcPr>
          <w:p>
            <w:pPr>
              <w:jc w:val="center"/>
            </w:pPr>
            <w:r>
              <w:rPr>
                <w:rFonts w:ascii="Times New Roman" w:hAnsi="Times New Roman"/>
                <w:b w:val="0"/>
                <w:color w:val="1A1A2E"/>
                <w:sz w:val="18"/>
              </w:rPr>
              <w:t>925.1</w:t>
            </w:r>
          </w:p>
        </w:tc>
        <w:tc>
          <w:tcPr>
            <w:tcW w:type="dxa" w:w="1728"/>
            <w:shd w:fill="F2F4F7" w:val="clear"/>
          </w:tcPr>
          <w:p>
            <w:pPr>
              <w:jc w:val="center"/>
            </w:pPr>
            <w:r>
              <w:rPr>
                <w:rFonts w:ascii="Times New Roman" w:hAnsi="Times New Roman"/>
                <w:b w:val="0"/>
                <w:color w:val="1A1A2E"/>
                <w:sz w:val="18"/>
              </w:rPr>
              <w:t>29.4%</w:t>
            </w:r>
          </w:p>
        </w:tc>
        <w:tc>
          <w:tcPr>
            <w:tcW w:type="dxa" w:w="1728"/>
            <w:shd w:fill="F2F4F7" w:val="clear"/>
          </w:tcPr>
          <w:p>
            <w:pPr>
              <w:jc w:val="center"/>
            </w:pPr>
            <w:r>
              <w:rPr>
                <w:rFonts w:ascii="Times New Roman" w:hAnsi="Times New Roman"/>
                <w:b w:val="0"/>
                <w:color w:val="1A1A2E"/>
                <w:sz w:val="18"/>
              </w:rPr>
              <w:t>—</w:t>
            </w:r>
          </w:p>
        </w:tc>
        <w:tc>
          <w:tcPr>
            <w:tcW w:type="dxa" w:w="1728"/>
            <w:shd w:fill="F2F4F7" w:val="clear"/>
          </w:tcPr>
          <w:p>
            <w:pPr>
              <w:jc w:val="center"/>
            </w:pPr>
            <w:r>
              <w:rPr>
                <w:rFonts w:ascii="Times New Roman" w:hAnsi="Times New Roman"/>
                <w:b w:val="0"/>
                <w:color w:val="1A1A2E"/>
                <w:sz w:val="18"/>
              </w:rPr>
              <w:t>AD/CVD tariffs on SE Asia; reciprocal tariffs (VN 46%, MY 24%); IRA policy uncertainty</w:t>
            </w:r>
          </w:p>
        </w:tc>
      </w:tr>
      <w:tr>
        <w:tc>
          <w:tcPr>
            <w:tcW w:type="dxa" w:w="1728"/>
            <w:shd w:fill="FFFFFF" w:val="clear"/>
          </w:tcPr>
          <w:p>
            <w:pPr>
              <w:jc w:val="center"/>
            </w:pPr>
            <w:r>
              <w:rPr>
                <w:rFonts w:ascii="Times New Roman" w:hAnsi="Times New Roman"/>
                <w:b w:val="0"/>
                <w:color w:val="1A1A2E"/>
                <w:sz w:val="18"/>
              </w:rPr>
              <w:t>Asia-Pacific</w:t>
            </w:r>
          </w:p>
        </w:tc>
        <w:tc>
          <w:tcPr>
            <w:tcW w:type="dxa" w:w="1728"/>
            <w:shd w:fill="FFFFFF" w:val="clear"/>
          </w:tcPr>
          <w:p>
            <w:pPr>
              <w:jc w:val="center"/>
            </w:pPr>
            <w:r>
              <w:rPr>
                <w:rFonts w:ascii="Times New Roman" w:hAnsi="Times New Roman"/>
                <w:b w:val="0"/>
                <w:color w:val="1A1A2E"/>
                <w:sz w:val="18"/>
              </w:rPr>
              <w:t>855.8</w:t>
            </w:r>
          </w:p>
        </w:tc>
        <w:tc>
          <w:tcPr>
            <w:tcW w:type="dxa" w:w="1728"/>
            <w:shd w:fill="FFFFFF" w:val="clear"/>
          </w:tcPr>
          <w:p>
            <w:pPr>
              <w:jc w:val="center"/>
            </w:pPr>
            <w:r>
              <w:rPr>
                <w:rFonts w:ascii="Times New Roman" w:hAnsi="Times New Roman"/>
                <w:b w:val="0"/>
                <w:color w:val="1A1A2E"/>
                <w:sz w:val="18"/>
              </w:rPr>
              <w:t>27.2%</w:t>
            </w:r>
          </w:p>
        </w:tc>
        <w:tc>
          <w:tcPr>
            <w:tcW w:type="dxa" w:w="1728"/>
            <w:shd w:fill="FFFFFF" w:val="clear"/>
          </w:tcPr>
          <w:p>
            <w:pPr>
              <w:jc w:val="center"/>
            </w:pPr>
            <w:r>
              <w:rPr>
                <w:rFonts w:ascii="Times New Roman" w:hAnsi="Times New Roman"/>
                <w:b w:val="0"/>
                <w:color w:val="1A1A2E"/>
                <w:sz w:val="18"/>
              </w:rPr>
              <w:t>—</w:t>
            </w:r>
          </w:p>
        </w:tc>
        <w:tc>
          <w:tcPr>
            <w:tcW w:type="dxa" w:w="1728"/>
            <w:shd w:fill="FFFFFF" w:val="clear"/>
          </w:tcPr>
          <w:p>
            <w:pPr>
              <w:jc w:val="center"/>
            </w:pPr>
            <w:r>
              <w:rPr>
                <w:rFonts w:ascii="Times New Roman" w:hAnsi="Times New Roman"/>
                <w:b w:val="0"/>
                <w:color w:val="1A1A2E"/>
                <w:sz w:val="18"/>
              </w:rPr>
              <w:t>India BCD tariffs and ALMM restrictions; intensifying competition</w:t>
            </w:r>
          </w:p>
        </w:tc>
      </w:tr>
      <w:tr>
        <w:tc>
          <w:tcPr>
            <w:tcW w:type="dxa" w:w="1728"/>
            <w:shd w:fill="F2F4F7" w:val="clear"/>
          </w:tcPr>
          <w:p>
            <w:pPr>
              <w:jc w:val="center"/>
            </w:pPr>
            <w:r>
              <w:rPr>
                <w:rFonts w:ascii="Times New Roman" w:hAnsi="Times New Roman"/>
                <w:b w:val="0"/>
                <w:color w:val="1A1A2E"/>
                <w:sz w:val="18"/>
              </w:rPr>
              <w:t>Middle East &amp; Africa</w:t>
            </w:r>
          </w:p>
        </w:tc>
        <w:tc>
          <w:tcPr>
            <w:tcW w:type="dxa" w:w="1728"/>
            <w:shd w:fill="F2F4F7" w:val="clear"/>
          </w:tcPr>
          <w:p>
            <w:pPr>
              <w:jc w:val="center"/>
            </w:pPr>
            <w:r>
              <w:rPr>
                <w:rFonts w:ascii="Times New Roman" w:hAnsi="Times New Roman"/>
                <w:b w:val="0"/>
                <w:color w:val="1A1A2E"/>
                <w:sz w:val="18"/>
              </w:rPr>
              <w:t>268.2</w:t>
            </w:r>
          </w:p>
        </w:tc>
        <w:tc>
          <w:tcPr>
            <w:tcW w:type="dxa" w:w="1728"/>
            <w:shd w:fill="F2F4F7" w:val="clear"/>
          </w:tcPr>
          <w:p>
            <w:pPr>
              <w:jc w:val="center"/>
            </w:pPr>
            <w:r>
              <w:rPr>
                <w:rFonts w:ascii="Times New Roman" w:hAnsi="Times New Roman"/>
                <w:b w:val="0"/>
                <w:color w:val="1A1A2E"/>
                <w:sz w:val="18"/>
              </w:rPr>
              <w:t>8.5%</w:t>
            </w:r>
          </w:p>
        </w:tc>
        <w:tc>
          <w:tcPr>
            <w:tcW w:type="dxa" w:w="1728"/>
            <w:shd w:fill="F2F4F7" w:val="clear"/>
          </w:tcPr>
          <w:p>
            <w:pPr>
              <w:jc w:val="center"/>
            </w:pPr>
            <w:r>
              <w:rPr>
                <w:rFonts w:ascii="Times New Roman" w:hAnsi="Times New Roman"/>
                <w:b w:val="0"/>
                <w:color w:val="1A1A2E"/>
                <w:sz w:val="18"/>
              </w:rPr>
              <w:t>—</w:t>
            </w:r>
          </w:p>
        </w:tc>
        <w:tc>
          <w:tcPr>
            <w:tcW w:type="dxa" w:w="1728"/>
            <w:shd w:fill="F2F4F7" w:val="clear"/>
          </w:tcPr>
          <w:p>
            <w:pPr>
              <w:jc w:val="center"/>
            </w:pPr>
            <w:r>
              <w:rPr>
                <w:rFonts w:ascii="Times New Roman" w:hAnsi="Times New Roman"/>
                <w:b w:val="0"/>
                <w:color w:val="1A1A2E"/>
                <w:sz w:val="18"/>
              </w:rPr>
              <w:t>Large potential but small base; rising localisation requirements</w:t>
            </w:r>
          </w:p>
        </w:tc>
      </w:tr>
      <w:tr>
        <w:tc>
          <w:tcPr>
            <w:tcW w:type="dxa" w:w="1728"/>
            <w:shd w:fill="FFFFFF" w:val="clear"/>
          </w:tcPr>
          <w:p>
            <w:pPr>
              <w:jc w:val="center"/>
            </w:pPr>
            <w:r>
              <w:rPr>
                <w:rFonts w:ascii="Times New Roman" w:hAnsi="Times New Roman"/>
                <w:b w:val="0"/>
                <w:color w:val="1A1A2E"/>
                <w:sz w:val="18"/>
              </w:rPr>
              <w:t>Total</w:t>
            </w:r>
          </w:p>
        </w:tc>
        <w:tc>
          <w:tcPr>
            <w:tcW w:type="dxa" w:w="1728"/>
            <w:shd w:fill="FFFFFF" w:val="clear"/>
          </w:tcPr>
          <w:p>
            <w:pPr>
              <w:jc w:val="center"/>
            </w:pPr>
            <w:r>
              <w:rPr>
                <w:rFonts w:ascii="Times New Roman" w:hAnsi="Times New Roman"/>
                <w:b w:val="0"/>
                <w:color w:val="1A1A2E"/>
                <w:sz w:val="18"/>
              </w:rPr>
              <w:t>3,148.0</w:t>
            </w:r>
          </w:p>
        </w:tc>
        <w:tc>
          <w:tcPr>
            <w:tcW w:type="dxa" w:w="1728"/>
            <w:shd w:fill="FFFFFF" w:val="clear"/>
          </w:tcPr>
          <w:p>
            <w:pPr>
              <w:jc w:val="center"/>
            </w:pPr>
            <w:r>
              <w:rPr>
                <w:rFonts w:ascii="Times New Roman" w:hAnsi="Times New Roman"/>
                <w:b w:val="0"/>
                <w:color w:val="1A1A2E"/>
                <w:sz w:val="18"/>
              </w:rPr>
              <w:t>100.0%</w:t>
            </w:r>
          </w:p>
        </w:tc>
        <w:tc>
          <w:tcPr>
            <w:tcW w:type="dxa" w:w="1728"/>
            <w:shd w:fill="FFFFFF" w:val="clear"/>
          </w:tcPr>
          <w:p>
            <w:pPr>
              <w:jc w:val="center"/>
            </w:pPr>
            <w:r>
              <w:rPr>
                <w:rFonts w:ascii="Times New Roman" w:hAnsi="Times New Roman"/>
                <w:b w:val="0"/>
                <w:color w:val="1A1A2E"/>
                <w:sz w:val="18"/>
              </w:rPr>
              <w:t>—</w:t>
            </w:r>
          </w:p>
        </w:tc>
        <w:tc>
          <w:tcPr>
            <w:tcW w:type="dxa" w:w="1728"/>
            <w:shd w:fill="FFFFFF" w:val="clear"/>
          </w:tcPr>
          <w:p>
            <w:pPr>
              <w:jc w:val="center"/>
            </w:pPr>
            <w:r>
              <w:rPr>
                <w:rFonts w:ascii="Times New Roman" w:hAnsi="Times New Roman"/>
                <w:b w:val="0"/>
                <w:color w:val="1A1A2E"/>
                <w:sz w:val="18"/>
              </w:rPr>
              <w:t>—</w:t>
            </w:r>
          </w:p>
        </w:tc>
      </w:tr>
    </w:tbl>
    <w:p>
      <w:pPr>
        <w:spacing w:before="0" w:after="240" w:line="360" w:lineRule="auto"/>
        <w:jc w:val="center"/>
      </w:pPr>
      <w:r>
        <w:rPr>
          <w:rFonts w:ascii="Times New Roman" w:hAnsi="Times New Roman" w:eastAsia="Times New Roman"/>
          <w:b w:val="0"/>
          <w:i/>
          <w:sz w:val="18"/>
        </w:rPr>
        <w:t>Data Source: Futu Niuniu LONGi Green Energy 2025 Revenue Composition Data</w:t>
      </w:r>
    </w:p>
    <w:p>
      <w:pPr>
        <w:spacing w:before="120" w:after="120" w:line="360" w:lineRule="auto"/>
        <w:jc w:val="left"/>
      </w:pPr>
      <w:r>
        <w:rPr>
          <w:rFonts w:ascii="Times New Roman" w:hAnsi="Times New Roman" w:eastAsia="Times New Roman"/>
          <w:b/>
          <w:i w:val="0"/>
          <w:sz w:val="24"/>
        </w:rPr>
        <w:t>3.3 Core Problem Diagnosis</w:t>
      </w:r>
    </w:p>
    <w:p>
      <w:pPr>
        <w:spacing w:before="0" w:after="80" w:line="360" w:lineRule="auto"/>
        <w:jc w:val="left"/>
      </w:pPr>
      <w:r>
        <w:rPr>
          <w:rFonts w:ascii="Times New Roman" w:hAnsi="Times New Roman" w:eastAsia="Times New Roman"/>
          <w:b/>
          <w:i w:val="0"/>
          <w:sz w:val="24"/>
        </w:rPr>
        <w:t>Financial "Three Declines":</w:t>
      </w:r>
    </w:p>
    <w:p>
      <w:pPr>
        <w:spacing w:before="0" w:after="80" w:line="360" w:lineRule="auto"/>
        <w:jc w:val="left"/>
      </w:pPr>
      <w:r>
        <w:rPr>
          <w:rFonts w:ascii="Times New Roman" w:hAnsi="Times New Roman" w:eastAsia="Times New Roman"/>
          <w:b w:val="0"/>
          <w:i w:val="0"/>
          <w:sz w:val="24"/>
        </w:rPr>
        <w:t>Revenue in continuous decline: 2025 operating revenue fell another 14.82% year-on-year, having dropped over RMB 59 billion from the 2023 peak of RMB 129.4 billion.</w:t>
      </w:r>
    </w:p>
    <w:p>
      <w:pPr>
        <w:spacing w:before="0" w:after="80" w:line="360" w:lineRule="auto"/>
        <w:jc w:val="left"/>
      </w:pPr>
      <w:r>
        <w:rPr>
          <w:rFonts w:ascii="Times New Roman" w:hAnsi="Times New Roman" w:eastAsia="Times New Roman"/>
          <w:b w:val="0"/>
          <w:i w:val="0"/>
          <w:sz w:val="24"/>
        </w:rPr>
        <w:t>Gross margin cliff-like decline: plummeted from 16.8% in 2023 to just 0.81% in 2025, indicating that pricing pressure has severely eroded core profitability.</w:t>
      </w:r>
    </w:p>
    <w:p>
      <w:pPr>
        <w:spacing w:before="0" w:after="160" w:line="360" w:lineRule="auto"/>
        <w:jc w:val="left"/>
      </w:pPr>
      <w:r>
        <w:rPr>
          <w:rFonts w:ascii="Times New Roman" w:hAnsi="Times New Roman" w:eastAsia="Times New Roman"/>
          <w:b w:val="0"/>
          <w:i w:val="0"/>
          <w:sz w:val="24"/>
        </w:rPr>
        <w:t>Deep net loss: a loss of RMB 8.618 billion in 2024, narrowing to RMB 6.420 billion in 2025 — combined losses exceeding RMB 15 billion over two years.</w:t>
      </w:r>
    </w:p>
    <w:p>
      <w:pPr>
        <w:spacing w:before="0" w:after="80" w:line="360" w:lineRule="auto"/>
        <w:jc w:val="left"/>
      </w:pPr>
      <w:r>
        <w:rPr>
          <w:rFonts w:ascii="Times New Roman" w:hAnsi="Times New Roman" w:eastAsia="Times New Roman"/>
          <w:b/>
          <w:i w:val="0"/>
          <w:sz w:val="24"/>
        </w:rPr>
        <w:t>Strategic "Four Misalignments":</w:t>
      </w:r>
    </w:p>
    <w:p>
      <w:pPr>
        <w:spacing w:before="0" w:after="80" w:line="360" w:lineRule="auto"/>
        <w:jc w:val="left"/>
      </w:pPr>
      <w:r>
        <w:rPr>
          <w:rFonts w:ascii="Times New Roman" w:hAnsi="Times New Roman" w:eastAsia="Times New Roman"/>
          <w:b w:val="0"/>
          <w:i w:val="0"/>
          <w:sz w:val="24"/>
        </w:rPr>
        <w:t>Market structure misalignment: 55% of revenue remains concentrated in the domestic Chinese market. While overseas revenue share rose to 44.7%, the primary European and American markets face increasingly stringent trade barriers.</w:t>
      </w:r>
    </w:p>
    <w:p>
      <w:pPr>
        <w:spacing w:before="0" w:after="80" w:line="360" w:lineRule="auto"/>
        <w:jc w:val="left"/>
      </w:pPr>
      <w:r>
        <w:rPr>
          <w:rFonts w:ascii="Times New Roman" w:hAnsi="Times New Roman" w:eastAsia="Times New Roman"/>
          <w:b w:val="0"/>
          <w:i w:val="0"/>
          <w:sz w:val="24"/>
        </w:rPr>
        <w:t>Product timing misalignment: before BC second-generation technology has ramped to scale, the main product portfolio still relies on conventional modules and wafers, preventing differentiation advantages from being fully monetised.</w:t>
      </w:r>
    </w:p>
    <w:p>
      <w:pPr>
        <w:spacing w:before="0" w:after="80" w:line="360" w:lineRule="auto"/>
        <w:jc w:val="left"/>
      </w:pPr>
      <w:r>
        <w:rPr>
          <w:rFonts w:ascii="Times New Roman" w:hAnsi="Times New Roman" w:eastAsia="Times New Roman"/>
          <w:b w:val="0"/>
          <w:i w:val="0"/>
          <w:sz w:val="24"/>
        </w:rPr>
        <w:t>Capacity deployment misalignment: overseas manufacturing bases in Malaysia and Vietnam remain heavily dependent on Asian supply chains, making it difficult to effectively circumvent origin-based tariffs.</w:t>
      </w:r>
    </w:p>
    <w:p>
      <w:pPr>
        <w:spacing w:before="0" w:after="160" w:line="360" w:lineRule="auto"/>
        <w:jc w:val="left"/>
      </w:pPr>
      <w:r>
        <w:rPr>
          <w:rFonts w:ascii="Times New Roman" w:hAnsi="Times New Roman" w:eastAsia="Times New Roman"/>
          <w:b w:val="0"/>
          <w:i w:val="0"/>
          <w:sz w:val="24"/>
        </w:rPr>
        <w:t>Cost-price misalignment: industry-wide price wars have driven product selling prices below production costs, rendering even excellent cost control insufficient for profitability.</w:t>
      </w:r>
    </w:p>
    <w:p>
      <w:pPr>
        <w:spacing w:before="240" w:after="120" w:line="360" w:lineRule="auto"/>
        <w:jc w:val="left"/>
      </w:pPr>
      <w:r>
        <w:rPr>
          <w:rFonts w:ascii="Times New Roman" w:hAnsi="Times New Roman" w:eastAsia="Times New Roman"/>
          <w:b/>
          <w:i w:val="0"/>
          <w:sz w:val="28"/>
        </w:rPr>
        <w:t>IV. In-Depth Analysis of External Challenges</w:t>
      </w:r>
    </w:p>
    <w:p>
      <w:pPr>
        <w:spacing w:before="120" w:after="120" w:line="360" w:lineRule="auto"/>
        <w:jc w:val="left"/>
      </w:pPr>
      <w:r>
        <w:rPr>
          <w:rFonts w:ascii="Times New Roman" w:hAnsi="Times New Roman" w:eastAsia="Times New Roman"/>
          <w:b/>
          <w:i w:val="0"/>
          <w:sz w:val="24"/>
        </w:rPr>
        <w:t>4.1 The U.S. Market: Multi-Layered Tariff Superimposition</w:t>
      </w:r>
    </w:p>
    <w:p>
      <w:pPr>
        <w:spacing w:before="0" w:after="120" w:line="360" w:lineRule="auto"/>
        <w:jc w:val="left"/>
      </w:pPr>
      <w:r>
        <w:rPr>
          <w:rFonts w:ascii="Times New Roman" w:hAnsi="Times New Roman" w:eastAsia="Times New Roman"/>
          <w:b w:val="0"/>
          <w:i w:val="0"/>
          <w:sz w:val="24"/>
        </w:rPr>
        <w:t>The U.S. trade barrier structure has evolved into a multi-layered framework. The base layer comprises Section 201 tariffs (with the original bifacial module exemption revoked in 2024). The core layer consists of anti-dumping and countervailing duties on the four Southeast Asian countries (anti-dumping up to 271.28%, countervailing up to 3,403.96%). The emerging layer is the reciprocal tariff effective from April 2025 (scheduled to rise by 9 July 2025 to Vietnam 46%, Malaysia 24%, Thailand 36%, Cambodia 49%).</w:t>
      </w:r>
    </w:p>
    <w:p>
      <w:pPr>
        <w:spacing w:before="0" w:after="120" w:line="360" w:lineRule="auto"/>
        <w:jc w:val="left"/>
      </w:pPr>
      <w:r>
        <w:rPr>
          <w:rFonts w:ascii="Times New Roman" w:hAnsi="Times New Roman" w:eastAsia="Times New Roman"/>
          <w:b w:val="0"/>
          <w:i w:val="0"/>
          <w:sz w:val="24"/>
        </w:rPr>
        <w:t>More alarmingly, the U.S. Department of Justice formally withdrew its appeal against the Southeast Asian four-country PV tariff exemption order in February 2026. Under current estimates, approximately 88 GW of PV capacity imported during this tariff exemption period faces retrospective tariff risks of USD 50–70 billion.</w:t>
      </w:r>
    </w:p>
    <w:p>
      <w:pPr>
        <w:spacing w:before="120" w:after="120" w:line="360" w:lineRule="auto"/>
        <w:jc w:val="left"/>
      </w:pPr>
      <w:r>
        <w:rPr>
          <w:rFonts w:ascii="Times New Roman" w:hAnsi="Times New Roman" w:eastAsia="Times New Roman"/>
          <w:b/>
          <w:i w:val="0"/>
          <w:sz w:val="24"/>
        </w:rPr>
        <w:t>4.2 The EU Market: CBAM Implementation and Rising Protectionism</w:t>
      </w:r>
    </w:p>
    <w:p>
      <w:pPr>
        <w:spacing w:before="0" w:after="80" w:line="360" w:lineRule="auto"/>
        <w:jc w:val="left"/>
      </w:pPr>
      <w:r>
        <w:rPr>
          <w:rFonts w:ascii="Times New Roman" w:hAnsi="Times New Roman" w:eastAsia="Times New Roman"/>
          <w:b w:val="0"/>
          <w:i w:val="0"/>
          <w:sz w:val="24"/>
        </w:rPr>
        <w:t>EU-level trade barriers are transitioning from an "investigation phase" to an "implementation phase":</w:t>
      </w:r>
    </w:p>
    <w:p>
      <w:pPr>
        <w:spacing w:before="0" w:after="80" w:line="360" w:lineRule="auto"/>
        <w:jc w:val="left"/>
      </w:pPr>
      <w:r>
        <w:rPr>
          <w:rFonts w:ascii="Times New Roman" w:hAnsi="Times New Roman" w:eastAsia="Times New Roman"/>
          <w:b w:val="0"/>
          <w:i w:val="0"/>
          <w:sz w:val="24"/>
        </w:rPr>
        <w:t>CBAM formal levy: From 1 January 2026, CBAM enters formal enforcement, requiring importers to purchase CBAM certificates at the EU carbon price (approximately €72/tonne). The European Solar Manufacturing Council is actively lobbying to extend CBAM coverage to solar modules, tracking systems, and mounting structures — approval would directly increase Chinese module export costs.</w:t>
      </w:r>
    </w:p>
    <w:p>
      <w:pPr>
        <w:spacing w:before="0" w:after="80" w:line="360" w:lineRule="auto"/>
        <w:jc w:val="left"/>
      </w:pPr>
      <w:r>
        <w:rPr>
          <w:rFonts w:ascii="Times New Roman" w:hAnsi="Times New Roman" w:eastAsia="Times New Roman"/>
          <w:b w:val="0"/>
          <w:i w:val="0"/>
          <w:sz w:val="24"/>
        </w:rPr>
        <w:t>Anti-subsidy investigation and overcapacity tools: Five countries jointly proposed import quotas and excess tariffs on Chinese advantage industrial products including PV; the European Commission has formally initiated research.</w:t>
      </w:r>
    </w:p>
    <w:p>
      <w:pPr>
        <w:spacing w:before="0" w:after="120" w:line="360" w:lineRule="auto"/>
        <w:jc w:val="left"/>
      </w:pPr>
      <w:r>
        <w:rPr>
          <w:rFonts w:ascii="Times New Roman" w:hAnsi="Times New Roman" w:eastAsia="Times New Roman"/>
          <w:b w:val="0"/>
          <w:i w:val="0"/>
          <w:sz w:val="24"/>
        </w:rPr>
        <w:t>FSR escalation: The EU has recently launched FSR investigations against multiple Chinese enterprises, spanning PV, new energy, and other sectors.</w:t>
      </w:r>
    </w:p>
    <w:p>
      <w:pPr>
        <w:spacing w:before="120" w:after="120" w:line="360" w:lineRule="auto"/>
        <w:jc w:val="left"/>
      </w:pPr>
      <w:r>
        <w:rPr>
          <w:rFonts w:ascii="Times New Roman" w:hAnsi="Times New Roman" w:eastAsia="Times New Roman"/>
          <w:b/>
          <w:i w:val="0"/>
          <w:sz w:val="24"/>
        </w:rPr>
        <w:t>4.3 India and Other Markets</w:t>
      </w:r>
    </w:p>
    <w:p>
      <w:pPr>
        <w:spacing w:before="0" w:after="120" w:line="360" w:lineRule="auto"/>
        <w:jc w:val="left"/>
      </w:pPr>
      <w:r>
        <w:rPr>
          <w:rFonts w:ascii="Times New Roman" w:hAnsi="Times New Roman" w:eastAsia="Times New Roman"/>
          <w:b w:val="0"/>
          <w:i w:val="0"/>
          <w:sz w:val="24"/>
        </w:rPr>
        <w:t>In India, while Basic Customs Duties (BCD) were moderately reduced in 2025, the ALMM (Approved List of Models and Manufacturers) regime still severely constrains direct export opportunities for Chinese manufacturers. Emerging markets in the Middle East and Africa present lower tariff barriers, but competitive intensity is rapidly escalating.</w:t>
      </w:r>
    </w:p>
    <w:p>
      <w:pPr>
        <w:spacing w:before="240" w:after="120" w:line="360" w:lineRule="auto"/>
        <w:jc w:val="left"/>
      </w:pPr>
      <w:r>
        <w:rPr>
          <w:rFonts w:ascii="Times New Roman" w:hAnsi="Times New Roman" w:eastAsia="Times New Roman"/>
          <w:b/>
          <w:i w:val="0"/>
          <w:sz w:val="28"/>
        </w:rPr>
        <w:t>V. LONGi's Internal Strategic Layout (Based on Latest 2025 Developments)</w:t>
      </w:r>
    </w:p>
    <w:p>
      <w:pPr>
        <w:spacing w:before="0" w:after="120" w:line="360" w:lineRule="auto"/>
        <w:jc w:val="left"/>
      </w:pPr>
      <w:r>
        <w:rPr>
          <w:rFonts w:ascii="Times New Roman" w:hAnsi="Times New Roman" w:eastAsia="Times New Roman"/>
          <w:b w:val="0"/>
          <w:i w:val="0"/>
          <w:sz w:val="24"/>
        </w:rPr>
        <w:t>Before proposing the solutions in this report, it is necessary to review the strategic initiatives LONGi is already pursuing, so that proposed supplements and optimisations can better align with the company's actual situation:</w:t>
      </w:r>
    </w:p>
    <w:p>
      <w:pPr>
        <w:spacing w:before="120" w:after="120" w:line="360" w:lineRule="auto"/>
        <w:jc w:val="left"/>
      </w:pPr>
      <w:r>
        <w:rPr>
          <w:rFonts w:ascii="Times New Roman" w:hAnsi="Times New Roman" w:eastAsia="Times New Roman"/>
          <w:b/>
          <w:i w:val="0"/>
          <w:sz w:val="24"/>
        </w:rPr>
        <w:t>5.1 BC Technology Capacity Deployment</w:t>
      </w:r>
    </w:p>
    <w:p>
      <w:pPr>
        <w:spacing w:before="0" w:after="120" w:line="360" w:lineRule="auto"/>
        <w:jc w:val="left"/>
      </w:pPr>
      <w:r>
        <w:rPr>
          <w:rFonts w:ascii="Times New Roman" w:hAnsi="Times New Roman" w:eastAsia="Times New Roman"/>
          <w:b w:val="0"/>
          <w:i w:val="0"/>
          <w:sz w:val="24"/>
        </w:rPr>
        <w:t>BC second-generation capacity is accelerating. By end-2025, combined BC first-generation and BC second-generation capacity will reach approximately 70 GW. By end-2026, all domestic factories — with the exception of select overseas facilities — will have migrated to BC technology. As of June 2025, BC second-generation monthly production had reached 2 GW, projected to hit 3 GW in September and 4 GW in November. BC production lines are operating at 100% utilisation against an industry-wide rate of under 60%, strongly validating the anti-cyclical resilience afforded by technological differentiation.</w:t>
      </w:r>
    </w:p>
    <w:p>
      <w:pPr>
        <w:spacing w:before="0" w:after="120" w:line="360" w:lineRule="auto"/>
        <w:jc w:val="left"/>
      </w:pPr>
      <w:r>
        <w:rPr>
          <w:rFonts w:ascii="Times New Roman" w:hAnsi="Times New Roman" w:eastAsia="Times New Roman"/>
          <w:b w:val="0"/>
          <w:i w:val="0"/>
          <w:sz w:val="24"/>
        </w:rPr>
        <w:t>The Jiaxing "Lighthouse Factory" — the only PV industry lighthouse factory globally recognised by the World Economic Forum — has been fully upgraded to HPBC 2.0 production lines. The Hi-MO X10 module, based on HPBC 2.0 technology, achieves a maximum mass production power output of 670W with a module efficiency of 24.8%, experiencing demand that outstrips supply among downstream customers.</w:t>
      </w:r>
    </w:p>
    <w:p>
      <w:pPr>
        <w:spacing w:before="120" w:after="120" w:line="360" w:lineRule="auto"/>
        <w:jc w:val="left"/>
      </w:pPr>
      <w:r>
        <w:rPr>
          <w:rFonts w:ascii="Times New Roman" w:hAnsi="Times New Roman" w:eastAsia="Times New Roman"/>
          <w:b/>
          <w:i w:val="0"/>
          <w:sz w:val="24"/>
        </w:rPr>
        <w:t>5.2 U.S. Localised Manufacturing</w:t>
      </w:r>
    </w:p>
    <w:p>
      <w:pPr>
        <w:spacing w:before="0" w:after="120" w:line="360" w:lineRule="auto"/>
        <w:jc w:val="left"/>
      </w:pPr>
      <w:r>
        <w:rPr>
          <w:rFonts w:ascii="Times New Roman" w:hAnsi="Times New Roman" w:eastAsia="Times New Roman"/>
          <w:b w:val="0"/>
          <w:i w:val="0"/>
          <w:sz w:val="24"/>
        </w:rPr>
        <w:t>LONGi's 5 GW module factory in Ohio, a joint venture with U.S. energy giant Invenergy, commenced production in January 2024 and achieved an 85% capacity utilisation rate in 2025. Operating under an "Asia supply + North America manufacturing" model, the facility serves U.S. domestic demand and benefits from an IRA tax credit of USD 0.11/W. It has successfully entered public utility procurement lists. LONGi stated on its investor relations platform that the company's 5 GW module capacity in the U.S., held through a minority-share joint venture, is fully operational. The facility primarily imports raw materials from outside the U.S., and the cost increase attributable to the current round of "reciprocal tariffs" remains at a relatively low level within the industry.</w:t>
      </w:r>
    </w:p>
    <w:p>
      <w:pPr>
        <w:spacing w:before="120" w:after="120" w:line="360" w:lineRule="auto"/>
        <w:jc w:val="left"/>
      </w:pPr>
      <w:r>
        <w:rPr>
          <w:rFonts w:ascii="Times New Roman" w:hAnsi="Times New Roman" w:eastAsia="Times New Roman"/>
          <w:b/>
          <w:i w:val="0"/>
          <w:sz w:val="24"/>
        </w:rPr>
        <w:t>5.3 BC Technology Cost Reduction and Product Portfolio Optimisation</w:t>
      </w:r>
    </w:p>
    <w:p>
      <w:pPr>
        <w:spacing w:before="0" w:after="120" w:line="360" w:lineRule="auto"/>
        <w:jc w:val="left"/>
      </w:pPr>
      <w:r>
        <w:rPr>
          <w:rFonts w:ascii="Times New Roman" w:hAnsi="Times New Roman" w:eastAsia="Times New Roman"/>
          <w:b w:val="0"/>
          <w:i w:val="0"/>
          <w:sz w:val="24"/>
        </w:rPr>
        <w:t>LONGi projects that by end-2025, both HPBC 2.0 battery and module capacity will increase to 50 GW. Of the newly added HPBC 2.0 battery capacity, approximately 50% comes from retrofitting existing HPBC 1.0 and PERC battery production lines, reducing new-build costs. LONGi's target is for HPBC 2.0 manufacturing costs to approach those of TOPCon by end-2025, achieving the ideal profitability structure of "technology premium + cost parity."</w:t>
      </w:r>
    </w:p>
    <w:p>
      <w:pPr>
        <w:spacing w:before="240" w:after="120" w:line="360" w:lineRule="auto"/>
        <w:jc w:val="left"/>
      </w:pPr>
      <w:r>
        <w:rPr>
          <w:rFonts w:ascii="Times New Roman" w:hAnsi="Times New Roman" w:eastAsia="Times New Roman"/>
          <w:b/>
          <w:i w:val="0"/>
          <w:sz w:val="28"/>
        </w:rPr>
        <w:t>VI. Business Proposal: LONGi Green Energy Global Export Strategy Optimisation Plan</w:t>
      </w:r>
    </w:p>
    <w:p>
      <w:pPr>
        <w:spacing w:before="0" w:after="120" w:line="360" w:lineRule="auto"/>
        <w:jc w:val="left"/>
      </w:pPr>
      <w:r>
        <w:rPr>
          <w:rFonts w:ascii="Times New Roman" w:hAnsi="Times New Roman" w:eastAsia="Times New Roman"/>
          <w:b w:val="0"/>
          <w:i w:val="0"/>
          <w:sz w:val="24"/>
        </w:rPr>
        <w:t>Against the backdrop of a deteriorating international trade environment and a reshaping global PV industry competitive landscape, LONGi Green Energy's export predicament is no longer merely a cyclical issue — it represents the concentrated manifestation of structural challenges facing its globalised business model. From an international trade perspective, the company's future competitive advantage should no longer rely on low-cost manufacturing and scale expansion, but should instead pivot towards a new internationalisation model built on "technology leadership, localised manufacturing, and market diversification."</w:t>
      </w:r>
    </w:p>
    <w:p>
      <w:pPr>
        <w:spacing w:before="0" w:after="120" w:line="360" w:lineRule="auto"/>
        <w:jc w:val="left"/>
      </w:pPr>
      <w:r>
        <w:rPr>
          <w:rFonts w:ascii="Times New Roman" w:hAnsi="Times New Roman" w:eastAsia="Times New Roman"/>
          <w:b w:val="0"/>
          <w:i w:val="0"/>
          <w:sz w:val="24"/>
        </w:rPr>
        <w:t>Building on the preceding analysis of the company's operational performance, export structure, and international trade environment, this report proposes a tripartite strategic optimisation framework of "market rebalancing, technology value enhancement, and supply chain localisation" as the core pathway for LONGi Green Energy's global export strategy adjustment over the next three years (2026–2028).</w:t>
      </w:r>
    </w:p>
    <w:p>
      <w:pPr>
        <w:spacing w:before="0" w:after="240" w:line="360" w:lineRule="auto"/>
        <w:jc w:val="left"/>
      </w:pPr>
      <w:r>
        <w:rPr>
          <w:rFonts w:ascii="Times New Roman" w:hAnsi="Times New Roman" w:eastAsia="Times New Roman"/>
          <w:b w:val="0"/>
          <w:i w:val="0"/>
          <w:sz w:val="24"/>
        </w:rPr>
        <w:t>This plan sets the following targets: by 2028, overseas revenue should account for over 55% of total company revenue; Middle East and Africa market revenue should represent approximately 20% of overseas revenue; BC technology products should account for over 65% of overseas shipment volumes; overseas business gross margin should recover to 12%–15%; and overseas manufacturing capacity should represent 20%–25% of total capacity — thereby establishing a more balanced, stable, and sustainable global market layout.</w:t>
      </w:r>
    </w:p>
    <w:p>
      <w:pPr>
        <w:spacing w:before="120" w:after="120" w:line="360" w:lineRule="auto"/>
        <w:jc w:val="left"/>
      </w:pPr>
      <w:r>
        <w:rPr>
          <w:rFonts w:ascii="Times New Roman" w:hAnsi="Times New Roman" w:eastAsia="Times New Roman"/>
          <w:b/>
          <w:i w:val="0"/>
          <w:sz w:val="24"/>
        </w:rPr>
        <w:t>(A) Market Rebalancing Strategy: Accelerating Emerging Market Expansion</w:t>
      </w:r>
    </w:p>
    <w:p>
      <w:pPr>
        <w:spacing w:before="0" w:after="120" w:line="360" w:lineRule="auto"/>
        <w:jc w:val="left"/>
      </w:pPr>
      <w:r>
        <w:rPr>
          <w:rFonts w:ascii="Times New Roman" w:hAnsi="Times New Roman" w:eastAsia="Times New Roman"/>
          <w:b w:val="0"/>
          <w:i w:val="0"/>
          <w:sz w:val="24"/>
        </w:rPr>
        <w:t>Currently, LONGi Green Energy's overseas revenue remains heavily concentrated in European and American markets. Based on 2025 revenue composition data, the European market generated RMB 10.989 billion (34.9% of overseas revenue), while the Americas generated RMB 9.251 billion (29.4%), with these two markets combined accounting for 64.3%. However, these are precisely the markets where trade protection measures are most concentrated: the U.S. continues to implement anti-dumping, countervailing, and reciprocal tariff policies, while the EU raises entry barriers for Chinese PV products through CBAM and the Foreign Subsidies Regulation — compounding export risk.</w:t>
      </w:r>
    </w:p>
    <w:p>
      <w:pPr>
        <w:spacing w:before="0" w:after="120" w:line="360" w:lineRule="auto"/>
        <w:jc w:val="left"/>
      </w:pPr>
      <w:r>
        <w:rPr>
          <w:rFonts w:ascii="Times New Roman" w:hAnsi="Times New Roman" w:eastAsia="Times New Roman"/>
          <w:b w:val="0"/>
          <w:i w:val="0"/>
          <w:sz w:val="24"/>
        </w:rPr>
        <w:t>Therefore, reducing market concentration and accelerating emerging market deployment has become a critical direction for LONGi Green Energy to optimise its global market structure. Over the next three years, the company should prioritise the Middle East, Africa, and Latin America. The Middle East is undergoing rapid energy transition, with Saudi Arabia's "Vision 2030," the UAE's National Energy Strategy, and the NEOM megacity project all set to unleash substantial PV demand. Africa, driven by electricity shortages and growing new energy investment, presents expanding market potential. Latin America similarly maintains strong growth momentum under policy support and energy restructuring.</w:t>
      </w:r>
    </w:p>
    <w:p>
      <w:pPr>
        <w:spacing w:before="0" w:after="120" w:line="360" w:lineRule="auto"/>
        <w:jc w:val="left"/>
      </w:pPr>
      <w:r>
        <w:rPr>
          <w:rFonts w:ascii="Times New Roman" w:hAnsi="Times New Roman" w:eastAsia="Times New Roman"/>
          <w:b w:val="0"/>
          <w:i w:val="0"/>
          <w:sz w:val="24"/>
        </w:rPr>
        <w:t>From a revenue projection perspective, the Middle East and Africa region generated only RMB 2.682 billion in 2025, representing 8.5% of overseas revenue. If measures including regional operational centre establishment, key project partnerships, and localised service network enhancement can raise this share to 20%, then at 2025 overseas revenue scale, this would translate to approximately RMB 6.296 billion — an incremental revenue of over RMB 3.6 billion. Factoring in overall overseas business growth, the incremental market contribution is expected to be even larger.</w:t>
      </w:r>
    </w:p>
    <w:p>
      <w:pPr>
        <w:spacing w:before="0" w:after="240" w:line="360" w:lineRule="auto"/>
        <w:jc w:val="left"/>
      </w:pPr>
      <w:r>
        <w:rPr>
          <w:rFonts w:ascii="Times New Roman" w:hAnsi="Times New Roman" w:eastAsia="Times New Roman"/>
          <w:b w:val="0"/>
          <w:i w:val="0"/>
          <w:sz w:val="24"/>
        </w:rPr>
        <w:t>Accordingly, it is recommended that LONGi Green Energy establish Dubai as its regional operational centre, progressively building a marketing and service network covering the Gulf Cooperation Council (GCC) six countries, North Africa, and Southern Africa, while strengthening cooperation with local energy enterprises and government projects — driving the transition of export markets from "Europe-America dominated" to "global diversification" to mitigate systemic risks arising from trade barriers.</w:t>
      </w:r>
    </w:p>
    <w:p>
      <w:pPr>
        <w:spacing w:before="120" w:after="120" w:line="360" w:lineRule="auto"/>
        <w:jc w:val="left"/>
      </w:pPr>
      <w:r>
        <w:rPr>
          <w:rFonts w:ascii="Times New Roman" w:hAnsi="Times New Roman" w:eastAsia="Times New Roman"/>
          <w:b/>
          <w:i w:val="0"/>
          <w:sz w:val="24"/>
        </w:rPr>
        <w:t>(B) Technology Value Enhancement Strategy: Monetising BC Technology Premium</w:t>
      </w:r>
    </w:p>
    <w:p>
      <w:pPr>
        <w:spacing w:before="0" w:after="120" w:line="360" w:lineRule="auto"/>
        <w:jc w:val="left"/>
      </w:pPr>
      <w:r>
        <w:rPr>
          <w:rFonts w:ascii="Times New Roman" w:hAnsi="Times New Roman" w:eastAsia="Times New Roman"/>
          <w:b w:val="0"/>
          <w:i w:val="0"/>
          <w:sz w:val="24"/>
        </w:rPr>
        <w:t>From an industry development perspective, the global PV sector has transitioned from a phase of pure scale expansion into one of technological competition. The industry's prevailing TOPCon technology route has resulted in severe product homogenisation, intense price competition, and widespread margin compression. By contrast, LONGi Green Energy's strategic investment in BC technology offers higher conversion efficiency, superior aesthetics, and stronger scenario adaptability — providing the foundation for differentiated competitive advantage.</w:t>
      </w:r>
    </w:p>
    <w:p>
      <w:pPr>
        <w:spacing w:before="0" w:after="120" w:line="360" w:lineRule="auto"/>
        <w:jc w:val="left"/>
      </w:pPr>
      <w:r>
        <w:rPr>
          <w:rFonts w:ascii="Times New Roman" w:hAnsi="Times New Roman" w:eastAsia="Times New Roman"/>
          <w:b w:val="0"/>
          <w:i w:val="0"/>
          <w:sz w:val="24"/>
        </w:rPr>
        <w:t>As of 2025, LONGi's HPBC 2.0 modules have achieved a maximum mass production efficiency of 24.8%, with the next-generation HIBC product reaching 25.9%. Against an industry-wide capacity utilisation rate of under 60%, BC product production lines maintain high utilisation, indicating strong market demand for high-efficiency products. Therefore, the company should convert its technology leadership into market premium capability rather than continuing to participate in low-level price competition.</w:t>
      </w:r>
    </w:p>
    <w:p>
      <w:pPr>
        <w:spacing w:before="0" w:after="120" w:line="360" w:lineRule="auto"/>
        <w:jc w:val="left"/>
      </w:pPr>
      <w:r>
        <w:rPr>
          <w:rFonts w:ascii="Times New Roman" w:hAnsi="Times New Roman" w:eastAsia="Times New Roman"/>
          <w:b w:val="0"/>
          <w:i w:val="0"/>
          <w:sz w:val="24"/>
        </w:rPr>
        <w:t>Specifically, LONGi should implement differentiated product strategies tailored to different market characteristics. In the European market, promote low-carbon, high-efficiency BC modules to meet CBAM and green procurement requirements. In the Middle East market, emphasise power generation efficiency advantages under high-temperature conditions. In Latin America and Southeast Asia, balance performance with cost competitiveness. Simultaneously, the company should transition its business model from single-module sales to an integrated "PV module + energy storage system + O&amp;M service" solution, enhancing customer stickiness and added value.</w:t>
      </w:r>
    </w:p>
    <w:p>
      <w:pPr>
        <w:spacing w:before="0" w:after="240" w:line="360" w:lineRule="auto"/>
        <w:jc w:val="left"/>
      </w:pPr>
      <w:r>
        <w:rPr>
          <w:rFonts w:ascii="Times New Roman" w:hAnsi="Times New Roman" w:eastAsia="Times New Roman"/>
          <w:b w:val="0"/>
          <w:i w:val="0"/>
          <w:sz w:val="24"/>
        </w:rPr>
        <w:t>Using 2025 overseas revenue of RMB 31.48 billion as a base, with overseas gross margin at just 0.81%, overseas gross profit is approximately RMB 255 million. If technology upgrades and product portfolio optimisation can restore overseas gross margin to 12%, gross profit would increase to RMB 3.778 billion — an incremental profit space of over RMB 3.5 billion. This demonstrates that the technology premium strategy not only helps escape the price war trap but will also serve as a critical breakthrough for the company to restore profitability.</w:t>
      </w:r>
    </w:p>
    <w:p>
      <w:pPr>
        <w:spacing w:before="120" w:after="120" w:line="360" w:lineRule="auto"/>
        <w:jc w:val="left"/>
      </w:pPr>
      <w:r>
        <w:rPr>
          <w:rFonts w:ascii="Times New Roman" w:hAnsi="Times New Roman" w:eastAsia="Times New Roman"/>
          <w:b/>
          <w:i w:val="0"/>
          <w:sz w:val="24"/>
        </w:rPr>
        <w:t>(C) Global Supply Chain Restructuring Strategy: Deepening Overseas Capacity Localisation</w:t>
      </w:r>
    </w:p>
    <w:p>
      <w:pPr>
        <w:spacing w:before="0" w:after="120" w:line="360" w:lineRule="auto"/>
        <w:jc w:val="left"/>
      </w:pPr>
      <w:r>
        <w:rPr>
          <w:rFonts w:ascii="Times New Roman" w:hAnsi="Times New Roman" w:eastAsia="Times New Roman"/>
          <w:b w:val="0"/>
          <w:i w:val="0"/>
          <w:sz w:val="24"/>
        </w:rPr>
        <w:t>In recent years, the U.S., EU, and India have continuously raised trade barriers, making the traditional export model increasingly uncertain. In particular, after the U.S. implemented anti-circumvention investigations and high AD/CVD duties on PV products from the four Southeast Asian countries, Chinese PV enterprises' long-relied-upon "domestic production — Southeast Asian assembly — European/American export" supply chain model has been significantly disrupted. In this context, relying solely on product exports is no longer sufficient for global market competitiveness. Extending production factors to target markets and establishing localised supply chain systems has become an important trend for global new energy enterprises.</w:t>
      </w:r>
    </w:p>
    <w:p>
      <w:pPr>
        <w:spacing w:before="0" w:after="120" w:line="360" w:lineRule="auto"/>
        <w:jc w:val="left"/>
      </w:pPr>
      <w:r>
        <w:rPr>
          <w:rFonts w:ascii="Times New Roman" w:hAnsi="Times New Roman" w:eastAsia="Times New Roman"/>
          <w:b w:val="0"/>
          <w:i w:val="0"/>
          <w:sz w:val="24"/>
        </w:rPr>
        <w:t>Examining LONGi Green Energy's current overseas layout: the company has established production bases in Malaysia and Vietnam, and entered the U.S. domestic market through its 5 GW module factory joint venture with Invenergy in Ohio. Practice has demonstrated that U.S. localised production not only effectively circumvents certain trade barriers but also enables the company to enjoy IRA tax credit policies, enhancing product competitiveness. However, compared with competitors such as JinkoSolar and Trina Solar, LONGi's overseas manufacturing scale remains relatively limited, with considerable room for improvement in the overseas capacity-to-total capacity ratio.</w:t>
      </w:r>
    </w:p>
    <w:p>
      <w:pPr>
        <w:spacing w:before="0" w:after="120" w:line="360" w:lineRule="auto"/>
        <w:jc w:val="left"/>
      </w:pPr>
      <w:r>
        <w:rPr>
          <w:rFonts w:ascii="Times New Roman" w:hAnsi="Times New Roman" w:eastAsia="Times New Roman"/>
          <w:b w:val="0"/>
          <w:i w:val="0"/>
          <w:sz w:val="24"/>
        </w:rPr>
        <w:t>Therefore, over the next three years, LONGi Green Energy should further advance the "local manufacturing + regional supply chain" strategy, raising the overseas manufacturing capacity ratio from the current approximately 10% to 20%–25%, progressively building a globalised production network covering North America, Southeast Asia, and South Asia.</w:t>
      </w:r>
    </w:p>
    <w:p>
      <w:pPr>
        <w:spacing w:before="0" w:after="120" w:line="360" w:lineRule="auto"/>
        <w:jc w:val="left"/>
      </w:pPr>
      <w:r>
        <w:rPr>
          <w:rFonts w:ascii="Times New Roman" w:hAnsi="Times New Roman" w:eastAsia="Times New Roman"/>
          <w:b w:val="0"/>
          <w:i w:val="0"/>
          <w:sz w:val="24"/>
        </w:rPr>
        <w:t>Specifically: in the North American market, the company should deepen strategic synergy with partners such as Invenergy, progressively introducing BC technology production lines at the existing module factory to enhance local product value-add and market competitiveness. In Southeast Asia, a more flexible asset-light expansion model should be adopted, prioritising emerging manufacturing bases such as Indonesia — which face fewer U.S. trade restrictions — through cooperative factory construction and capacity leasing to reduce investment risk. In the Indian market, the company should explore the CKD (Completely Knocked Down) model, establishing joint ventures with local enterprises, navigating ALMM restrictions and localisation requirements while reducing direct investment costs.</w:t>
      </w:r>
    </w:p>
    <w:p>
      <w:pPr>
        <w:spacing w:before="0" w:after="120" w:line="360" w:lineRule="auto"/>
        <w:jc w:val="left"/>
      </w:pPr>
      <w:r>
        <w:rPr>
          <w:rFonts w:ascii="Times New Roman" w:hAnsi="Times New Roman" w:eastAsia="Times New Roman"/>
          <w:b w:val="0"/>
          <w:i w:val="0"/>
          <w:sz w:val="24"/>
        </w:rPr>
        <w:t>From an economic benefits perspective, while localised manufacturing requires upfront investment, it significantly reduces tariff costs and trade friction risk, enhancing the stability of market entry. In the U.S. market, for example, continued reliance on Southeast Asian supply chain exports risks high AD/CVD duties, whereas local production avoids such tariff impacts while benefiting from IRA subsidies, improving product margin levels. Meanwhile, asset-light cooperative models can reduce initial investment expenditure by approximately 40%–50% compared to wholly-owned factory construction, enhancing capital utilisation efficiency and shortening the investment payback period.</w:t>
      </w:r>
    </w:p>
    <w:p>
      <w:pPr>
        <w:spacing w:before="0" w:after="240" w:line="360" w:lineRule="auto"/>
        <w:jc w:val="left"/>
      </w:pPr>
      <w:r>
        <w:rPr>
          <w:rFonts w:ascii="Times New Roman" w:hAnsi="Times New Roman" w:eastAsia="Times New Roman"/>
          <w:b w:val="0"/>
          <w:i w:val="0"/>
          <w:sz w:val="24"/>
        </w:rPr>
        <w:t>From an international trade theory perspective, this strategy aligns with the core logic of Dunning's Eclectic Paradigm (OLI Theory). LONGi Green Energy possesses ownership advantages (O) in the form of BC technology and brand strength; the U.S., Indian, and Indonesian markets offer locational advantages (L) through policy support, demand, and geographic positioning; and localised production and supply chain management achieve internalisation advantages (I), effectively reducing multinational operating costs and trade barrier risks. Therefore, deepening overseas capacity localisation is not only a pragmatic choice for responding to current trade friction but also a critical strategic pathway for enhancing global competitiveness.</w:t>
      </w:r>
    </w:p>
    <w:p>
      <w:pPr>
        <w:spacing w:before="240" w:after="120" w:line="360" w:lineRule="auto"/>
        <w:jc w:val="left"/>
      </w:pPr>
      <w:r>
        <w:rPr>
          <w:rFonts w:ascii="Times New Roman" w:hAnsi="Times New Roman" w:eastAsia="Times New Roman"/>
          <w:b/>
          <w:i w:val="0"/>
          <w:sz w:val="28"/>
        </w:rPr>
        <w:t>VII. Implementation Roadmap and Expected Benefits Analysis</w:t>
      </w:r>
    </w:p>
    <w:p>
      <w:pPr>
        <w:spacing w:before="0" w:after="120" w:line="360" w:lineRule="auto"/>
        <w:jc w:val="left"/>
      </w:pPr>
      <w:r>
        <w:rPr>
          <w:rFonts w:ascii="Times New Roman" w:hAnsi="Times New Roman" w:eastAsia="Times New Roman"/>
          <w:b w:val="0"/>
          <w:i w:val="0"/>
          <w:sz w:val="24"/>
        </w:rPr>
        <w:t>(Note: Revenue projections in this section are based on a conservative scenario — assuming 2028 overseas revenue scale remains at 2025 levels, considering only marginal revenue improvement from market structure optimisation and product portfolio upgrading, without factoring in additional growth from industry cycle recovery.)</w:t>
      </w:r>
    </w:p>
    <w:p>
      <w:pPr>
        <w:spacing w:before="0" w:after="120" w:line="360" w:lineRule="auto"/>
        <w:jc w:val="left"/>
      </w:pPr>
      <w:r>
        <w:rPr>
          <w:rFonts w:ascii="Times New Roman" w:hAnsi="Times New Roman" w:eastAsia="Times New Roman"/>
          <w:b w:val="0"/>
          <w:i w:val="0"/>
          <w:sz w:val="24"/>
        </w:rPr>
        <w:t>To ensure the executability of the strategic plan, this section further constructs a phased implementation pathway.</w:t>
      </w:r>
    </w:p>
    <w:p>
      <w:pPr>
        <w:spacing w:before="0" w:after="120" w:line="360" w:lineRule="auto"/>
        <w:jc w:val="left"/>
      </w:pPr>
      <w:r>
        <w:rPr>
          <w:rFonts w:ascii="Times New Roman" w:hAnsi="Times New Roman" w:eastAsia="Times New Roman"/>
          <w:b w:val="0"/>
          <w:i w:val="0"/>
          <w:sz w:val="24"/>
        </w:rPr>
        <w:t>Phase I (2026) — Market Layout Stage. The company should focus on completing the Dubai regional operational centre, strengthening Middle East market channel development, simultaneously promoting scaled adoption of BC products in the European market, and conducting BC product pilot production at the existing U.S. joint venture factory. Dubai, with the Middle East's most mature port logistics infrastructure (Jebel Ali Port), international financial services ecosystem, and multinational enterprise cluster advantage, is uniquely positioned to serve as a regional operational centre radiating the GCC six countries and North Africa.</w:t>
      </w:r>
    </w:p>
    <w:p>
      <w:pPr>
        <w:spacing w:before="0" w:after="120" w:line="360" w:lineRule="auto"/>
        <w:jc w:val="left"/>
      </w:pPr>
      <w:r>
        <w:rPr>
          <w:rFonts w:ascii="Times New Roman" w:hAnsi="Times New Roman" w:eastAsia="Times New Roman"/>
          <w:b w:val="0"/>
          <w:i w:val="0"/>
          <w:sz w:val="24"/>
        </w:rPr>
        <w:t>Phase II (2027) — Business Expansion Stage. The company should further expand its Middle East and Latin America market coverage, drive the commercialisation of integrated "PV + energy storage" solutions, and grow solution business revenue to over 10% of overseas revenue; simultaneously explore cooperative models with emerging manufacturing bases such as Indonesia, enhancing global supply chain resilience.</w:t>
      </w:r>
    </w:p>
    <w:p>
      <w:pPr>
        <w:spacing w:before="0" w:after="120" w:line="360" w:lineRule="auto"/>
        <w:jc w:val="left"/>
      </w:pPr>
      <w:r>
        <w:rPr>
          <w:rFonts w:ascii="Times New Roman" w:hAnsi="Times New Roman" w:eastAsia="Times New Roman"/>
          <w:b w:val="0"/>
          <w:i w:val="0"/>
          <w:sz w:val="24"/>
        </w:rPr>
        <w:t>Phase III (2028) — Results Realisation Stage. Middle East and Africa market revenue should reach approximately 20% of overseas revenue; BC product overseas shipment volumes should exceed 65% of total overseas shipments; overseas capacity should represent 20%–25% of total capacity — forming a relatively complete global production and sales network.</w:t>
      </w:r>
    </w:p>
    <w:p>
      <w:pPr>
        <w:spacing w:before="0" w:after="120" w:line="360" w:lineRule="auto"/>
        <w:jc w:val="left"/>
      </w:pPr>
      <w:r>
        <w:rPr>
          <w:rFonts w:ascii="Times New Roman" w:hAnsi="Times New Roman" w:eastAsia="Times New Roman"/>
          <w:b w:val="0"/>
          <w:i w:val="0"/>
          <w:sz w:val="24"/>
        </w:rPr>
        <w:t>Under successful implementation of the above strategy, the company's overseas revenue is projected to grow from RMB 31.48 billion in 2025 to over RMB 40 billion, with overseas business gross margin recovering to 12%–15%, the combined European and American market revenue share declining to below 55%, and the company's dependency on single markets significantly reduced. Simultaneously, through technology upgrading and supply chain localisation, the company will effectively enhance its ability to respond to trade barriers and international market volatility, strengthening long-term international competitiveness.</w:t>
      </w:r>
    </w:p>
    <w:p>
      <w:pPr>
        <w:spacing w:before="0" w:after="240" w:line="360" w:lineRule="auto"/>
        <w:jc w:val="left"/>
      </w:pPr>
      <w:r>
        <w:rPr>
          <w:rFonts w:ascii="Times New Roman" w:hAnsi="Times New Roman" w:eastAsia="Times New Roman"/>
          <w:b w:val="0"/>
          <w:i w:val="0"/>
          <w:sz w:val="24"/>
        </w:rPr>
        <w:t>From an international trade theory perspective, the restrictions imposed by Western countries on Chinese PV products are progressively shifting from traditional tariff barriers to non-tariff barriers including carbon regulations, subsidy scrutiny, and localisation requirements. Therefore, enterprise globalisation strategy must likewise transition from a pure export-oriented model to a localised operations orientation. This plan aligns with the trend of localised development under trade protectionism and also conforms to the technology upgrading pathway emphasised by the Product Life Cycle Theory. By leveraging the company's ownership advantages in BC technology, utilising target market locational advantages, and realising internalisation advantages through localised operations, LONGi Green Energy is well positioned to navigate the current international trade environment, progressively building a more robust and efficient globalised operating system, and transforming from a "product exporter" into a "global energy solutions provider."</w:t>
      </w:r>
    </w:p>
    <w:p>
      <w:pPr>
        <w:spacing w:before="240" w:after="120" w:line="360" w:lineRule="auto"/>
        <w:jc w:val="left"/>
      </w:pPr>
      <w:r>
        <w:rPr>
          <w:rFonts w:ascii="Times New Roman" w:hAnsi="Times New Roman" w:eastAsia="Times New Roman"/>
          <w:b/>
          <w:i w:val="0"/>
          <w:sz w:val="28"/>
        </w:rPr>
        <w:t>VIII. Conclusion</w:t>
      </w:r>
    </w:p>
    <w:p>
      <w:pPr>
        <w:spacing w:before="0" w:after="120" w:line="360" w:lineRule="auto"/>
        <w:jc w:val="left"/>
      </w:pPr>
      <w:r>
        <w:rPr>
          <w:rFonts w:ascii="Times New Roman" w:hAnsi="Times New Roman" w:eastAsia="Times New Roman"/>
          <w:b w:val="0"/>
          <w:i w:val="0"/>
          <w:sz w:val="24"/>
        </w:rPr>
        <w:t>LONGi Green Energy's export predicament essentially reflects the growing pains experienced by Chinese manufacturing enterprises transitioning from a "scale expansion" model to a "technology-driven" model. The near-RMB 8.6 billion loss in 2024 and the RMB 6.4 billion loss (though narrowing) in 2025 represent the compound outcome of industry cyclical trough and enterprise structural challenges.</w:t>
      </w:r>
    </w:p>
    <w:p>
      <w:pPr>
        <w:spacing w:before="0" w:after="120" w:line="360" w:lineRule="auto"/>
        <w:jc w:val="left"/>
      </w:pPr>
      <w:r>
        <w:rPr>
          <w:rFonts w:ascii="Times New Roman" w:hAnsi="Times New Roman" w:eastAsia="Times New Roman"/>
          <w:b w:val="0"/>
          <w:i w:val="0"/>
          <w:sz w:val="24"/>
        </w:rPr>
        <w:t>However, LONGi's response has demonstrated a clear logic: BC technology as the spear, globalised capacity as the shield. The rapid ramp-up of BC second-generation capacity, the first-mover advantage in U.S. localised manufacturing, and the transformation towards an integrated "technology manufacturing + technology services" model provide a replicable overseas expansion template for the industry.</w:t>
      </w:r>
    </w:p>
    <w:p>
      <w:pPr>
        <w:spacing w:before="0" w:after="120" w:line="360" w:lineRule="auto"/>
        <w:jc w:val="left"/>
      </w:pPr>
      <w:r>
        <w:rPr>
          <w:rFonts w:ascii="Times New Roman" w:hAnsi="Times New Roman" w:eastAsia="Times New Roman"/>
          <w:b w:val="0"/>
          <w:i w:val="0"/>
          <w:sz w:val="24"/>
        </w:rPr>
        <w:t>For the International Trade course, LONGi's case provides an illuminating answer: in an era of escalating trade barriers, the global competition for Chinese PV enterprises is no longer a simple cost contest, but a comprehensive contest of technological capability, supply chain resilience, and localised operational competence. LONGi has seized the initiative in this race, but to traverse the cycle and return to a growth trajectory, sustained effort is required on two critical dimensions: technology monetisation efficiency and overseas market structural rebalancing.</w:t>
      </w:r>
    </w:p>
    <w:p>
      <w:pPr>
        <w:spacing w:before="0" w:after="240" w:line="360" w:lineRule="auto"/>
        <w:jc w:val="left"/>
      </w:pPr>
      <w:r>
        <w:rPr>
          <w:rFonts w:ascii="Times New Roman" w:hAnsi="Times New Roman" w:eastAsia="Times New Roman"/>
          <w:b w:val="0"/>
          <w:i w:val="0"/>
          <w:sz w:val="24"/>
        </w:rPr>
        <w:t>For learners of International Trade Practice, the more significant implication of this case lies in a fundamental proposition: the decisive factors in future international trade competition are no longer single-point advantages, but the three-dimensional product of "technological hard capability, supply chain organisational capacity, and cross-regional compliance capability."</w:t>
      </w:r>
    </w:p>
    <w:p>
      <w:pPr>
        <w:spacing w:before="360" w:after="160" w:line="360" w:lineRule="auto"/>
        <w:jc w:val="left"/>
      </w:pPr>
      <w:r>
        <w:rPr>
          <w:rFonts w:ascii="Times New Roman" w:hAnsi="Times New Roman" w:eastAsia="Times New Roman"/>
          <w:b/>
          <w:i w:val="0"/>
          <w:sz w:val="28"/>
        </w:rPr>
        <w:t>References</w:t>
      </w:r>
    </w:p>
    <w:p>
      <w:pPr>
        <w:spacing w:line="360" w:lineRule="auto" w:after="120"/>
        <w:ind w:left="0" w:hanging="720"/>
      </w:pPr>
      <w:r>
        <w:rPr>
          <w:rFonts w:ascii="Times New Roman" w:hAnsi="Times New Roman" w:eastAsia="Times New Roman"/>
          <w:b w:val="0"/>
          <w:i w:val="0"/>
          <w:sz w:val="22"/>
        </w:rPr>
        <w:t xml:space="preserve">    </w:t>
      </w:r>
      <w:r>
        <w:rPr>
          <w:rFonts w:ascii="Times New Roman" w:hAnsi="Times New Roman" w:eastAsia="Times New Roman"/>
          <w:b w:val="0"/>
          <w:i w:val="0"/>
          <w:sz w:val="22"/>
        </w:rPr>
        <w:t xml:space="preserve">China Photovoltaic Industry Association. (2026). </w:t>
      </w:r>
      <w:r>
        <w:rPr>
          <w:rFonts w:ascii="Times New Roman" w:hAnsi="Times New Roman" w:eastAsia="Times New Roman"/>
          <w:b w:val="0"/>
          <w:i/>
          <w:sz w:val="22"/>
        </w:rPr>
        <w:t>2025 photovoltaic industry development report</w:t>
      </w:r>
      <w:r>
        <w:rPr>
          <w:rFonts w:ascii="Times New Roman" w:hAnsi="Times New Roman" w:eastAsia="Times New Roman"/>
          <w:b w:val="0"/>
          <w:i w:val="0"/>
          <w:sz w:val="22"/>
        </w:rPr>
        <w:t xml:space="preserve"> [R]. Beijing: China Photovoltaic Industry Association.</w:t>
      </w:r>
    </w:p>
    <w:p>
      <w:pPr>
        <w:spacing w:line="360" w:lineRule="auto" w:after="120"/>
        <w:ind w:left="0" w:hanging="720"/>
      </w:pPr>
      <w:r>
        <w:rPr>
          <w:rFonts w:ascii="Times New Roman" w:hAnsi="Times New Roman" w:eastAsia="Times New Roman"/>
          <w:b w:val="0"/>
          <w:i w:val="0"/>
          <w:sz w:val="22"/>
        </w:rPr>
        <w:t xml:space="preserve">    </w:t>
      </w:r>
      <w:r>
        <w:rPr>
          <w:rFonts w:ascii="Times New Roman" w:hAnsi="Times New Roman" w:eastAsia="Times New Roman"/>
          <w:b w:val="0"/>
          <w:i w:val="0"/>
          <w:sz w:val="22"/>
        </w:rPr>
        <w:t xml:space="preserve">European Commission. (2024). </w:t>
      </w:r>
      <w:r>
        <w:rPr>
          <w:rFonts w:ascii="Times New Roman" w:hAnsi="Times New Roman" w:eastAsia="Times New Roman"/>
          <w:b w:val="0"/>
          <w:i/>
          <w:sz w:val="22"/>
        </w:rPr>
        <w:t>Official journal notice on initiation of anti-subsidy investigation against Chinese photovoltaic products</w:t>
      </w:r>
      <w:r>
        <w:rPr>
          <w:rFonts w:ascii="Times New Roman" w:hAnsi="Times New Roman" w:eastAsia="Times New Roman"/>
          <w:b w:val="0"/>
          <w:i w:val="0"/>
          <w:sz w:val="22"/>
        </w:rPr>
        <w:t xml:space="preserve"> [EB/OL]. </w:t>
      </w:r>
      <w:r>
        <w:rPr>
          <w:rFonts w:ascii="Times New Roman" w:hAnsi="Times New Roman" w:eastAsia="Times New Roman"/>
          <w:b w:val="0"/>
          <w:i/>
          <w:sz w:val="22"/>
        </w:rPr>
        <w:t>Official Journal of the European Union</w:t>
      </w:r>
      <w:r>
        <w:rPr>
          <w:rFonts w:ascii="Times New Roman" w:hAnsi="Times New Roman" w:eastAsia="Times New Roman"/>
          <w:b w:val="0"/>
          <w:i w:val="0"/>
          <w:sz w:val="22"/>
        </w:rPr>
        <w:t>.</w:t>
      </w:r>
    </w:p>
    <w:p>
      <w:pPr>
        <w:spacing w:line="360" w:lineRule="auto" w:after="120"/>
        <w:ind w:left="0" w:hanging="720"/>
      </w:pPr>
      <w:r>
        <w:rPr>
          <w:rFonts w:ascii="Times New Roman" w:hAnsi="Times New Roman" w:eastAsia="Times New Roman"/>
          <w:b w:val="0"/>
          <w:i w:val="0"/>
          <w:sz w:val="22"/>
        </w:rPr>
        <w:t xml:space="preserve">    </w:t>
      </w:r>
      <w:r>
        <w:rPr>
          <w:rFonts w:ascii="Times New Roman" w:hAnsi="Times New Roman" w:eastAsia="Times New Roman"/>
          <w:b w:val="0"/>
          <w:i w:val="0"/>
          <w:sz w:val="22"/>
        </w:rPr>
        <w:t xml:space="preserve">European Commission. (2025). </w:t>
      </w:r>
      <w:r>
        <w:rPr>
          <w:rFonts w:ascii="Times New Roman" w:hAnsi="Times New Roman" w:eastAsia="Times New Roman"/>
          <w:b w:val="0"/>
          <w:i/>
          <w:sz w:val="22"/>
        </w:rPr>
        <w:t>Foreign Subsidies Regulation (FSR) 2026 implementation guide</w:t>
      </w:r>
      <w:r>
        <w:rPr>
          <w:rFonts w:ascii="Times New Roman" w:hAnsi="Times New Roman" w:eastAsia="Times New Roman"/>
          <w:b w:val="0"/>
          <w:i w:val="0"/>
          <w:sz w:val="22"/>
        </w:rPr>
        <w:t xml:space="preserve"> [EB/OL]. Brussels: European Commission.</w:t>
      </w:r>
    </w:p>
    <w:p>
      <w:pPr>
        <w:spacing w:line="360" w:lineRule="auto" w:after="120"/>
        <w:ind w:left="0" w:hanging="720"/>
      </w:pPr>
      <w:r>
        <w:rPr>
          <w:rFonts w:ascii="Times New Roman" w:hAnsi="Times New Roman" w:eastAsia="Times New Roman"/>
          <w:b w:val="0"/>
          <w:i w:val="0"/>
          <w:sz w:val="22"/>
        </w:rPr>
        <w:t xml:space="preserve">    </w:t>
      </w:r>
      <w:r>
        <w:rPr>
          <w:rFonts w:ascii="Times New Roman" w:hAnsi="Times New Roman" w:eastAsia="Times New Roman"/>
          <w:b w:val="0"/>
          <w:i w:val="0"/>
          <w:sz w:val="22"/>
        </w:rPr>
        <w:t xml:space="preserve">European Solar Manufacturing Council. (2025). </w:t>
      </w:r>
      <w:r>
        <w:rPr>
          <w:rFonts w:ascii="Times New Roman" w:hAnsi="Times New Roman" w:eastAsia="Times New Roman"/>
          <w:b w:val="0"/>
          <w:i/>
          <w:sz w:val="22"/>
        </w:rPr>
        <w:t>Policy recommendation on extending CBAM coverage to solar products</w:t>
      </w:r>
      <w:r>
        <w:rPr>
          <w:rFonts w:ascii="Times New Roman" w:hAnsi="Times New Roman" w:eastAsia="Times New Roman"/>
          <w:b w:val="0"/>
          <w:i w:val="0"/>
          <w:sz w:val="22"/>
        </w:rPr>
        <w:t xml:space="preserve"> [R]. Brussels: European Solar Manufacturing Council.</w:t>
      </w:r>
    </w:p>
    <w:p>
      <w:pPr>
        <w:spacing w:line="360" w:lineRule="auto" w:after="120"/>
        <w:ind w:left="0" w:hanging="720"/>
      </w:pPr>
      <w:r>
        <w:rPr>
          <w:rFonts w:ascii="Times New Roman" w:hAnsi="Times New Roman" w:eastAsia="Times New Roman"/>
          <w:b w:val="0"/>
          <w:i w:val="0"/>
          <w:sz w:val="22"/>
        </w:rPr>
        <w:t xml:space="preserve">    </w:t>
      </w:r>
      <w:r>
        <w:rPr>
          <w:rFonts w:ascii="Times New Roman" w:hAnsi="Times New Roman" w:eastAsia="Times New Roman"/>
          <w:b w:val="0"/>
          <w:i w:val="0"/>
          <w:sz w:val="22"/>
        </w:rPr>
        <w:t xml:space="preserve">General Administration of Customs of China. (2026). </w:t>
      </w:r>
      <w:r>
        <w:rPr>
          <w:rFonts w:ascii="Times New Roman" w:hAnsi="Times New Roman" w:eastAsia="Times New Roman"/>
          <w:b w:val="0"/>
          <w:i/>
          <w:sz w:val="22"/>
        </w:rPr>
        <w:t>2025 China photovoltaic product export statistical data</w:t>
      </w:r>
      <w:r>
        <w:rPr>
          <w:rFonts w:ascii="Times New Roman" w:hAnsi="Times New Roman" w:eastAsia="Times New Roman"/>
          <w:b w:val="0"/>
          <w:i w:val="0"/>
          <w:sz w:val="22"/>
        </w:rPr>
        <w:t xml:space="preserve"> [R]. Beijing: General Administration of Customs of China.</w:t>
      </w:r>
    </w:p>
    <w:p>
      <w:pPr>
        <w:spacing w:line="360" w:lineRule="auto" w:after="120"/>
        <w:ind w:left="0" w:hanging="720"/>
      </w:pPr>
      <w:r>
        <w:rPr>
          <w:rFonts w:ascii="Times New Roman" w:hAnsi="Times New Roman" w:eastAsia="Times New Roman"/>
          <w:b w:val="0"/>
          <w:i w:val="0"/>
          <w:sz w:val="22"/>
        </w:rPr>
        <w:t xml:space="preserve">    </w:t>
      </w:r>
      <w:r>
        <w:rPr>
          <w:rFonts w:ascii="Times New Roman" w:hAnsi="Times New Roman" w:eastAsia="Times New Roman"/>
          <w:b w:val="0"/>
          <w:i w:val="0"/>
          <w:sz w:val="22"/>
        </w:rPr>
        <w:t xml:space="preserve">InfoLink Consulting. (2025). </w:t>
      </w:r>
      <w:r>
        <w:rPr>
          <w:rFonts w:ascii="Times New Roman" w:hAnsi="Times New Roman" w:eastAsia="Times New Roman"/>
          <w:b w:val="0"/>
          <w:i/>
          <w:sz w:val="22"/>
        </w:rPr>
        <w:t>U.S. photovoltaic market supply gap analysis report</w:t>
      </w:r>
      <w:r>
        <w:rPr>
          <w:rFonts w:ascii="Times New Roman" w:hAnsi="Times New Roman" w:eastAsia="Times New Roman"/>
          <w:b w:val="0"/>
          <w:i w:val="0"/>
          <w:sz w:val="22"/>
        </w:rPr>
        <w:t xml:space="preserve"> [R]. Taipei: InfoLink Consulting.</w:t>
      </w:r>
    </w:p>
    <w:p>
      <w:pPr>
        <w:spacing w:line="360" w:lineRule="auto" w:after="120"/>
        <w:ind w:left="0" w:hanging="720"/>
      </w:pPr>
      <w:r>
        <w:rPr>
          <w:rFonts w:ascii="Times New Roman" w:hAnsi="Times New Roman" w:eastAsia="Times New Roman"/>
          <w:b w:val="0"/>
          <w:i w:val="0"/>
          <w:sz w:val="22"/>
        </w:rPr>
        <w:t xml:space="preserve">    </w:t>
      </w:r>
      <w:r>
        <w:rPr>
          <w:rFonts w:ascii="Times New Roman" w:hAnsi="Times New Roman" w:eastAsia="Times New Roman"/>
          <w:b w:val="0"/>
          <w:i w:val="0"/>
          <w:sz w:val="22"/>
        </w:rPr>
        <w:t xml:space="preserve">LONGi Green Energy Technology Co., Ltd. (2025). </w:t>
      </w:r>
      <w:r>
        <w:rPr>
          <w:rFonts w:ascii="Times New Roman" w:hAnsi="Times New Roman" w:eastAsia="Times New Roman"/>
          <w:b w:val="0"/>
          <w:i/>
          <w:sz w:val="22"/>
        </w:rPr>
        <w:t>2024 annual report</w:t>
      </w:r>
      <w:r>
        <w:rPr>
          <w:rFonts w:ascii="Times New Roman" w:hAnsi="Times New Roman" w:eastAsia="Times New Roman"/>
          <w:b w:val="0"/>
          <w:i w:val="0"/>
          <w:sz w:val="22"/>
        </w:rPr>
        <w:t xml:space="preserve"> [R]. Shanghai: Shanghai Stock Exchange.</w:t>
      </w:r>
    </w:p>
    <w:p>
      <w:pPr>
        <w:spacing w:line="360" w:lineRule="auto" w:after="120"/>
        <w:ind w:left="0" w:hanging="720"/>
      </w:pPr>
      <w:r>
        <w:rPr>
          <w:rFonts w:ascii="Times New Roman" w:hAnsi="Times New Roman" w:eastAsia="Times New Roman"/>
          <w:b w:val="0"/>
          <w:i w:val="0"/>
          <w:sz w:val="22"/>
        </w:rPr>
        <w:t xml:space="preserve">    </w:t>
      </w:r>
      <w:r>
        <w:rPr>
          <w:rFonts w:ascii="Times New Roman" w:hAnsi="Times New Roman" w:eastAsia="Times New Roman"/>
          <w:b w:val="0"/>
          <w:i w:val="0"/>
          <w:sz w:val="22"/>
        </w:rPr>
        <w:t xml:space="preserve">LONGi Green Energy Technology Co., Ltd. (2026). </w:t>
      </w:r>
      <w:r>
        <w:rPr>
          <w:rFonts w:ascii="Times New Roman" w:hAnsi="Times New Roman" w:eastAsia="Times New Roman"/>
          <w:b w:val="0"/>
          <w:i/>
          <w:sz w:val="22"/>
        </w:rPr>
        <w:t>2025 annual report</w:t>
      </w:r>
      <w:r>
        <w:rPr>
          <w:rFonts w:ascii="Times New Roman" w:hAnsi="Times New Roman" w:eastAsia="Times New Roman"/>
          <w:b w:val="0"/>
          <w:i w:val="0"/>
          <w:sz w:val="22"/>
        </w:rPr>
        <w:t xml:space="preserve"> [R]. Shanghai: Shanghai Stock Exchange.</w:t>
      </w:r>
    </w:p>
    <w:p>
      <w:pPr>
        <w:spacing w:line="360" w:lineRule="auto" w:after="120"/>
        <w:ind w:left="0" w:hanging="720"/>
      </w:pPr>
      <w:r>
        <w:rPr>
          <w:rFonts w:ascii="Times New Roman" w:hAnsi="Times New Roman" w:eastAsia="Times New Roman"/>
          <w:b w:val="0"/>
          <w:i w:val="0"/>
          <w:sz w:val="22"/>
        </w:rPr>
        <w:t xml:space="preserve">    </w:t>
      </w:r>
      <w:r>
        <w:rPr>
          <w:rFonts w:ascii="Times New Roman" w:hAnsi="Times New Roman" w:eastAsia="Times New Roman"/>
          <w:b w:val="0"/>
          <w:i w:val="0"/>
          <w:sz w:val="22"/>
        </w:rPr>
        <w:t xml:space="preserve">LONGi Green Energy Technology Co., Ltd. (2025, April 7). </w:t>
      </w:r>
      <w:r>
        <w:rPr>
          <w:rFonts w:ascii="Times New Roman" w:hAnsi="Times New Roman" w:eastAsia="Times New Roman"/>
          <w:b w:val="0"/>
          <w:i/>
          <w:sz w:val="22"/>
        </w:rPr>
        <w:t>Response to the impact of U.S. reciprocal tariff policy</w:t>
      </w:r>
      <w:r>
        <w:rPr>
          <w:rFonts w:ascii="Times New Roman" w:hAnsi="Times New Roman" w:eastAsia="Times New Roman"/>
          <w:b w:val="0"/>
          <w:i w:val="0"/>
          <w:sz w:val="22"/>
        </w:rPr>
        <w:t xml:space="preserve"> [EB/OL]. LONGi Investor Relations Platform.</w:t>
      </w:r>
    </w:p>
    <w:p>
      <w:pPr>
        <w:spacing w:line="360" w:lineRule="auto" w:after="120"/>
        <w:ind w:left="0" w:hanging="720"/>
      </w:pPr>
      <w:r>
        <w:rPr>
          <w:rFonts w:ascii="Times New Roman" w:hAnsi="Times New Roman" w:eastAsia="Times New Roman"/>
          <w:b w:val="0"/>
          <w:i w:val="0"/>
          <w:sz w:val="22"/>
        </w:rPr>
        <w:t xml:space="preserve">    </w:t>
      </w:r>
      <w:r>
        <w:rPr>
          <w:rFonts w:ascii="Times New Roman" w:hAnsi="Times New Roman" w:eastAsia="Times New Roman"/>
          <w:b w:val="0"/>
          <w:i w:val="0"/>
          <w:sz w:val="22"/>
        </w:rPr>
        <w:t xml:space="preserve">U.S. Department of Commerce. (2025). </w:t>
      </w:r>
      <w:r>
        <w:rPr>
          <w:rFonts w:ascii="Times New Roman" w:hAnsi="Times New Roman" w:eastAsia="Times New Roman"/>
          <w:b w:val="0"/>
          <w:i/>
          <w:sz w:val="22"/>
        </w:rPr>
        <w:t>Final determination of anti-dumping/countervailing duty investigations on crystalline silicon photovoltaic cells from Cambodia, Malaysia, Vietnam, and Thailand</w:t>
      </w:r>
      <w:r>
        <w:rPr>
          <w:rFonts w:ascii="Times New Roman" w:hAnsi="Times New Roman" w:eastAsia="Times New Roman"/>
          <w:b w:val="0"/>
          <w:i w:val="0"/>
          <w:sz w:val="22"/>
        </w:rPr>
        <w:t xml:space="preserve"> [R]. Washington, D.C.: U.S. Department of Commerce.</w:t>
      </w:r>
    </w:p>
    <w:p>
      <w:pPr>
        <w:spacing w:line="360" w:lineRule="auto" w:after="120"/>
        <w:ind w:left="0" w:hanging="720"/>
      </w:pPr>
      <w:r>
        <w:rPr>
          <w:rFonts w:ascii="Times New Roman" w:hAnsi="Times New Roman" w:eastAsia="Times New Roman"/>
          <w:b w:val="0"/>
          <w:i w:val="0"/>
          <w:sz w:val="22"/>
        </w:rPr>
        <w:t xml:space="preserve">    </w:t>
      </w:r>
      <w:r>
        <w:rPr>
          <w:rFonts w:ascii="Times New Roman" w:hAnsi="Times New Roman" w:eastAsia="Times New Roman"/>
          <w:b w:val="0"/>
          <w:i w:val="0"/>
          <w:sz w:val="22"/>
        </w:rPr>
        <w:t xml:space="preserve">U.S. Department of Justice. (2026, February). </w:t>
      </w:r>
      <w:r>
        <w:rPr>
          <w:rFonts w:ascii="Times New Roman" w:hAnsi="Times New Roman" w:eastAsia="Times New Roman"/>
          <w:b w:val="0"/>
          <w:i/>
          <w:sz w:val="22"/>
        </w:rPr>
        <w:t>Withdrawal of appeal on photovoltaic tariff exemption order for four Southeast Asian countries</w:t>
      </w:r>
      <w:r>
        <w:rPr>
          <w:rFonts w:ascii="Times New Roman" w:hAnsi="Times New Roman" w:eastAsia="Times New Roman"/>
          <w:b w:val="0"/>
          <w:i w:val="0"/>
          <w:sz w:val="22"/>
        </w:rPr>
        <w:t xml:space="preserve"> [R]. Washington, D.C.: U.S. Department of Justice.</w:t>
      </w:r>
    </w:p>
    <w:p>
      <w:pPr>
        <w:spacing w:line="360" w:lineRule="auto" w:after="120"/>
        <w:ind w:left="0" w:hanging="720"/>
      </w:pPr>
      <w:r>
        <w:rPr>
          <w:rFonts w:ascii="Times New Roman" w:hAnsi="Times New Roman" w:eastAsia="Times New Roman"/>
          <w:b w:val="0"/>
          <w:i w:val="0"/>
          <w:sz w:val="22"/>
        </w:rPr>
        <w:t xml:space="preserve">    </w:t>
      </w:r>
      <w:r>
        <w:rPr>
          <w:rFonts w:ascii="Times New Roman" w:hAnsi="Times New Roman" w:eastAsia="Times New Roman"/>
          <w:b w:val="0"/>
          <w:i w:val="0"/>
          <w:sz w:val="22"/>
        </w:rPr>
        <w:t xml:space="preserve">U.S. International Trade Commission. (2025). </w:t>
      </w:r>
      <w:r>
        <w:rPr>
          <w:rFonts w:ascii="Times New Roman" w:hAnsi="Times New Roman" w:eastAsia="Times New Roman"/>
          <w:b w:val="0"/>
          <w:i/>
          <w:sz w:val="22"/>
        </w:rPr>
        <w:t>Affirmative final determination on solar products from four Southeast Asian countries</w:t>
      </w:r>
      <w:r>
        <w:rPr>
          <w:rFonts w:ascii="Times New Roman" w:hAnsi="Times New Roman" w:eastAsia="Times New Roman"/>
          <w:b w:val="0"/>
          <w:i w:val="0"/>
          <w:sz w:val="22"/>
        </w:rPr>
        <w:t xml:space="preserve"> [R]. Washington, D.C.: U.S. International Trade Commission.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