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360" w:lineRule="auto"/>
        <w:jc w:val="center"/>
      </w:pPr>
      <w:r>
        <w:rPr>
          <w:rFonts w:ascii="SimSun" w:hAnsi="SimSun" w:eastAsia="SimSun"/>
          <w:b/>
          <w:sz w:val="32"/>
        </w:rPr>
        <w:t>困境、破局与再定位——隆基绿能全球出口战略研究报告</w:t>
      </w:r>
    </w:p>
    <w:p>
      <w:pPr>
        <w:spacing w:after="360" w:line="360" w:lineRule="auto"/>
        <w:jc w:val="center"/>
      </w:pPr>
      <w:r>
        <w:rPr>
          <w:rFonts w:ascii="Times New Roman" w:hAnsi="Times New Roman" w:eastAsia="Times New Roman"/>
          <w:b/>
          <w:sz w:val="28"/>
        </w:rPr>
        <w:t>Breaking Through: LONGi Green Energy's Global Export Strategy</w:t>
        <w:br/>
        <w:t>— A Business Proposal Based on 2025 Data</w:t>
      </w:r>
    </w:p>
    <w:p>
      <w:pPr>
        <w:spacing w:before="240" w:after="120" w:line="360" w:lineRule="auto"/>
        <w:jc w:val="left"/>
      </w:pPr>
      <w:r>
        <w:rPr>
          <w:rFonts w:ascii="Times New Roman" w:hAnsi="Times New Roman" w:eastAsia="Times New Roman"/>
          <w:b/>
          <w:i w:val="0"/>
          <w:sz w:val="28"/>
        </w:rPr>
        <w:t>I. Executive Summary</w:t>
      </w:r>
    </w:p>
    <w:p>
      <w:pPr>
        <w:spacing w:before="0" w:after="120" w:line="360" w:lineRule="auto"/>
        <w:jc w:val="left"/>
      </w:pPr>
      <w:r>
        <w:rPr>
          <w:rFonts w:ascii="Times New Roman" w:hAnsi="Times New Roman" w:eastAsia="Times New Roman"/>
          <w:b w:val="0"/>
          <w:i w:val="0"/>
          <w:sz w:val="24"/>
        </w:rPr>
        <w:t>This research report adopts an international trade perspective to examine the export challenges faced by LONGi Green Energy Technology Co., Ltd. (601012.SH) during 2024–2025. As the world's leading manufacturer of monocrystalline silicon wafers and photovoltaic (PV) modules, LONGi experienced its first annual loss in a decade in 2024. Although the magnitude of losses narrowed in 2025, the company has yet to return to profitability.</w:t>
      </w:r>
    </w:p>
    <w:p>
      <w:pPr>
        <w:spacing w:before="0" w:after="120" w:line="360" w:lineRule="auto"/>
        <w:jc w:val="left"/>
      </w:pPr>
      <w:r>
        <w:rPr>
          <w:rFonts w:ascii="Times New Roman" w:hAnsi="Times New Roman" w:eastAsia="Times New Roman"/>
          <w:b w:val="0"/>
          <w:i w:val="0"/>
          <w:sz w:val="24"/>
        </w:rPr>
        <w:t>The data reveal that in 2025, LONGi generated operating revenue of RMB 70.347 billion, a year-on-year decline of 14.82%. The net loss attributable to shareholders stood at RMB 6.420 billion, representing a year-on-year loss reduction of RMB 2.173 billion. Net cash flow from operating activities turned positive at RMB 4.359 billion, while the comprehensive gross margin for the year was a mere 0.81%. Overseas revenue totalled RMB 31.480 billion, accounting for 44.7% of total revenue. Notably, the European market surpassed the Americas at RMB 10.989 billion versus RMB 9.251 billion, becoming the largest overseas market.</w:t>
      </w:r>
    </w:p>
    <w:p>
      <w:pPr>
        <w:spacing w:before="0" w:after="120" w:line="360" w:lineRule="auto"/>
        <w:jc w:val="left"/>
      </w:pPr>
      <w:r>
        <w:rPr>
          <w:rFonts w:ascii="Times New Roman" w:hAnsi="Times New Roman" w:eastAsia="Times New Roman"/>
          <w:b w:val="0"/>
          <w:i w:val="0"/>
          <w:sz w:val="24"/>
        </w:rPr>
        <w:t>LONGi's predicament exhibits a threefold characterisation: industry-wide overcapacity, compounded external trade barriers, and misaligned internal strategic pacing. However, it is noteworthy that LONGi is not passively awaiting market recovery. Its BC (Back Contact) second-generation capacity is ramping up rapidly, targeting 50 GW by end-2025. The 5 GW module joint venture factory in Ohio, USA has reached full production, leveraging IRA tax credits to implement an "Asia supply + North America manufacturing" model to navigate tariff barriers.</w:t>
      </w:r>
    </w:p>
    <w:p>
      <w:pPr>
        <w:spacing w:before="0" w:after="120" w:line="360" w:lineRule="auto"/>
        <w:jc w:val="left"/>
      </w:pPr>
      <w:r>
        <w:rPr>
          <w:rFonts w:ascii="Times New Roman" w:hAnsi="Times New Roman" w:eastAsia="Times New Roman"/>
          <w:b w:val="0"/>
          <w:i w:val="0"/>
          <w:sz w:val="24"/>
        </w:rPr>
        <w:t>This report argues that LONGi's path to export breakthrough lies not in "stacking capacity or competing on price," but in the synergistic deployment of three pillars: technology-driven leadership, localised manufacturing, and market diversification. Based on a systematic analysis of LONGi's current position and the external trade environment, the report proposes actionable strategic recommendations benchmarked against 2025 data.</w:t>
      </w:r>
    </w:p>
    <w:p>
      <w:pPr>
        <w:spacing w:before="240" w:after="120" w:line="360" w:lineRule="auto"/>
        <w:jc w:val="left"/>
      </w:pPr>
      <w:r>
        <w:rPr>
          <w:rFonts w:ascii="Times New Roman" w:hAnsi="Times New Roman" w:eastAsia="Times New Roman"/>
          <w:b/>
          <w:i w:val="0"/>
          <w:sz w:val="28"/>
        </w:rPr>
        <w:t>II. Company Overview and Industry Background</w:t>
      </w:r>
    </w:p>
    <w:p>
      <w:pPr>
        <w:spacing w:before="120" w:after="120" w:line="360" w:lineRule="auto"/>
        <w:jc w:val="left"/>
      </w:pPr>
      <w:r>
        <w:rPr>
          <w:rFonts w:ascii="Times New Roman" w:hAnsi="Times New Roman" w:eastAsia="Times New Roman"/>
          <w:b/>
          <w:i w:val="0"/>
          <w:sz w:val="24"/>
        </w:rPr>
        <w:t>2.1 Company Overview</w:t>
      </w:r>
    </w:p>
    <w:p>
      <w:pPr>
        <w:spacing w:before="0" w:after="120" w:line="360" w:lineRule="auto"/>
        <w:jc w:val="left"/>
      </w:pPr>
      <w:r>
        <w:rPr>
          <w:rFonts w:ascii="Times New Roman" w:hAnsi="Times New Roman" w:eastAsia="Times New Roman"/>
          <w:b w:val="0"/>
          <w:i w:val="0"/>
          <w:sz w:val="24"/>
        </w:rPr>
        <w:t>Founded in 2000 and headquartered in Xi'an, LONGi Green Energy is the global leader in the PV industry. In 2025, the company's business structure continued to shift downstream: module and battery revenue reached RMB 59.920 billion, rising to 85.2% of total revenue; wafer and ingot revenue stood at RMB 6.540 billion, representing 9.3%. This underscores a clear trajectory of manufacturing focus shifting from upstream to downstream segments. R&amp;D investment amounted to RMB 1.547 billion, with an R&amp;D expense ratio of 2.20%. Sales expenses decreased by 29.96% year-on-year, a decline significantly exceeding the revenue contraction rate.</w:t>
      </w:r>
    </w:p>
    <w:p>
      <w:pPr>
        <w:spacing w:before="120" w:after="120" w:line="360" w:lineRule="auto"/>
        <w:jc w:val="left"/>
      </w:pPr>
      <w:r>
        <w:rPr>
          <w:rFonts w:ascii="Times New Roman" w:hAnsi="Times New Roman" w:eastAsia="Times New Roman"/>
          <w:b/>
          <w:i w:val="0"/>
          <w:sz w:val="24"/>
        </w:rPr>
        <w:t>2.2 Industry Background: The Global PV Industry in Deep Adjustment</w:t>
      </w:r>
    </w:p>
    <w:p>
      <w:pPr>
        <w:spacing w:before="0" w:after="120" w:line="360" w:lineRule="auto"/>
        <w:jc w:val="left"/>
      </w:pPr>
      <w:r>
        <w:rPr>
          <w:rFonts w:ascii="Times New Roman" w:hAnsi="Times New Roman" w:eastAsia="Times New Roman"/>
          <w:b w:val="0"/>
          <w:i w:val="0"/>
          <w:sz w:val="24"/>
        </w:rPr>
        <w:t>The global PV industry is currently undergoing its most severe downturn since the 2012 European debt crisis, characterised by three structural shifts:</w:t>
      </w:r>
    </w:p>
    <w:p>
      <w:pPr>
        <w:spacing w:before="0" w:after="120" w:line="360" w:lineRule="auto"/>
        <w:jc w:val="left"/>
      </w:pPr>
      <w:r>
        <w:rPr>
          <w:rFonts w:ascii="Times New Roman" w:hAnsi="Times New Roman" w:eastAsia="Times New Roman"/>
          <w:b w:val="0"/>
          <w:i w:val="0"/>
          <w:sz w:val="24"/>
        </w:rPr>
        <w:t>First, severe global overcapacity. China's PV manufacturing capacity expanded by 3 to 5 times between 2021 and 2024, triggering a price war across the entire value chain. Polysilicon prices collapsed from RMB 300/kg in 2022 to RMB 40/kg in 2024, a decline of 87%. In 2025, China's PV module exports still reached 264.1 GW, with cell exports at 107.81 GW and wafer exports at 38.91 GW — volumes grew but prices remained under sustained pressure.</w:t>
      </w:r>
    </w:p>
    <w:p>
      <w:pPr>
        <w:spacing w:before="0" w:after="120" w:line="360" w:lineRule="auto"/>
        <w:jc w:val="left"/>
      </w:pPr>
      <w:r>
        <w:rPr>
          <w:rFonts w:ascii="Times New Roman" w:hAnsi="Times New Roman" w:eastAsia="Times New Roman"/>
          <w:b w:val="0"/>
          <w:i w:val="0"/>
          <w:sz w:val="24"/>
        </w:rPr>
        <w:t>Second, escalating trade barriers in key export markets. Since 2024, the U.S. has formally implemented countervailing and anti-dumping tariffs on PV cells/modules imported from four Southeast Asian countries (Cambodia, Malaysia, Vietnam, Thailand), with the exemption for bifacial modules under Section 201 tariffs also revoked. In 2025, anti-dumping duties on solar products from these four countries reached up to 271.28%, while countervailing duties ranged from 14.64% to 3,403.96%, creating formidable export obstacles for Chinese enterprises' Southeast Asian operations. Meanwhile, the EU's CBAM (Carbon Border Adjustment Mechanism) enters its formal levy phase on 1 January 2026, requiring importers to purchase CBAM certificates at the EU carbon price (approximately €72/tonne).</w:t>
      </w:r>
    </w:p>
    <w:p>
      <w:pPr>
        <w:spacing w:before="0" w:after="120" w:line="360" w:lineRule="auto"/>
        <w:jc w:val="left"/>
      </w:pPr>
      <w:r>
        <w:rPr>
          <w:rFonts w:ascii="Times New Roman" w:hAnsi="Times New Roman" w:eastAsia="Times New Roman"/>
          <w:b w:val="0"/>
          <w:i w:val="0"/>
          <w:sz w:val="24"/>
        </w:rPr>
        <w:t>Third, trade protectionism expanding beyond tariffs into broader non-tariff measures. Since 2025, the EU has increasingly deployed the Foreign Subsidies Regulation (FSR) against Chinese enterprises. Five countries — France, Italy, Spain, the Netherlands, and one other — jointly proposed import quotas and excess tariffs on Chinese advantage industrial products including PV. India, while moderately reducing certain tariff rates in its 2025 federal budget, has not fundamentally altered its overall protectionist posture.</w:t>
      </w:r>
    </w:p>
    <w:p>
      <w:pPr>
        <w:spacing w:before="240" w:after="120" w:line="360" w:lineRule="auto"/>
        <w:jc w:val="left"/>
      </w:pPr>
      <w:r>
        <w:rPr>
          <w:rFonts w:ascii="Times New Roman" w:hAnsi="Times New Roman" w:eastAsia="Times New Roman"/>
          <w:b/>
          <w:i w:val="0"/>
          <w:sz w:val="28"/>
        </w:rPr>
        <w:t>III. Current Situation Analysis: Performance Diagnosis Based on 2025 Data</w:t>
      </w:r>
    </w:p>
    <w:p>
      <w:pPr>
        <w:spacing w:before="120" w:after="120" w:line="360" w:lineRule="auto"/>
        <w:jc w:val="left"/>
      </w:pPr>
      <w:r>
        <w:rPr>
          <w:rFonts w:ascii="Times New Roman" w:hAnsi="Times New Roman" w:eastAsia="Times New Roman"/>
          <w:b/>
          <w:i w:val="0"/>
          <w:sz w:val="24"/>
        </w:rPr>
        <w:t>3.1 Financial Performance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008"/>
          </w:tcPr>
          <w:p>
            <w:pPr>
              <w:jc w:val="center"/>
            </w:pPr>
            <w:r>
              <w:rPr>
                <w:rFonts w:ascii="Times New Roman" w:hAnsi="Times New Roman"/>
                <w:b/>
                <w:sz w:val="18"/>
              </w:rPr>
              <w:t>Year</w:t>
            </w:r>
          </w:p>
        </w:tc>
        <w:tc>
          <w:tcPr>
            <w:tcW w:type="dxa" w:w="1584"/>
          </w:tcPr>
          <w:p>
            <w:pPr>
              <w:jc w:val="center"/>
            </w:pPr>
            <w:r>
              <w:rPr>
                <w:rFonts w:ascii="Times New Roman" w:hAnsi="Times New Roman"/>
                <w:b/>
                <w:sz w:val="18"/>
              </w:rPr>
              <w:t>Operating Revenue</w:t>
              <w:br/>
              <w:t>(RMB bn)</w:t>
            </w:r>
          </w:p>
        </w:tc>
        <w:tc>
          <w:tcPr>
            <w:tcW w:type="dxa" w:w="1584"/>
          </w:tcPr>
          <w:p>
            <w:pPr>
              <w:jc w:val="center"/>
            </w:pPr>
            <w:r>
              <w:rPr>
                <w:rFonts w:ascii="Times New Roman" w:hAnsi="Times New Roman"/>
                <w:b/>
                <w:sz w:val="18"/>
              </w:rPr>
              <w:t>Net Profit Attributable</w:t>
              <w:br/>
              <w:t>(RMB bn)</w:t>
            </w:r>
          </w:p>
        </w:tc>
        <w:tc>
          <w:tcPr>
            <w:tcW w:type="dxa" w:w="1440"/>
          </w:tcPr>
          <w:p>
            <w:pPr>
              <w:jc w:val="center"/>
            </w:pPr>
            <w:r>
              <w:rPr>
                <w:rFonts w:ascii="Times New Roman" w:hAnsi="Times New Roman"/>
                <w:b/>
                <w:sz w:val="18"/>
              </w:rPr>
              <w:t>Overseas Revenue</w:t>
              <w:br/>
              <w:t>(RMB bn)</w:t>
            </w:r>
          </w:p>
        </w:tc>
        <w:tc>
          <w:tcPr>
            <w:tcW w:type="dxa" w:w="1296"/>
          </w:tcPr>
          <w:p>
            <w:pPr>
              <w:jc w:val="center"/>
            </w:pPr>
            <w:r>
              <w:rPr>
                <w:rFonts w:ascii="Times New Roman" w:hAnsi="Times New Roman"/>
                <w:b/>
                <w:sz w:val="18"/>
              </w:rPr>
              <w:t>Overseas Revenue</w:t>
              <w:br/>
              <w:t>Share</w:t>
            </w:r>
          </w:p>
        </w:tc>
        <w:tc>
          <w:tcPr>
            <w:tcW w:type="dxa" w:w="1008"/>
          </w:tcPr>
          <w:p>
            <w:pPr>
              <w:jc w:val="center"/>
            </w:pPr>
            <w:r>
              <w:rPr>
                <w:rFonts w:ascii="Times New Roman" w:hAnsi="Times New Roman"/>
                <w:b/>
                <w:sz w:val="18"/>
              </w:rPr>
              <w:t>Gross</w:t>
              <w:br/>
              <w:t>Margin</w:t>
            </w:r>
          </w:p>
        </w:tc>
      </w:tr>
      <w:tr>
        <w:tc>
          <w:tcPr>
            <w:tcW w:type="dxa" w:w="1008"/>
          </w:tcPr>
          <w:p>
            <w:pPr>
              <w:jc w:val="center"/>
            </w:pPr>
            <w:r>
              <w:rPr>
                <w:rFonts w:ascii="Times New Roman" w:hAnsi="Times New Roman"/>
                <w:sz w:val="18"/>
              </w:rPr>
              <w:t>2022</w:t>
            </w:r>
          </w:p>
        </w:tc>
        <w:tc>
          <w:tcPr>
            <w:tcW w:type="dxa" w:w="1584"/>
          </w:tcPr>
          <w:p>
            <w:pPr>
              <w:jc w:val="center"/>
            </w:pPr>
            <w:r>
              <w:rPr>
                <w:rFonts w:ascii="Times New Roman" w:hAnsi="Times New Roman"/>
                <w:sz w:val="18"/>
              </w:rPr>
              <w:t>128.990</w:t>
            </w:r>
          </w:p>
        </w:tc>
        <w:tc>
          <w:tcPr>
            <w:tcW w:type="dxa" w:w="1584"/>
          </w:tcPr>
          <w:p>
            <w:pPr>
              <w:jc w:val="center"/>
            </w:pPr>
            <w:r>
              <w:rPr>
                <w:rFonts w:ascii="Times New Roman" w:hAnsi="Times New Roman"/>
                <w:sz w:val="18"/>
              </w:rPr>
              <w:t>14.839</w:t>
            </w:r>
          </w:p>
        </w:tc>
        <w:tc>
          <w:tcPr>
            <w:tcW w:type="dxa" w:w="1440"/>
          </w:tcPr>
          <w:p>
            <w:pPr>
              <w:jc w:val="center"/>
            </w:pPr>
            <w:r>
              <w:rPr>
                <w:rFonts w:ascii="Times New Roman" w:hAnsi="Times New Roman"/>
                <w:sz w:val="18"/>
              </w:rPr>
              <w:t>~46.000</w:t>
            </w:r>
          </w:p>
        </w:tc>
        <w:tc>
          <w:tcPr>
            <w:tcW w:type="dxa" w:w="1296"/>
          </w:tcPr>
          <w:p>
            <w:pPr>
              <w:jc w:val="center"/>
            </w:pPr>
            <w:r>
              <w:rPr>
                <w:rFonts w:ascii="Times New Roman" w:hAnsi="Times New Roman"/>
                <w:sz w:val="18"/>
              </w:rPr>
              <w:t>~35.7%</w:t>
            </w:r>
          </w:p>
        </w:tc>
        <w:tc>
          <w:tcPr>
            <w:tcW w:type="dxa" w:w="1008"/>
          </w:tcPr>
          <w:p>
            <w:pPr>
              <w:jc w:val="center"/>
            </w:pPr>
            <w:r>
              <w:rPr>
                <w:rFonts w:ascii="Times New Roman" w:hAnsi="Times New Roman"/>
                <w:sz w:val="18"/>
              </w:rPr>
              <w:t>18.5%</w:t>
            </w:r>
          </w:p>
        </w:tc>
      </w:tr>
      <w:tr>
        <w:tc>
          <w:tcPr>
            <w:tcW w:type="dxa" w:w="1008"/>
          </w:tcPr>
          <w:p>
            <w:pPr>
              <w:jc w:val="center"/>
            </w:pPr>
            <w:r>
              <w:rPr>
                <w:rFonts w:ascii="Times New Roman" w:hAnsi="Times New Roman"/>
                <w:sz w:val="18"/>
              </w:rPr>
              <w:t>2023</w:t>
            </w:r>
          </w:p>
        </w:tc>
        <w:tc>
          <w:tcPr>
            <w:tcW w:type="dxa" w:w="1584"/>
          </w:tcPr>
          <w:p>
            <w:pPr>
              <w:jc w:val="center"/>
            </w:pPr>
            <w:r>
              <w:rPr>
                <w:rFonts w:ascii="Times New Roman" w:hAnsi="Times New Roman"/>
                <w:sz w:val="18"/>
              </w:rPr>
              <w:t>129.400</w:t>
            </w:r>
          </w:p>
        </w:tc>
        <w:tc>
          <w:tcPr>
            <w:tcW w:type="dxa" w:w="1584"/>
          </w:tcPr>
          <w:p>
            <w:pPr>
              <w:jc w:val="center"/>
            </w:pPr>
            <w:r>
              <w:rPr>
                <w:rFonts w:ascii="Times New Roman" w:hAnsi="Times New Roman"/>
                <w:sz w:val="18"/>
              </w:rPr>
              <w:t>10.752</w:t>
            </w:r>
          </w:p>
        </w:tc>
        <w:tc>
          <w:tcPr>
            <w:tcW w:type="dxa" w:w="1440"/>
          </w:tcPr>
          <w:p>
            <w:pPr>
              <w:jc w:val="center"/>
            </w:pPr>
            <w:r>
              <w:rPr>
                <w:rFonts w:ascii="Times New Roman" w:hAnsi="Times New Roman"/>
                <w:sz w:val="18"/>
              </w:rPr>
              <w:t>~46.500</w:t>
            </w:r>
          </w:p>
        </w:tc>
        <w:tc>
          <w:tcPr>
            <w:tcW w:type="dxa" w:w="1296"/>
          </w:tcPr>
          <w:p>
            <w:pPr>
              <w:jc w:val="center"/>
            </w:pPr>
            <w:r>
              <w:rPr>
                <w:rFonts w:ascii="Times New Roman" w:hAnsi="Times New Roman"/>
                <w:sz w:val="18"/>
              </w:rPr>
              <w:t>~36.0%</w:t>
            </w:r>
          </w:p>
        </w:tc>
        <w:tc>
          <w:tcPr>
            <w:tcW w:type="dxa" w:w="1008"/>
          </w:tcPr>
          <w:p>
            <w:pPr>
              <w:jc w:val="center"/>
            </w:pPr>
            <w:r>
              <w:rPr>
                <w:rFonts w:ascii="Times New Roman" w:hAnsi="Times New Roman"/>
                <w:sz w:val="18"/>
              </w:rPr>
              <w:t>16.8%</w:t>
            </w:r>
          </w:p>
        </w:tc>
      </w:tr>
      <w:tr>
        <w:tc>
          <w:tcPr>
            <w:tcW w:type="dxa" w:w="1008"/>
          </w:tcPr>
          <w:p>
            <w:pPr>
              <w:jc w:val="center"/>
            </w:pPr>
            <w:r>
              <w:rPr>
                <w:rFonts w:ascii="Times New Roman" w:hAnsi="Times New Roman"/>
                <w:sz w:val="18"/>
              </w:rPr>
              <w:t>2024</w:t>
            </w:r>
          </w:p>
        </w:tc>
        <w:tc>
          <w:tcPr>
            <w:tcW w:type="dxa" w:w="1584"/>
          </w:tcPr>
          <w:p>
            <w:pPr>
              <w:jc w:val="center"/>
            </w:pPr>
            <w:r>
              <w:rPr>
                <w:rFonts w:ascii="Times New Roman" w:hAnsi="Times New Roman"/>
                <w:sz w:val="18"/>
              </w:rPr>
              <w:t>~74.800</w:t>
            </w:r>
          </w:p>
        </w:tc>
        <w:tc>
          <w:tcPr>
            <w:tcW w:type="dxa" w:w="1584"/>
          </w:tcPr>
          <w:p>
            <w:pPr>
              <w:jc w:val="center"/>
            </w:pPr>
            <w:r>
              <w:rPr>
                <w:rFonts w:ascii="Times New Roman" w:hAnsi="Times New Roman"/>
                <w:sz w:val="18"/>
              </w:rPr>
              <w:t>-8.618</w:t>
            </w:r>
          </w:p>
        </w:tc>
        <w:tc>
          <w:tcPr>
            <w:tcW w:type="dxa" w:w="1440"/>
          </w:tcPr>
          <w:p>
            <w:pPr>
              <w:jc w:val="center"/>
            </w:pPr>
            <w:r>
              <w:rPr>
                <w:rFonts w:ascii="Times New Roman" w:hAnsi="Times New Roman"/>
                <w:sz w:val="18"/>
              </w:rPr>
              <w:t>~28.500</w:t>
            </w:r>
          </w:p>
        </w:tc>
        <w:tc>
          <w:tcPr>
            <w:tcW w:type="dxa" w:w="1296"/>
          </w:tcPr>
          <w:p>
            <w:pPr>
              <w:jc w:val="center"/>
            </w:pPr>
            <w:r>
              <w:rPr>
                <w:rFonts w:ascii="Times New Roman" w:hAnsi="Times New Roman"/>
                <w:sz w:val="18"/>
              </w:rPr>
              <w:t>~38.1%</w:t>
            </w:r>
          </w:p>
        </w:tc>
        <w:tc>
          <w:tcPr>
            <w:tcW w:type="dxa" w:w="1008"/>
          </w:tcPr>
          <w:p>
            <w:pPr>
              <w:jc w:val="center"/>
            </w:pPr>
            <w:r>
              <w:rPr>
                <w:rFonts w:ascii="Times New Roman" w:hAnsi="Times New Roman"/>
                <w:sz w:val="18"/>
              </w:rPr>
              <w:t>~5.3%</w:t>
            </w:r>
          </w:p>
        </w:tc>
      </w:tr>
      <w:tr>
        <w:tc>
          <w:tcPr>
            <w:tcW w:type="dxa" w:w="1008"/>
          </w:tcPr>
          <w:p>
            <w:pPr>
              <w:jc w:val="center"/>
            </w:pPr>
            <w:r>
              <w:rPr>
                <w:rFonts w:ascii="Times New Roman" w:hAnsi="Times New Roman"/>
                <w:sz w:val="18"/>
              </w:rPr>
              <w:t>2025</w:t>
            </w:r>
          </w:p>
        </w:tc>
        <w:tc>
          <w:tcPr>
            <w:tcW w:type="dxa" w:w="1584"/>
          </w:tcPr>
          <w:p>
            <w:pPr>
              <w:jc w:val="center"/>
            </w:pPr>
            <w:r>
              <w:rPr>
                <w:rFonts w:ascii="Times New Roman" w:hAnsi="Times New Roman"/>
                <w:sz w:val="18"/>
              </w:rPr>
              <w:t>70.347</w:t>
            </w:r>
          </w:p>
        </w:tc>
        <w:tc>
          <w:tcPr>
            <w:tcW w:type="dxa" w:w="1584"/>
          </w:tcPr>
          <w:p>
            <w:pPr>
              <w:jc w:val="center"/>
            </w:pPr>
            <w:r>
              <w:rPr>
                <w:rFonts w:ascii="Times New Roman" w:hAnsi="Times New Roman"/>
                <w:sz w:val="18"/>
              </w:rPr>
              <w:t>-6.420</w:t>
            </w:r>
          </w:p>
        </w:tc>
        <w:tc>
          <w:tcPr>
            <w:tcW w:type="dxa" w:w="1440"/>
          </w:tcPr>
          <w:p>
            <w:pPr>
              <w:jc w:val="center"/>
            </w:pPr>
            <w:r>
              <w:rPr>
                <w:rFonts w:ascii="Times New Roman" w:hAnsi="Times New Roman"/>
                <w:sz w:val="18"/>
              </w:rPr>
              <w:t>31.480</w:t>
            </w:r>
          </w:p>
        </w:tc>
        <w:tc>
          <w:tcPr>
            <w:tcW w:type="dxa" w:w="1296"/>
          </w:tcPr>
          <w:p>
            <w:pPr>
              <w:jc w:val="center"/>
            </w:pPr>
            <w:r>
              <w:rPr>
                <w:rFonts w:ascii="Times New Roman" w:hAnsi="Times New Roman"/>
                <w:sz w:val="18"/>
              </w:rPr>
              <w:t>44.7%</w:t>
            </w:r>
          </w:p>
        </w:tc>
        <w:tc>
          <w:tcPr>
            <w:tcW w:type="dxa" w:w="1008"/>
          </w:tcPr>
          <w:p>
            <w:pPr>
              <w:jc w:val="center"/>
            </w:pPr>
            <w:r>
              <w:rPr>
                <w:rFonts w:ascii="Times New Roman" w:hAnsi="Times New Roman"/>
                <w:sz w:val="18"/>
              </w:rPr>
              <w:t>0.81%</w:t>
            </w:r>
          </w:p>
        </w:tc>
      </w:tr>
      <w:tr>
        <w:tc>
          <w:tcPr>
            <w:tcW w:type="dxa" w:w="1008"/>
          </w:tcPr>
          <w:p/>
        </w:tc>
        <w:tc>
          <w:tcPr>
            <w:tcW w:type="dxa" w:w="1584"/>
          </w:tcPr>
          <w:p/>
        </w:tc>
        <w:tc>
          <w:tcPr>
            <w:tcW w:type="dxa" w:w="1584"/>
          </w:tcPr>
          <w:p/>
        </w:tc>
        <w:tc>
          <w:tcPr>
            <w:tcW w:type="dxa" w:w="1440"/>
          </w:tcPr>
          <w:p/>
        </w:tc>
        <w:tc>
          <w:tcPr>
            <w:tcW w:type="dxa" w:w="1296"/>
          </w:tcPr>
          <w:p/>
        </w:tc>
        <w:tc>
          <w:tcPr>
            <w:tcW w:type="dxa" w:w="1008"/>
          </w:tcPr>
          <w:p/>
        </w:tc>
      </w:tr>
    </w:tbl>
    <w:p>
      <w:pPr>
        <w:spacing w:after="240"/>
        <w:jc w:val="center"/>
      </w:pPr>
      <w:r>
        <w:rPr>
          <w:rFonts w:ascii="Times New Roman" w:hAnsi="Times New Roman"/>
          <w:i/>
          <w:sz w:val="20"/>
        </w:rPr>
        <w:t>Data Source: LONGi Green Energy 2023–2025 Annual Reports; 2024 Performance Forecast Revision Announcement</w:t>
      </w:r>
    </w:p>
    <w:p>
      <w:pPr>
        <w:spacing w:before="120" w:after="120" w:line="360" w:lineRule="auto"/>
        <w:jc w:val="left"/>
      </w:pPr>
      <w:r>
        <w:rPr>
          <w:rFonts w:ascii="Times New Roman" w:hAnsi="Times New Roman" w:eastAsia="Times New Roman"/>
          <w:b/>
          <w:i w:val="0"/>
          <w:sz w:val="24"/>
        </w:rPr>
        <w:t>3.2 Regional Export Revenue Analysis (2025)</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Region</w:t>
            </w:r>
          </w:p>
        </w:tc>
        <w:tc>
          <w:tcPr>
            <w:tcW w:type="dxa" w:w="1728"/>
          </w:tcPr>
          <w:p>
            <w:pPr>
              <w:jc w:val="center"/>
            </w:pPr>
            <w:r>
              <w:rPr>
                <w:rFonts w:ascii="Times New Roman" w:hAnsi="Times New Roman"/>
                <w:b/>
                <w:sz w:val="18"/>
              </w:rPr>
              <w:t>Revenue</w:t>
              <w:br/>
              <w:t>(RMB bn)</w:t>
            </w:r>
          </w:p>
        </w:tc>
        <w:tc>
          <w:tcPr>
            <w:tcW w:type="dxa" w:w="1728"/>
          </w:tcPr>
          <w:p>
            <w:pPr>
              <w:jc w:val="center"/>
            </w:pPr>
            <w:r>
              <w:rPr>
                <w:rFonts w:ascii="Times New Roman" w:hAnsi="Times New Roman"/>
                <w:b/>
                <w:sz w:val="18"/>
              </w:rPr>
              <w:t>Share of Overseas</w:t>
              <w:br/>
              <w:t>Revenue</w:t>
            </w:r>
          </w:p>
        </w:tc>
        <w:tc>
          <w:tcPr>
            <w:tcW w:type="dxa" w:w="1728"/>
          </w:tcPr>
          <w:p>
            <w:pPr>
              <w:jc w:val="center"/>
            </w:pPr>
            <w:r>
              <w:rPr>
                <w:rFonts w:ascii="Times New Roman" w:hAnsi="Times New Roman"/>
                <w:b/>
                <w:sz w:val="18"/>
              </w:rPr>
              <w:t>YoY Growth</w:t>
            </w:r>
          </w:p>
        </w:tc>
        <w:tc>
          <w:tcPr>
            <w:tcW w:type="dxa" w:w="1728"/>
          </w:tcPr>
          <w:p>
            <w:pPr>
              <w:jc w:val="center"/>
            </w:pPr>
            <w:r>
              <w:rPr>
                <w:rFonts w:ascii="Times New Roman" w:hAnsi="Times New Roman"/>
                <w:b/>
                <w:sz w:val="18"/>
              </w:rPr>
              <w:t>Key Trade Barriers</w:t>
            </w:r>
          </w:p>
        </w:tc>
      </w:tr>
      <w:tr>
        <w:tc>
          <w:tcPr>
            <w:tcW w:type="dxa" w:w="1728"/>
          </w:tcPr>
          <w:p>
            <w:pPr>
              <w:jc w:val="center"/>
            </w:pPr>
            <w:r>
              <w:rPr>
                <w:rFonts w:ascii="Times New Roman" w:hAnsi="Times New Roman"/>
                <w:sz w:val="18"/>
              </w:rPr>
              <w:t>Europe</w:t>
            </w:r>
          </w:p>
        </w:tc>
        <w:tc>
          <w:tcPr>
            <w:tcW w:type="dxa" w:w="1728"/>
          </w:tcPr>
          <w:p>
            <w:pPr>
              <w:jc w:val="center"/>
            </w:pPr>
            <w:r>
              <w:rPr>
                <w:rFonts w:ascii="Times New Roman" w:hAnsi="Times New Roman"/>
                <w:sz w:val="18"/>
              </w:rPr>
              <w:t>10.989</w:t>
            </w:r>
          </w:p>
        </w:tc>
        <w:tc>
          <w:tcPr>
            <w:tcW w:type="dxa" w:w="1728"/>
          </w:tcPr>
          <w:p>
            <w:pPr>
              <w:jc w:val="center"/>
            </w:pPr>
            <w:r>
              <w:rPr>
                <w:rFonts w:ascii="Times New Roman" w:hAnsi="Times New Roman"/>
                <w:sz w:val="18"/>
              </w:rPr>
              <w:t>34.9%</w:t>
            </w:r>
          </w:p>
        </w:tc>
        <w:tc>
          <w:tcPr>
            <w:tcW w:type="dxa" w:w="1728"/>
          </w:tcPr>
          <w:p>
            <w:pPr>
              <w:jc w:val="center"/>
            </w:pPr>
            <w:r>
              <w:rPr>
                <w:rFonts w:ascii="Times New Roman" w:hAnsi="Times New Roman"/>
                <w:sz w:val="18"/>
              </w:rPr>
              <w:t>-</w:t>
            </w:r>
          </w:p>
        </w:tc>
        <w:tc>
          <w:tcPr>
            <w:tcW w:type="dxa" w:w="1728"/>
          </w:tcPr>
          <w:p>
            <w:pPr>
              <w:jc w:val="center"/>
            </w:pPr>
            <w:r>
              <w:rPr>
                <w:rFonts w:ascii="Times New Roman" w:hAnsi="Times New Roman"/>
                <w:sz w:val="18"/>
              </w:rPr>
              <w:t>CBAM formal levy; anti-subsidy investigation risk; FSR review</w:t>
            </w:r>
          </w:p>
        </w:tc>
      </w:tr>
      <w:tr>
        <w:tc>
          <w:tcPr>
            <w:tcW w:type="dxa" w:w="1728"/>
          </w:tcPr>
          <w:p>
            <w:pPr>
              <w:jc w:val="center"/>
            </w:pPr>
            <w:r>
              <w:rPr>
                <w:rFonts w:ascii="Times New Roman" w:hAnsi="Times New Roman"/>
                <w:sz w:val="18"/>
              </w:rPr>
              <w:t>Americas</w:t>
            </w:r>
          </w:p>
        </w:tc>
        <w:tc>
          <w:tcPr>
            <w:tcW w:type="dxa" w:w="1728"/>
          </w:tcPr>
          <w:p>
            <w:pPr>
              <w:jc w:val="center"/>
            </w:pPr>
            <w:r>
              <w:rPr>
                <w:rFonts w:ascii="Times New Roman" w:hAnsi="Times New Roman"/>
                <w:sz w:val="18"/>
              </w:rPr>
              <w:t>9.251</w:t>
            </w:r>
          </w:p>
        </w:tc>
        <w:tc>
          <w:tcPr>
            <w:tcW w:type="dxa" w:w="1728"/>
          </w:tcPr>
          <w:p>
            <w:pPr>
              <w:jc w:val="center"/>
            </w:pPr>
            <w:r>
              <w:rPr>
                <w:rFonts w:ascii="Times New Roman" w:hAnsi="Times New Roman"/>
                <w:sz w:val="18"/>
              </w:rPr>
              <w:t>29.4%</w:t>
            </w:r>
          </w:p>
        </w:tc>
        <w:tc>
          <w:tcPr>
            <w:tcW w:type="dxa" w:w="1728"/>
          </w:tcPr>
          <w:p>
            <w:pPr>
              <w:jc w:val="center"/>
            </w:pPr>
            <w:r>
              <w:rPr>
                <w:rFonts w:ascii="Times New Roman" w:hAnsi="Times New Roman"/>
                <w:sz w:val="18"/>
              </w:rPr>
              <w:t>-</w:t>
            </w:r>
          </w:p>
        </w:tc>
        <w:tc>
          <w:tcPr>
            <w:tcW w:type="dxa" w:w="1728"/>
          </w:tcPr>
          <w:p>
            <w:pPr>
              <w:jc w:val="center"/>
            </w:pPr>
            <w:r>
              <w:rPr>
                <w:rFonts w:ascii="Times New Roman" w:hAnsi="Times New Roman"/>
                <w:sz w:val="18"/>
              </w:rPr>
              <w:t>AD/CVD tariffs on SE Asia; reciprocal tariffs (VN 46%, MY 24%); IRA uncertainty</w:t>
            </w:r>
          </w:p>
        </w:tc>
      </w:tr>
      <w:tr>
        <w:tc>
          <w:tcPr>
            <w:tcW w:type="dxa" w:w="1728"/>
          </w:tcPr>
          <w:p>
            <w:pPr>
              <w:jc w:val="center"/>
            </w:pPr>
            <w:r>
              <w:rPr>
                <w:rFonts w:ascii="Times New Roman" w:hAnsi="Times New Roman"/>
                <w:sz w:val="18"/>
              </w:rPr>
              <w:t>Asia-Pacific</w:t>
            </w:r>
          </w:p>
        </w:tc>
        <w:tc>
          <w:tcPr>
            <w:tcW w:type="dxa" w:w="1728"/>
          </w:tcPr>
          <w:p>
            <w:pPr>
              <w:jc w:val="center"/>
            </w:pPr>
            <w:r>
              <w:rPr>
                <w:rFonts w:ascii="Times New Roman" w:hAnsi="Times New Roman"/>
                <w:sz w:val="18"/>
              </w:rPr>
              <w:t>8.558</w:t>
            </w:r>
          </w:p>
        </w:tc>
        <w:tc>
          <w:tcPr>
            <w:tcW w:type="dxa" w:w="1728"/>
          </w:tcPr>
          <w:p>
            <w:pPr>
              <w:jc w:val="center"/>
            </w:pPr>
            <w:r>
              <w:rPr>
                <w:rFonts w:ascii="Times New Roman" w:hAnsi="Times New Roman"/>
                <w:sz w:val="18"/>
              </w:rPr>
              <w:t>27.2%</w:t>
            </w:r>
          </w:p>
        </w:tc>
        <w:tc>
          <w:tcPr>
            <w:tcW w:type="dxa" w:w="1728"/>
          </w:tcPr>
          <w:p>
            <w:pPr>
              <w:jc w:val="center"/>
            </w:pPr>
            <w:r>
              <w:rPr>
                <w:rFonts w:ascii="Times New Roman" w:hAnsi="Times New Roman"/>
                <w:sz w:val="18"/>
              </w:rPr>
              <w:t>-</w:t>
            </w:r>
          </w:p>
        </w:tc>
        <w:tc>
          <w:tcPr>
            <w:tcW w:type="dxa" w:w="1728"/>
          </w:tcPr>
          <w:p>
            <w:pPr>
              <w:jc w:val="center"/>
            </w:pPr>
            <w:r>
              <w:rPr>
                <w:rFonts w:ascii="Times New Roman" w:hAnsi="Times New Roman"/>
                <w:sz w:val="18"/>
              </w:rPr>
              <w:t>India BCD tariffs and ALMM restrictions; intensifying competition</w:t>
            </w:r>
          </w:p>
        </w:tc>
      </w:tr>
      <w:tr>
        <w:tc>
          <w:tcPr>
            <w:tcW w:type="dxa" w:w="1728"/>
          </w:tcPr>
          <w:p>
            <w:pPr>
              <w:jc w:val="center"/>
            </w:pPr>
            <w:r>
              <w:rPr>
                <w:rFonts w:ascii="Times New Roman" w:hAnsi="Times New Roman"/>
                <w:sz w:val="18"/>
              </w:rPr>
              <w:t>Middle East &amp; Africa</w:t>
            </w:r>
          </w:p>
        </w:tc>
        <w:tc>
          <w:tcPr>
            <w:tcW w:type="dxa" w:w="1728"/>
          </w:tcPr>
          <w:p>
            <w:pPr>
              <w:jc w:val="center"/>
            </w:pPr>
            <w:r>
              <w:rPr>
                <w:rFonts w:ascii="Times New Roman" w:hAnsi="Times New Roman"/>
                <w:sz w:val="18"/>
              </w:rPr>
              <w:t>2.682</w:t>
            </w:r>
          </w:p>
        </w:tc>
        <w:tc>
          <w:tcPr>
            <w:tcW w:type="dxa" w:w="1728"/>
          </w:tcPr>
          <w:p>
            <w:pPr>
              <w:jc w:val="center"/>
            </w:pPr>
            <w:r>
              <w:rPr>
                <w:rFonts w:ascii="Times New Roman" w:hAnsi="Times New Roman"/>
                <w:sz w:val="18"/>
              </w:rPr>
              <w:t>8.5%</w:t>
            </w:r>
          </w:p>
        </w:tc>
        <w:tc>
          <w:tcPr>
            <w:tcW w:type="dxa" w:w="1728"/>
          </w:tcPr>
          <w:p>
            <w:pPr>
              <w:jc w:val="center"/>
            </w:pPr>
            <w:r>
              <w:rPr>
                <w:rFonts w:ascii="Times New Roman" w:hAnsi="Times New Roman"/>
                <w:sz w:val="18"/>
              </w:rPr>
              <w:t>-</w:t>
            </w:r>
          </w:p>
        </w:tc>
        <w:tc>
          <w:tcPr>
            <w:tcW w:type="dxa" w:w="1728"/>
          </w:tcPr>
          <w:p>
            <w:pPr>
              <w:jc w:val="center"/>
            </w:pPr>
            <w:r>
              <w:rPr>
                <w:rFonts w:ascii="Times New Roman" w:hAnsi="Times New Roman"/>
                <w:sz w:val="18"/>
              </w:rPr>
              <w:t>Large potential but small base; rising localisation requirements</w:t>
            </w:r>
          </w:p>
        </w:tc>
      </w:tr>
      <w:tr>
        <w:tc>
          <w:tcPr>
            <w:tcW w:type="dxa" w:w="1728"/>
          </w:tcPr>
          <w:p>
            <w:pPr>
              <w:jc w:val="center"/>
            </w:pPr>
            <w:r>
              <w:rPr>
                <w:rFonts w:ascii="Times New Roman" w:hAnsi="Times New Roman"/>
                <w:sz w:val="18"/>
              </w:rPr>
              <w:t>Total</w:t>
            </w:r>
          </w:p>
        </w:tc>
        <w:tc>
          <w:tcPr>
            <w:tcW w:type="dxa" w:w="1728"/>
          </w:tcPr>
          <w:p>
            <w:pPr>
              <w:jc w:val="center"/>
            </w:pPr>
            <w:r>
              <w:rPr>
                <w:rFonts w:ascii="Times New Roman" w:hAnsi="Times New Roman"/>
                <w:sz w:val="18"/>
              </w:rPr>
              <w:t>31.480</w:t>
            </w:r>
          </w:p>
        </w:tc>
        <w:tc>
          <w:tcPr>
            <w:tcW w:type="dxa" w:w="1728"/>
          </w:tcPr>
          <w:p>
            <w:pPr>
              <w:jc w:val="center"/>
            </w:pPr>
            <w:r>
              <w:rPr>
                <w:rFonts w:ascii="Times New Roman" w:hAnsi="Times New Roman"/>
                <w:sz w:val="18"/>
              </w:rPr>
              <w:t>100.0%</w:t>
            </w:r>
          </w:p>
        </w:tc>
        <w:tc>
          <w:tcPr>
            <w:tcW w:type="dxa" w:w="1728"/>
          </w:tcPr>
          <w:p>
            <w:pPr>
              <w:jc w:val="center"/>
            </w:pPr>
            <w:r>
              <w:rPr>
                <w:rFonts w:ascii="Times New Roman" w:hAnsi="Times New Roman"/>
                <w:sz w:val="18"/>
              </w:rPr>
              <w:t>-</w:t>
            </w:r>
          </w:p>
        </w:tc>
        <w:tc>
          <w:tcPr>
            <w:tcW w:type="dxa" w:w="1728"/>
          </w:tcPr>
          <w:p>
            <w:pPr>
              <w:jc w:val="center"/>
            </w:pPr>
            <w:r>
              <w:rPr>
                <w:rFonts w:ascii="Times New Roman" w:hAnsi="Times New Roman"/>
                <w:sz w:val="18"/>
              </w:rPr>
              <w:t>-</w:t>
            </w:r>
          </w:p>
        </w:tc>
      </w:tr>
    </w:tbl>
    <w:p>
      <w:pPr>
        <w:spacing w:after="240"/>
        <w:jc w:val="center"/>
      </w:pPr>
      <w:r>
        <w:rPr>
          <w:rFonts w:ascii="Times New Roman" w:hAnsi="Times New Roman"/>
          <w:i/>
          <w:sz w:val="20"/>
        </w:rPr>
        <w:t>Data Source: Futu Niuniu LONGi Green Energy 2025 Revenue Composition Data</w:t>
      </w:r>
    </w:p>
    <w:p>
      <w:pPr>
        <w:spacing w:before="120" w:after="120" w:line="360" w:lineRule="auto"/>
        <w:jc w:val="left"/>
      </w:pPr>
      <w:r>
        <w:rPr>
          <w:rFonts w:ascii="Times New Roman" w:hAnsi="Times New Roman" w:eastAsia="Times New Roman"/>
          <w:b/>
          <w:i w:val="0"/>
          <w:sz w:val="24"/>
        </w:rPr>
        <w:t>3.3 Core Problem Diagnosis</w:t>
      </w:r>
    </w:p>
    <w:p>
      <w:pPr>
        <w:spacing w:before="0" w:after="120" w:line="360" w:lineRule="auto"/>
        <w:jc w:val="left"/>
      </w:pPr>
      <w:r>
        <w:rPr>
          <w:rFonts w:ascii="Times New Roman" w:hAnsi="Times New Roman" w:eastAsia="Times New Roman"/>
          <w:b/>
          <w:i w:val="0"/>
          <w:sz w:val="24"/>
        </w:rPr>
        <w:t>Financial "Three Declines":</w:t>
      </w:r>
    </w:p>
    <w:p>
      <w:pPr>
        <w:spacing w:before="0" w:after="120" w:line="360" w:lineRule="auto"/>
        <w:jc w:val="left"/>
      </w:pPr>
      <w:r>
        <w:rPr>
          <w:rFonts w:ascii="Times New Roman" w:hAnsi="Times New Roman" w:eastAsia="Times New Roman"/>
          <w:b w:val="0"/>
          <w:i w:val="0"/>
          <w:sz w:val="24"/>
        </w:rPr>
        <w:t>Revenue in continuous decline: 2025 operating revenue fell another 14.82% year-on-year, having dropped over RMB 59 billion from the 2023 peak of RMB 129.4 billion.</w:t>
      </w:r>
    </w:p>
    <w:p>
      <w:pPr>
        <w:spacing w:before="0" w:after="120" w:line="360" w:lineRule="auto"/>
        <w:jc w:val="left"/>
      </w:pPr>
      <w:r>
        <w:rPr>
          <w:rFonts w:ascii="Times New Roman" w:hAnsi="Times New Roman" w:eastAsia="Times New Roman"/>
          <w:b w:val="0"/>
          <w:i w:val="0"/>
          <w:sz w:val="24"/>
        </w:rPr>
        <w:t>Gross margin cliff-like decline: plummeted from 16.8% in 2023 to just 0.81% in 2025, indicating that pricing pressure has severely eroded core profitability.</w:t>
      </w:r>
    </w:p>
    <w:p>
      <w:pPr>
        <w:spacing w:before="0" w:after="120" w:line="360" w:lineRule="auto"/>
        <w:jc w:val="left"/>
      </w:pPr>
      <w:r>
        <w:rPr>
          <w:rFonts w:ascii="Times New Roman" w:hAnsi="Times New Roman" w:eastAsia="Times New Roman"/>
          <w:b w:val="0"/>
          <w:i w:val="0"/>
          <w:sz w:val="24"/>
        </w:rPr>
        <w:t>Deep net loss: a loss of RMB 8.618 billion in 2024, narrowing to RMB 6.420 billion in 2025 — combined losses exceeding RMB 15 billion over two years.</w:t>
      </w:r>
    </w:p>
    <w:p>
      <w:pPr>
        <w:spacing w:before="0" w:after="120" w:line="360" w:lineRule="auto"/>
        <w:jc w:val="left"/>
      </w:pPr>
      <w:r>
        <w:rPr>
          <w:rFonts w:ascii="Times New Roman" w:hAnsi="Times New Roman" w:eastAsia="Times New Roman"/>
          <w:b/>
          <w:i w:val="0"/>
          <w:sz w:val="24"/>
        </w:rPr>
        <w:t>Strategic "Four Misalignments":</w:t>
      </w:r>
    </w:p>
    <w:p>
      <w:pPr>
        <w:spacing w:before="0" w:after="120" w:line="360" w:lineRule="auto"/>
        <w:jc w:val="left"/>
      </w:pPr>
      <w:r>
        <w:rPr>
          <w:rFonts w:ascii="Times New Roman" w:hAnsi="Times New Roman" w:eastAsia="Times New Roman"/>
          <w:b w:val="0"/>
          <w:i w:val="0"/>
          <w:sz w:val="24"/>
        </w:rPr>
        <w:t>Market structure misalignment: 55% of revenue remains concentrated in the domestic Chinese market. While overseas revenue share rose to 44.7%, the primary European and American markets face increasingly stringent trade barriers.</w:t>
      </w:r>
    </w:p>
    <w:p>
      <w:pPr>
        <w:spacing w:before="0" w:after="120" w:line="360" w:lineRule="auto"/>
        <w:jc w:val="left"/>
      </w:pPr>
      <w:r>
        <w:rPr>
          <w:rFonts w:ascii="Times New Roman" w:hAnsi="Times New Roman" w:eastAsia="Times New Roman"/>
          <w:b w:val="0"/>
          <w:i w:val="0"/>
          <w:sz w:val="24"/>
        </w:rPr>
        <w:t>Product timing misalignment: before BC second-generation technology has ramped to scale, the main product portfolio still relies on conventional modules and wafers, preventing differentiation advantages from being fully monetised.</w:t>
      </w:r>
    </w:p>
    <w:p>
      <w:pPr>
        <w:spacing w:before="0" w:after="120" w:line="360" w:lineRule="auto"/>
        <w:jc w:val="left"/>
      </w:pPr>
      <w:r>
        <w:rPr>
          <w:rFonts w:ascii="Times New Roman" w:hAnsi="Times New Roman" w:eastAsia="Times New Roman"/>
          <w:b w:val="0"/>
          <w:i w:val="0"/>
          <w:sz w:val="24"/>
        </w:rPr>
        <w:t>Capacity deployment misalignment: overseas manufacturing bases in Malaysia and Vietnam remain heavily dependent on Asian supply chains, making it difficult to effectively circumvent origin-based tariffs.</w:t>
      </w:r>
    </w:p>
    <w:p>
      <w:pPr>
        <w:spacing w:before="0" w:after="120" w:line="360" w:lineRule="auto"/>
        <w:jc w:val="left"/>
      </w:pPr>
      <w:r>
        <w:rPr>
          <w:rFonts w:ascii="Times New Roman" w:hAnsi="Times New Roman" w:eastAsia="Times New Roman"/>
          <w:b w:val="0"/>
          <w:i w:val="0"/>
          <w:sz w:val="24"/>
        </w:rPr>
        <w:t>Cost-price misalignment: industry-wide price wars have driven product selling prices below production costs, rendering even excellent cost control insufficient for profitability.</w:t>
      </w:r>
    </w:p>
    <w:p>
      <w:pPr>
        <w:spacing w:before="240" w:after="120" w:line="360" w:lineRule="auto"/>
        <w:jc w:val="left"/>
      </w:pPr>
      <w:r>
        <w:rPr>
          <w:rFonts w:ascii="Times New Roman" w:hAnsi="Times New Roman" w:eastAsia="Times New Roman"/>
          <w:b/>
          <w:i w:val="0"/>
          <w:sz w:val="28"/>
        </w:rPr>
        <w:t>IV. In-Depth Analysis of External Challenges</w:t>
      </w:r>
    </w:p>
    <w:p>
      <w:pPr>
        <w:spacing w:before="120" w:after="120" w:line="360" w:lineRule="auto"/>
        <w:jc w:val="left"/>
      </w:pPr>
      <w:r>
        <w:rPr>
          <w:rFonts w:ascii="Times New Roman" w:hAnsi="Times New Roman" w:eastAsia="Times New Roman"/>
          <w:b/>
          <w:i w:val="0"/>
          <w:sz w:val="24"/>
        </w:rPr>
        <w:t>4.1 The U.S. Market: Multi-Layered Tariff Superimposition</w:t>
      </w:r>
    </w:p>
    <w:p>
      <w:pPr>
        <w:spacing w:before="0" w:after="120" w:line="360" w:lineRule="auto"/>
        <w:jc w:val="left"/>
      </w:pPr>
      <w:r>
        <w:rPr>
          <w:rFonts w:ascii="Times New Roman" w:hAnsi="Times New Roman" w:eastAsia="Times New Roman"/>
          <w:b w:val="0"/>
          <w:i w:val="0"/>
          <w:sz w:val="24"/>
        </w:rPr>
        <w:t>The U.S. trade barrier structure has evolved into a multi-layered framework. The base layer comprises Section 201 tariffs (with the original bifacial module exemption revoked in 2024). The core layer consists of anti-dumping and countervailing duties on the four Southeast Asian countries (anti-dumping up to 271.28%, countervailing up to 3,403.96%). The emerging layer is the reciprocal tariff effective from April 2025 (scheduled to rise by 9 July 2025 to Vietnam 46%, Malaysia 24%, Thailand 36%, Cambodia 49%).</w:t>
      </w:r>
    </w:p>
    <w:p>
      <w:pPr>
        <w:spacing w:before="0" w:after="120" w:line="360" w:lineRule="auto"/>
        <w:jc w:val="left"/>
      </w:pPr>
      <w:r>
        <w:rPr>
          <w:rFonts w:ascii="Times New Roman" w:hAnsi="Times New Roman" w:eastAsia="Times New Roman"/>
          <w:b w:val="0"/>
          <w:i w:val="0"/>
          <w:sz w:val="24"/>
        </w:rPr>
        <w:t>More alarmingly, the U.S. Department of Justice formally withdrew its appeal against the Southeast Asian four-country PV tariff exemption order in February 2026. Under current estimates, approximately 88 GW of PV capacity imported during this tariff exemption period faces retrospective tariff risks of USD 50–70 billion.</w:t>
      </w:r>
    </w:p>
    <w:p>
      <w:pPr>
        <w:spacing w:before="120" w:after="120" w:line="360" w:lineRule="auto"/>
        <w:jc w:val="left"/>
      </w:pPr>
      <w:r>
        <w:rPr>
          <w:rFonts w:ascii="Times New Roman" w:hAnsi="Times New Roman" w:eastAsia="Times New Roman"/>
          <w:b/>
          <w:i w:val="0"/>
          <w:sz w:val="24"/>
        </w:rPr>
        <w:t>4.2 The EU Market: CBAM Implementation and Rising Protectionism</w:t>
      </w:r>
    </w:p>
    <w:p>
      <w:pPr>
        <w:spacing w:before="0" w:after="120" w:line="360" w:lineRule="auto"/>
        <w:jc w:val="left"/>
      </w:pPr>
      <w:r>
        <w:rPr>
          <w:rFonts w:ascii="Times New Roman" w:hAnsi="Times New Roman" w:eastAsia="Times New Roman"/>
          <w:b w:val="0"/>
          <w:i w:val="0"/>
          <w:sz w:val="24"/>
        </w:rPr>
        <w:t>EU-level trade barriers are transitioning from an "investigation phase" to an "implementation phase":</w:t>
      </w:r>
    </w:p>
    <w:p>
      <w:pPr>
        <w:spacing w:before="0" w:after="120" w:line="360" w:lineRule="auto"/>
        <w:jc w:val="left"/>
      </w:pPr>
      <w:r>
        <w:rPr>
          <w:rFonts w:ascii="Times New Roman" w:hAnsi="Times New Roman" w:eastAsia="Times New Roman"/>
          <w:b w:val="0"/>
          <w:i w:val="0"/>
          <w:sz w:val="24"/>
        </w:rPr>
        <w:t>CBAM formal levy: From 1 January 2026, CBAM enters formal enforcement, requiring importers to purchase CBAM certificates at the EU carbon price (approximately €72/tonne). The European Solar Manufacturing Council is actively lobbying to extend CBAM coverage to solar modules, tracking systems, and mounting structures — approval would directly increase Chinese module export costs.</w:t>
      </w:r>
    </w:p>
    <w:p>
      <w:pPr>
        <w:spacing w:before="0" w:after="120" w:line="360" w:lineRule="auto"/>
        <w:jc w:val="left"/>
      </w:pPr>
      <w:r>
        <w:rPr>
          <w:rFonts w:ascii="Times New Roman" w:hAnsi="Times New Roman" w:eastAsia="Times New Roman"/>
          <w:b w:val="0"/>
          <w:i w:val="0"/>
          <w:sz w:val="24"/>
        </w:rPr>
        <w:t>Anti-subsidy investigation and overcapacity tools: Five countries jointly proposed import quotas and excess tariffs on Chinese advantage industrial products including PV; the European Commission has formally initiated research.</w:t>
      </w:r>
    </w:p>
    <w:p>
      <w:pPr>
        <w:spacing w:before="0" w:after="120" w:line="360" w:lineRule="auto"/>
        <w:jc w:val="left"/>
      </w:pPr>
      <w:r>
        <w:rPr>
          <w:rFonts w:ascii="Times New Roman" w:hAnsi="Times New Roman" w:eastAsia="Times New Roman"/>
          <w:b w:val="0"/>
          <w:i w:val="0"/>
          <w:sz w:val="24"/>
        </w:rPr>
        <w:t>FSR escalation: The EU has recently launched FSR investigations against multiple Chinese enterprises, spanning PV, new energy, and other sectors.</w:t>
      </w:r>
    </w:p>
    <w:p>
      <w:pPr>
        <w:spacing w:before="120" w:after="120" w:line="360" w:lineRule="auto"/>
        <w:jc w:val="left"/>
      </w:pPr>
      <w:r>
        <w:rPr>
          <w:rFonts w:ascii="Times New Roman" w:hAnsi="Times New Roman" w:eastAsia="Times New Roman"/>
          <w:b/>
          <w:i w:val="0"/>
          <w:sz w:val="24"/>
        </w:rPr>
        <w:t>4.3 India and Other Markets</w:t>
      </w:r>
    </w:p>
    <w:p>
      <w:pPr>
        <w:spacing w:before="0" w:after="120" w:line="360" w:lineRule="auto"/>
        <w:jc w:val="left"/>
      </w:pPr>
      <w:r>
        <w:rPr>
          <w:rFonts w:ascii="Times New Roman" w:hAnsi="Times New Roman" w:eastAsia="Times New Roman"/>
          <w:b w:val="0"/>
          <w:i w:val="0"/>
          <w:sz w:val="24"/>
        </w:rPr>
        <w:t>In India, while Basic Customs Duties (BCD) were moderately reduced in 2025, the ALMM (Approved List of Models and Manufacturers) regime still severely constrains direct export opportunities for Chinese manufacturers. Emerging markets in the Middle East and Africa present lower tariff barriers, but competitive intensity is rapidly escalating.</w:t>
      </w:r>
    </w:p>
    <w:p>
      <w:pPr>
        <w:spacing w:before="240" w:after="120" w:line="360" w:lineRule="auto"/>
        <w:jc w:val="left"/>
      </w:pPr>
      <w:r>
        <w:rPr>
          <w:rFonts w:ascii="Times New Roman" w:hAnsi="Times New Roman" w:eastAsia="Times New Roman"/>
          <w:b/>
          <w:i w:val="0"/>
          <w:sz w:val="28"/>
        </w:rPr>
        <w:t>V. LONGi's Internal Strategic Layout (Based on Latest 2025 Developments)</w:t>
      </w:r>
    </w:p>
    <w:p>
      <w:pPr>
        <w:spacing w:before="0" w:after="120" w:line="360" w:lineRule="auto"/>
        <w:jc w:val="left"/>
      </w:pPr>
      <w:r>
        <w:rPr>
          <w:rFonts w:ascii="Times New Roman" w:hAnsi="Times New Roman" w:eastAsia="Times New Roman"/>
          <w:b w:val="0"/>
          <w:i w:val="0"/>
          <w:sz w:val="24"/>
        </w:rPr>
        <w:t>Before proposing the solutions in this report, it is necessary to review the strategic initiatives LONGi is already pursuing, so that proposed supplements and optimisations can better align with the company's actual situation:</w:t>
      </w:r>
    </w:p>
    <w:p>
      <w:pPr>
        <w:spacing w:before="120" w:after="120" w:line="360" w:lineRule="auto"/>
        <w:jc w:val="left"/>
      </w:pPr>
      <w:r>
        <w:rPr>
          <w:rFonts w:ascii="Times New Roman" w:hAnsi="Times New Roman" w:eastAsia="Times New Roman"/>
          <w:b/>
          <w:i w:val="0"/>
          <w:sz w:val="24"/>
        </w:rPr>
        <w:t>5.1 BC Technology Capacity Deployment</w:t>
      </w:r>
    </w:p>
    <w:p>
      <w:pPr>
        <w:spacing w:before="0" w:after="120" w:line="360" w:lineRule="auto"/>
        <w:jc w:val="left"/>
      </w:pPr>
      <w:r>
        <w:rPr>
          <w:rFonts w:ascii="Times New Roman" w:hAnsi="Times New Roman" w:eastAsia="Times New Roman"/>
          <w:b w:val="0"/>
          <w:i w:val="0"/>
          <w:sz w:val="24"/>
        </w:rPr>
        <w:t>BC second-generation capacity is accelerating. By end-2025, combined BC first-generation and BC second-generation capacity will reach approximately 70 GW. By end-2026, all domestic factories — with the exception of select overseas facilities — will have migrated to BC technology. As of June 2025, BC second-generation monthly production had reached 2 GW, projected to hit 3 GW in September and 4 GW in November. BC production lines are operating at 100% utilisation against an industry-wide rate of under 60%, strongly validating the anti-cyclical resilience afforded by technological differentiation.</w:t>
      </w:r>
    </w:p>
    <w:p>
      <w:pPr>
        <w:spacing w:before="0" w:after="120" w:line="360" w:lineRule="auto"/>
        <w:jc w:val="left"/>
      </w:pPr>
      <w:r>
        <w:rPr>
          <w:rFonts w:ascii="Times New Roman" w:hAnsi="Times New Roman" w:eastAsia="Times New Roman"/>
          <w:b w:val="0"/>
          <w:i w:val="0"/>
          <w:sz w:val="24"/>
        </w:rPr>
        <w:t>The Jiaxing "Lighthouse Factory" — the only PV industry lighthouse factory globally recognised by the World Economic Forum — has been fully upgraded to HPBC 2.0 production lines. The Hi-MO X10 module, based on HPBC 2.0 technology, achieves a maximum mass production power output of 670W with a module efficiency of 24.8%, experiencing demand that outstrips supply among downstream customers.</w:t>
      </w:r>
    </w:p>
    <w:p>
      <w:pPr>
        <w:spacing w:before="120" w:after="120" w:line="360" w:lineRule="auto"/>
        <w:jc w:val="left"/>
      </w:pPr>
      <w:r>
        <w:rPr>
          <w:rFonts w:ascii="Times New Roman" w:hAnsi="Times New Roman" w:eastAsia="Times New Roman"/>
          <w:b/>
          <w:i w:val="0"/>
          <w:sz w:val="24"/>
        </w:rPr>
        <w:t>5.2 U.S. Localised Manufacturing</w:t>
      </w:r>
    </w:p>
    <w:p>
      <w:pPr>
        <w:spacing w:before="0" w:after="120" w:line="360" w:lineRule="auto"/>
        <w:jc w:val="left"/>
      </w:pPr>
      <w:r>
        <w:rPr>
          <w:rFonts w:ascii="Times New Roman" w:hAnsi="Times New Roman" w:eastAsia="Times New Roman"/>
          <w:b w:val="0"/>
          <w:i w:val="0"/>
          <w:sz w:val="24"/>
        </w:rPr>
        <w:t>LONGi's 5 GW module factory in Ohio, a joint venture with U.S. energy giant Invenergy, commenced production in January 2024 and achieved an 85% capacity utilisation rate in 2025. Operating under an "Asia supply + North America manufacturing" model, the facility serves U.S. domestic demand and benefits from an IRA tax credit of USD 0.11/W. It has successfully entered public utility procurement lists. LONGi stated on its investor relations platform that the company's 5 GW module capacity in the U.S., held through a minority-share joint venture, is fully operational. The facility primarily imports raw materials from outside the U.S., and the cost increase attributable to the current round of "reciprocal tariffs" falls within a manageable range.</w:t>
      </w:r>
    </w:p>
    <w:p>
      <w:pPr>
        <w:spacing w:before="120" w:after="120" w:line="360" w:lineRule="auto"/>
        <w:jc w:val="left"/>
      </w:pPr>
      <w:r>
        <w:rPr>
          <w:rFonts w:ascii="Times New Roman" w:hAnsi="Times New Roman" w:eastAsia="Times New Roman"/>
          <w:b/>
          <w:i w:val="0"/>
          <w:sz w:val="24"/>
        </w:rPr>
        <w:t>5.3 BC Technology Cost Reduction and Product Portfolio Optimisation</w:t>
      </w:r>
    </w:p>
    <w:p>
      <w:pPr>
        <w:spacing w:before="0" w:after="120" w:line="360" w:lineRule="auto"/>
        <w:jc w:val="left"/>
      </w:pPr>
      <w:r>
        <w:rPr>
          <w:rFonts w:ascii="Times New Roman" w:hAnsi="Times New Roman" w:eastAsia="Times New Roman"/>
          <w:b w:val="0"/>
          <w:i w:val="0"/>
          <w:sz w:val="24"/>
        </w:rPr>
        <w:t>LONGi projects that by end-2025, both HPBC 2.0 battery and module capacity will increase to 50 GW. Of the newly added HPBC 2.0 battery capacity, approximately 50% comes from retrofitting existing HPBC 1.0 and PERC battery production lines, reducing new-build costs. LONGi's target is for HPBC 2.0 manufacturing costs to approach those of TOPCon by end-2025, achieving the ideal profitability structure of "technology premium + cost parity."</w:t>
      </w:r>
    </w:p>
    <w:p>
      <w:pPr>
        <w:spacing w:before="240" w:after="120" w:line="360" w:lineRule="auto"/>
        <w:jc w:val="left"/>
      </w:pPr>
      <w:r>
        <w:rPr>
          <w:rFonts w:ascii="Times New Roman" w:hAnsi="Times New Roman" w:eastAsia="Times New Roman"/>
          <w:b/>
          <w:i w:val="0"/>
          <w:sz w:val="28"/>
        </w:rPr>
        <w:t>VI. Business Proposal: LONGi Green Energy Global Export Strategy Optimisation Plan</w:t>
      </w:r>
    </w:p>
    <w:p>
      <w:pPr>
        <w:spacing w:before="0" w:after="120" w:line="360" w:lineRule="auto"/>
        <w:jc w:val="left"/>
      </w:pPr>
      <w:r>
        <w:rPr>
          <w:rFonts w:ascii="Times New Roman" w:hAnsi="Times New Roman" w:eastAsia="Times New Roman"/>
          <w:b w:val="0"/>
          <w:i w:val="0"/>
          <w:sz w:val="24"/>
        </w:rPr>
        <w:t>Against the backdrop of a deteriorating international trade environment and a reshaping global PV industry competitive landscape, LONGi Green Energy's export predicament is no longer merely a cyclical issue — it represents the concentrated manifestation of structural challenges facing its globalised business model. From an international trade perspective, the company's future competitive advantage should no longer rely on low-cost manufacturing and scale expansion, but should instead pivot towards a new internationalisation model built on "technology leadership, localised manufacturing, and market diversification."</w:t>
      </w:r>
    </w:p>
    <w:p>
      <w:pPr>
        <w:spacing w:before="0" w:after="120" w:line="360" w:lineRule="auto"/>
        <w:jc w:val="left"/>
      </w:pPr>
      <w:r>
        <w:rPr>
          <w:rFonts w:ascii="Times New Roman" w:hAnsi="Times New Roman" w:eastAsia="Times New Roman"/>
          <w:b w:val="0"/>
          <w:i w:val="0"/>
          <w:sz w:val="24"/>
        </w:rPr>
        <w:t>Building on the preceding analysis of the company's operational performance, export structure, and international trade environment, this report proposes a tripartite strategic optimisation framework of "market rebalancing, technology value enhancement, and supply chain localisation" as the core pathway for LONGi Green Energy's global export strategy adjustment over the next three years (2026–2028).</w:t>
      </w:r>
    </w:p>
    <w:p>
      <w:pPr>
        <w:spacing w:before="0" w:after="120" w:line="360" w:lineRule="auto"/>
        <w:jc w:val="left"/>
      </w:pPr>
      <w:r>
        <w:rPr>
          <w:rFonts w:ascii="Times New Roman" w:hAnsi="Times New Roman" w:eastAsia="Times New Roman"/>
          <w:b w:val="0"/>
          <w:i w:val="0"/>
          <w:sz w:val="24"/>
        </w:rPr>
        <w:t>This plan sets the following targets: by 2028, overseas revenue should account for over 55% of total company revenue; Middle East and Africa market revenue should represent approximately 20% of overseas revenue; BC technology products should account for over 65% of overseas shipment volumes; overseas business gross margin should recover to 12%–15%; and overseas manufacturing capacity should represent 20%–25% of total capacity — thereby establishing a more balanced, stable, and sustainable global market layout.</w:t>
      </w:r>
    </w:p>
    <w:p>
      <w:pPr>
        <w:spacing w:before="120" w:after="120" w:line="360" w:lineRule="auto"/>
        <w:jc w:val="left"/>
      </w:pPr>
      <w:r>
        <w:rPr>
          <w:rFonts w:ascii="Times New Roman" w:hAnsi="Times New Roman" w:eastAsia="Times New Roman"/>
          <w:b/>
          <w:i w:val="0"/>
          <w:sz w:val="24"/>
        </w:rPr>
        <w:t>(1) Market Rebalancing Strategy: Accelerating Emerging Market Expansion</w:t>
      </w:r>
    </w:p>
    <w:p>
      <w:pPr>
        <w:spacing w:before="0" w:after="120" w:line="360" w:lineRule="auto"/>
        <w:jc w:val="left"/>
      </w:pPr>
      <w:r>
        <w:rPr>
          <w:rFonts w:ascii="Times New Roman" w:hAnsi="Times New Roman" w:eastAsia="Times New Roman"/>
          <w:b w:val="0"/>
          <w:i w:val="0"/>
          <w:sz w:val="24"/>
        </w:rPr>
        <w:t>Currently, LONGi Green Energy's overseas revenue remains heavily concentrated in European and American markets. Based on 2025 revenue composition data, the European market generated RMB 10.989 billion (34.9% of overseas revenue), while the Americas generated RMB 9.251 billion (29.4%), with these two markets combined accounting for 64.3%. However, these are precisely the markets where trade protection measures are most concentrated: the U.S. continues to implement anti-dumping, countervailing, and reciprocal tariff policies, while the EU raises entry barriers for Chinese PV products through CBAM and the Foreign Subsidies Regulation — compounding export risk.</w:t>
      </w:r>
    </w:p>
    <w:p>
      <w:pPr>
        <w:spacing w:before="0" w:after="120" w:line="360" w:lineRule="auto"/>
        <w:jc w:val="left"/>
      </w:pPr>
      <w:r>
        <w:rPr>
          <w:rFonts w:ascii="Times New Roman" w:hAnsi="Times New Roman" w:eastAsia="Times New Roman"/>
          <w:b w:val="0"/>
          <w:i w:val="0"/>
          <w:sz w:val="24"/>
        </w:rPr>
        <w:t>Therefore, reducing market concentration and accelerating emerging market deployment has become a critical direction for LONGi Green Energy to optimise its global market structure. Over the next three years, the company should prioritise the Middle East, Africa, and Latin America. The Middle East is undergoing rapid energy transition, with Saudi Arabia's "Vision 2030," the UAE's National Energy Strategy, and the NEOM megacity project all set to unleash substantial PV demand. Africa, driven by electricity shortages and growing new energy investment, presents expanding market potential. Latin America similarly maintains strong growth momentum under policy support and energy restructuring.</w:t>
      </w:r>
    </w:p>
    <w:p>
      <w:pPr>
        <w:spacing w:before="0" w:after="120" w:line="360" w:lineRule="auto"/>
        <w:jc w:val="left"/>
      </w:pPr>
      <w:r>
        <w:rPr>
          <w:rFonts w:ascii="Times New Roman" w:hAnsi="Times New Roman" w:eastAsia="Times New Roman"/>
          <w:b w:val="0"/>
          <w:i w:val="0"/>
          <w:sz w:val="24"/>
        </w:rPr>
        <w:t>From a revenue projection perspective, the Middle East and Africa region generated only RMB 2.682 billion in 2025, representing 8.5% of overseas revenue. If measures including regional operational centre establishment, key project partnerships, and localised service network enhancement can raise this share to 20%, then at 2025 overseas revenue scale, this would translate to approximately RMB 6.296 billion — an incremental revenue of over RMB 3.6 billion. Factoring in overall overseas business growth, the incremental market contribution is expected to be even larger.</w:t>
      </w:r>
    </w:p>
    <w:p>
      <w:pPr>
        <w:spacing w:before="0" w:after="120" w:line="360" w:lineRule="auto"/>
        <w:jc w:val="left"/>
      </w:pPr>
      <w:r>
        <w:rPr>
          <w:rFonts w:ascii="Times New Roman" w:hAnsi="Times New Roman" w:eastAsia="Times New Roman"/>
          <w:b w:val="0"/>
          <w:i w:val="0"/>
          <w:sz w:val="24"/>
        </w:rPr>
        <w:t>Accordingly, it is recommended that LONGi Green Energy establish Dubai as its regional operational centre, progressively building a marketing and service network covering the Gulf Cooperation Council (GCC) six countries, North Africa, and Southern Africa, while strengthening cooperation with local energy enterprises and government projects — driving the transition of export markets from "Europe-America dominated" to "global diversification" to mitigate systemic risks arising from trade barriers.</w:t>
      </w:r>
    </w:p>
    <w:p>
      <w:pPr>
        <w:spacing w:before="120" w:after="120" w:line="360" w:lineRule="auto"/>
        <w:jc w:val="left"/>
      </w:pPr>
      <w:r>
        <w:rPr>
          <w:rFonts w:ascii="Times New Roman" w:hAnsi="Times New Roman" w:eastAsia="Times New Roman"/>
          <w:b/>
          <w:i w:val="0"/>
          <w:sz w:val="24"/>
        </w:rPr>
        <w:t>(2) Technology Value Enhancement Strategy: Monetising BC Technology Premium</w:t>
      </w:r>
    </w:p>
    <w:p>
      <w:pPr>
        <w:spacing w:before="0" w:after="120" w:line="360" w:lineRule="auto"/>
        <w:jc w:val="left"/>
      </w:pPr>
      <w:r>
        <w:rPr>
          <w:rFonts w:ascii="Times New Roman" w:hAnsi="Times New Roman" w:eastAsia="Times New Roman"/>
          <w:b w:val="0"/>
          <w:i w:val="0"/>
          <w:sz w:val="24"/>
        </w:rPr>
        <w:t>From an industry development perspective, the global PV sector has transitioned from a phase of pure scale expansion into one of technological competition. The industry's prevailing TOPCon technology route has resulted in severe product homogenisation, intense price competition, and widespread margin compression. By contrast, LONGi Green Energy's strategic investment in BC technology offers higher conversion efficiency, superior aesthetics, and stronger scenario adaptability — providing the foundation for differentiated competitive advantage.</w:t>
      </w:r>
    </w:p>
    <w:p>
      <w:pPr>
        <w:spacing w:before="0" w:after="120" w:line="360" w:lineRule="auto"/>
        <w:jc w:val="left"/>
      </w:pPr>
      <w:r>
        <w:rPr>
          <w:rFonts w:ascii="Times New Roman" w:hAnsi="Times New Roman" w:eastAsia="Times New Roman"/>
          <w:b w:val="0"/>
          <w:i w:val="0"/>
          <w:sz w:val="24"/>
        </w:rPr>
        <w:t>As of 2025, LONGi's HPBC 2.0 modules have achieved a maximum mass production efficiency of 24.8%, with the next-generation HIBC product reaching 25.9%. Against an industry-wide capacity utilisation rate of under 60%, BC product production lines maintain high utilisation, indicating strong market demand for high-efficiency products. Therefore, the company should convert its technology leadership into market premium capability rather than continuing to participate in low-level price competition.</w:t>
      </w:r>
    </w:p>
    <w:p>
      <w:pPr>
        <w:spacing w:before="0" w:after="120" w:line="360" w:lineRule="auto"/>
        <w:jc w:val="left"/>
      </w:pPr>
      <w:r>
        <w:rPr>
          <w:rFonts w:ascii="Times New Roman" w:hAnsi="Times New Roman" w:eastAsia="Times New Roman"/>
          <w:b w:val="0"/>
          <w:i w:val="0"/>
          <w:sz w:val="24"/>
        </w:rPr>
        <w:t>Specifically, LONGi should implement differentiated product strategies tailored to different market characteristics. In the European market, promote low-carbon, high-efficiency BC modules to meet CBAM and green procurement requirements. In the Middle East market, emphasise power generation efficiency advantages under high-temperature conditions. In Latin America and Southeast Asia, balance performance with cost competitiveness. Simultaneously, the company should transition its business model from single-module sales to an integrated "PV module + energy storage system + O&amp;M service" solution, enhancing customer stickiness and added value.</w:t>
      </w:r>
    </w:p>
    <w:p>
      <w:pPr>
        <w:spacing w:before="0" w:after="120" w:line="360" w:lineRule="auto"/>
        <w:jc w:val="left"/>
      </w:pPr>
      <w:r>
        <w:rPr>
          <w:rFonts w:ascii="Times New Roman" w:hAnsi="Times New Roman" w:eastAsia="Times New Roman"/>
          <w:b w:val="0"/>
          <w:i w:val="0"/>
          <w:sz w:val="24"/>
        </w:rPr>
        <w:t>Using 2025 overseas revenue of RMB 31.48 billion as a base, with overseas gross margin at just 0.81%, overseas gross profit is approximately RMB 255 million. If technology upgrades and product portfolio optimisation can restore overseas gross margin to 12%, gross profit would increase to RMB 3.778 billion — an incremental profit space of over RMB 3.5 billion. This demonstrates that the technology premium strategy not only helps escape the price war trap but will also serve as a critical breakthrough for the company to restore profitability.</w:t>
      </w:r>
    </w:p>
    <w:p>
      <w:pPr>
        <w:spacing w:before="120" w:after="120" w:line="360" w:lineRule="auto"/>
        <w:jc w:val="left"/>
      </w:pPr>
      <w:r>
        <w:rPr>
          <w:rFonts w:ascii="Times New Roman" w:hAnsi="Times New Roman" w:eastAsia="Times New Roman"/>
          <w:b/>
          <w:i w:val="0"/>
          <w:sz w:val="24"/>
        </w:rPr>
        <w:t>(3) Global Supply Chain Restructuring Strategy: Deepening Overseas Capacity Localisation</w:t>
      </w:r>
    </w:p>
    <w:p>
      <w:pPr>
        <w:spacing w:before="0" w:after="120" w:line="360" w:lineRule="auto"/>
        <w:jc w:val="left"/>
      </w:pPr>
      <w:r>
        <w:rPr>
          <w:rFonts w:ascii="Times New Roman" w:hAnsi="Times New Roman" w:eastAsia="Times New Roman"/>
          <w:b w:val="0"/>
          <w:i w:val="0"/>
          <w:sz w:val="24"/>
        </w:rPr>
        <w:t>In recent years, the U.S., EU, and India have continuously raised trade barriers, making the traditional export model increasingly uncertain. In particular, after the U.S. implemented anti-circumvention investigations and high AD/CVD duties on PV products from the four Southeast Asian countries, Chinese PV enterprises' long-relied-upon "domestic production — Southeast Asian assembly — European/American export" supply chain model has been significantly disrupted. In this context, relying solely on product exports is no longer sufficient for global market competitiveness. Extending production factors to target markets and establishing localised supply chain systems has become an important trend for global new energy enterprises.</w:t>
      </w:r>
    </w:p>
    <w:p>
      <w:pPr>
        <w:spacing w:before="0" w:after="120" w:line="360" w:lineRule="auto"/>
        <w:jc w:val="left"/>
      </w:pPr>
      <w:r>
        <w:rPr>
          <w:rFonts w:ascii="Times New Roman" w:hAnsi="Times New Roman" w:eastAsia="Times New Roman"/>
          <w:b w:val="0"/>
          <w:i w:val="0"/>
          <w:sz w:val="24"/>
        </w:rPr>
        <w:t>Examining LONGi Green Energy's current overseas layout: the company has established production bases in Malaysia and Vietnam, and entered the U.S. domestic market through its 5 GW module factory joint venture with Invenergy in Ohio. Practice has demonstrated that U.S. localised production not only effectively circumvents certain trade barriers but also enables the company to enjoy IRA tax credit policies, enhancing product competitiveness. However, compared with competitors such as JinkoSolar and Trina Solar, LONGi's overseas manufacturing scale remains relatively limited, with considerable room for improvement in the overseas capacity-to-total capacity ratio.</w:t>
      </w:r>
    </w:p>
    <w:p>
      <w:pPr>
        <w:spacing w:before="0" w:after="120" w:line="360" w:lineRule="auto"/>
        <w:jc w:val="left"/>
      </w:pPr>
      <w:r>
        <w:rPr>
          <w:rFonts w:ascii="Times New Roman" w:hAnsi="Times New Roman" w:eastAsia="Times New Roman"/>
          <w:b w:val="0"/>
          <w:i w:val="0"/>
          <w:sz w:val="24"/>
        </w:rPr>
        <w:t>Therefore, over the next three years, LONGi Green Energy should further advance the "local manufacturing + regional supply chain" strategy, raising the overseas manufacturing capacity ratio from the current approximately 10% to 20%–25%, progressively building a globalised production network covering North America, Southeast Asia, and South Asia.</w:t>
      </w:r>
    </w:p>
    <w:p>
      <w:pPr>
        <w:spacing w:before="0" w:after="120" w:line="360" w:lineRule="auto"/>
        <w:jc w:val="left"/>
      </w:pPr>
      <w:r>
        <w:rPr>
          <w:rFonts w:ascii="Times New Roman" w:hAnsi="Times New Roman" w:eastAsia="Times New Roman"/>
          <w:b w:val="0"/>
          <w:i w:val="0"/>
          <w:sz w:val="24"/>
        </w:rPr>
        <w:t>Specifically: in the North American market, the company should deepen strategic synergy with partners such as Invenergy, progressively introducing BC technology production lines at the existing module factory to enhance local product value-add and market competitiveness. In Southeast Asia, a more flexible asset-light expansion model should be adopted, prioritising emerging manufacturing bases such as Indonesia — which face fewer U.S. trade restrictions — through cooperative factory construction and capacity leasing to reduce investment risk. In the Indian market, the company should explore the CKD (Completely Knocked Down) model, establishing joint ventures with local enterprises.</w:t>
      </w:r>
    </w:p>
    <w:p>
      <w:pPr>
        <w:spacing w:before="0" w:after="120" w:line="360" w:lineRule="auto"/>
        <w:jc w:val="left"/>
      </w:pPr>
      <w:r>
        <w:rPr>
          <w:rFonts w:ascii="Times New Roman" w:hAnsi="Times New Roman" w:eastAsia="Times New Roman"/>
          <w:b w:val="0"/>
          <w:i w:val="0"/>
          <w:sz w:val="24"/>
        </w:rPr>
        <w:t>From an economic benefits perspective, while localised manufacturing requires upfront investment, it significantly reduces tariff costs and trade friction risk, enhancing the stability of market entry. In the U.S. market, for example, continued reliance on Southeast Asian supply chain exports risks high AD/CVD duties, whereas local production avoids such tariff impacts while benefiting from IRA subsidies, improving product margin levels. Meanwhile, asset-light cooperative models can reduce initial investment expenditure by approximately 40%–50% compared to wholly-owned factory construction, enhancing capital utilisation efficiency and shortening the investment payback period.</w:t>
      </w:r>
    </w:p>
    <w:p>
      <w:pPr>
        <w:spacing w:before="0" w:after="120" w:line="360" w:lineRule="auto"/>
        <w:jc w:val="left"/>
      </w:pPr>
      <w:r>
        <w:rPr>
          <w:rFonts w:ascii="Times New Roman" w:hAnsi="Times New Roman" w:eastAsia="Times New Roman"/>
          <w:b w:val="0"/>
          <w:i w:val="0"/>
          <w:sz w:val="24"/>
        </w:rPr>
        <w:t>From an international trade theory perspective, this strategy aligns with the core logic of Dunning's Eclectic Paradigm (OLI Theory). LONGi Green Energy possesses ownership advantages (O) in the form of BC technology and brand strength; the U.S., Indian, and Indonesian markets offer locational advantages (L) through policy support, demand, and geographic positioning; and localised production and supply chain management achieve internalisation advantages (I), effectively reducing multinational operating costs and trade barrier risks. The tripartite synergy renders this strategy both theoretically sound and practically viable.</w:t>
      </w:r>
    </w:p>
    <w:p>
      <w:pPr>
        <w:spacing w:before="240" w:after="120" w:line="360" w:lineRule="auto"/>
        <w:jc w:val="left"/>
      </w:pPr>
      <w:r>
        <w:rPr>
          <w:rFonts w:ascii="Times New Roman" w:hAnsi="Times New Roman" w:eastAsia="Times New Roman"/>
          <w:b/>
          <w:i w:val="0"/>
          <w:sz w:val="28"/>
        </w:rPr>
        <w:t>VII. Implementation Roadmap and Expected Benefits Analysis</w:t>
      </w:r>
    </w:p>
    <w:p>
      <w:pPr>
        <w:spacing w:before="0" w:after="120" w:line="360" w:lineRule="auto"/>
        <w:jc w:val="left"/>
      </w:pPr>
      <w:r>
        <w:rPr>
          <w:rFonts w:ascii="Times New Roman" w:hAnsi="Times New Roman" w:eastAsia="Times New Roman"/>
          <w:b w:val="0"/>
          <w:i w:val="0"/>
          <w:sz w:val="24"/>
        </w:rPr>
        <w:t>(Note: Revenue projections in this section are based on a conservative scenario — assuming 2028 overseas revenue scale remains at 2025 levels, considering only marginal revenue improvement from market structure optimisation and product portfolio upgrading, without factoring in additional growth from industry cycle recovery.)</w:t>
      </w:r>
    </w:p>
    <w:p>
      <w:pPr>
        <w:spacing w:before="0" w:after="120" w:line="360" w:lineRule="auto"/>
        <w:jc w:val="left"/>
      </w:pPr>
      <w:r>
        <w:rPr>
          <w:rFonts w:ascii="Times New Roman" w:hAnsi="Times New Roman" w:eastAsia="Times New Roman"/>
          <w:b w:val="0"/>
          <w:i w:val="0"/>
          <w:sz w:val="24"/>
        </w:rPr>
        <w:t>To ensure the executability of the strategic plan, this section further constructs a phased implementation pathway.</w:t>
      </w:r>
    </w:p>
    <w:p>
      <w:pPr>
        <w:spacing w:before="0" w:after="120" w:line="360" w:lineRule="auto"/>
        <w:jc w:val="left"/>
      </w:pPr>
      <w:r>
        <w:rPr>
          <w:rFonts w:ascii="Times New Roman" w:hAnsi="Times New Roman" w:eastAsia="Times New Roman"/>
          <w:b w:val="0"/>
          <w:i w:val="0"/>
          <w:sz w:val="24"/>
        </w:rPr>
        <w:t>Phase I (2026) — Market Layout Stage. The company should focus on completing the Dubai regional operational centre, strengthening Middle East market channel development, simultaneously promoting scaled adoption of BC products in the European market, and conducting BC product pilot production at the existing U.S. joint venture factory. Dubai, with the Middle East's most mature port logistics infrastructure (Jebel Ali Port), international financial services ecosystem, and multinational enterprise cluster advantage, is uniquely positioned to serve as a regional operational centre radiating the GCC six countries and North Africa.</w:t>
      </w:r>
    </w:p>
    <w:p>
      <w:pPr>
        <w:spacing w:before="0" w:after="120" w:line="360" w:lineRule="auto"/>
        <w:jc w:val="left"/>
      </w:pPr>
      <w:r>
        <w:rPr>
          <w:rFonts w:ascii="Times New Roman" w:hAnsi="Times New Roman" w:eastAsia="Times New Roman"/>
          <w:b w:val="0"/>
          <w:i w:val="0"/>
          <w:sz w:val="24"/>
        </w:rPr>
        <w:t>Phase II (2027) — Business Expansion Stage. The company should further expand its Middle East and Latin America market coverage, drive the commercialisation of integrated "PV + energy storage" solutions, and grow solution business revenue to over 10% of overseas revenue; simultaneously explore cooperative models with emerging manufacturing bases such as Indonesia, enhancing global supply chain resilience.</w:t>
      </w:r>
    </w:p>
    <w:p>
      <w:pPr>
        <w:spacing w:before="0" w:after="120" w:line="360" w:lineRule="auto"/>
        <w:jc w:val="left"/>
      </w:pPr>
      <w:r>
        <w:rPr>
          <w:rFonts w:ascii="Times New Roman" w:hAnsi="Times New Roman" w:eastAsia="Times New Roman"/>
          <w:b w:val="0"/>
          <w:i w:val="0"/>
          <w:sz w:val="24"/>
        </w:rPr>
        <w:t>Phase III (2028) — Results Realisation Stage. Middle East and Africa market revenue should reach approximately 20% of overseas revenue; BC product overseas shipment volumes should exceed 65% of total overseas shipments; overseas capacity should represent 20%–25% of total capacity — forming a relatively complete global production and sales network.</w:t>
      </w:r>
    </w:p>
    <w:p>
      <w:pPr>
        <w:spacing w:before="0" w:after="120" w:line="360" w:lineRule="auto"/>
        <w:jc w:val="left"/>
      </w:pPr>
      <w:r>
        <w:rPr>
          <w:rFonts w:ascii="Times New Roman" w:hAnsi="Times New Roman" w:eastAsia="Times New Roman"/>
          <w:b w:val="0"/>
          <w:i w:val="0"/>
          <w:sz w:val="24"/>
        </w:rPr>
        <w:t>Under successful implementation of the above strategy, the company's overseas revenue is projected to grow from RMB 31.48 billion in 2025 to over RMB 40 billion, with overseas business gross margin recovering to 12%–15%, the combined European and American market revenue share declining to below 55%, and the company's dependency on single markets significantly reduced. Simultaneously, through technology upgrading and supply chain localisation, the company will effectively enhance its ability to respond to trade barriers and international market volatility, strengthening long-term international competitiveness.</w:t>
      </w:r>
    </w:p>
    <w:p>
      <w:pPr>
        <w:spacing w:before="0" w:after="120" w:line="360" w:lineRule="auto"/>
        <w:jc w:val="left"/>
      </w:pPr>
      <w:r>
        <w:rPr>
          <w:rFonts w:ascii="Times New Roman" w:hAnsi="Times New Roman" w:eastAsia="Times New Roman"/>
          <w:b w:val="0"/>
          <w:i w:val="0"/>
          <w:sz w:val="24"/>
        </w:rPr>
        <w:t>From an international trade theory perspective, the restrictions imposed by Western countries on Chinese PV products are progressively shifting from traditional tariff barriers to non-tariff barriers including carbon regulations, subsidy scrutiny, and localisation requirements. Therefore, enterprise globalisation strategy must likewise transition from a pure export-oriented model to a localised operations orientation. This plan aligns with the trend of localised development under trade protectionism and also conforms to the technology upgrading pathway emphasised by the Product Life Cycle Theory. By leveraging the company's ownership advantages in BC technology, utilising target market locational advantages, and realising internalisation advantages through localised operations, LONGi Green Energy is well positioned to navigate the current international trade environment and emerge as a more resilient, competitive global enterprise.</w:t>
      </w:r>
    </w:p>
    <w:p>
      <w:pPr>
        <w:spacing w:before="240" w:after="120" w:line="360" w:lineRule="auto"/>
        <w:jc w:val="left"/>
      </w:pPr>
      <w:r>
        <w:rPr>
          <w:rFonts w:ascii="Times New Roman" w:hAnsi="Times New Roman" w:eastAsia="Times New Roman"/>
          <w:b/>
          <w:i w:val="0"/>
          <w:sz w:val="28"/>
        </w:rPr>
        <w:t>VIII. Conclusion</w:t>
      </w:r>
    </w:p>
    <w:p>
      <w:pPr>
        <w:spacing w:before="0" w:after="120" w:line="360" w:lineRule="auto"/>
        <w:jc w:val="left"/>
      </w:pPr>
      <w:r>
        <w:rPr>
          <w:rFonts w:ascii="Times New Roman" w:hAnsi="Times New Roman" w:eastAsia="Times New Roman"/>
          <w:b w:val="0"/>
          <w:i w:val="0"/>
          <w:sz w:val="24"/>
        </w:rPr>
        <w:t>LONGi Green Energy's export predicament essentially reflects the growing pains experienced by Chinese manufacturing enterprises transitioning from a "scale expansion" model to a "technology-driven" model. The near-RMB 8.6 billion loss in 2024 and the RMB 6.4 billion loss (though narrowing) in 2025 represent the compound outcome of industry cyclical trough and enterprise structural challenges.</w:t>
      </w:r>
    </w:p>
    <w:p>
      <w:pPr>
        <w:spacing w:before="0" w:after="120" w:line="360" w:lineRule="auto"/>
        <w:jc w:val="left"/>
      </w:pPr>
      <w:r>
        <w:rPr>
          <w:rFonts w:ascii="Times New Roman" w:hAnsi="Times New Roman" w:eastAsia="Times New Roman"/>
          <w:b w:val="0"/>
          <w:i w:val="0"/>
          <w:sz w:val="24"/>
        </w:rPr>
        <w:t>However, LONGi's response has demonstrated a clear logic: BC technology as the spear, globalised capacity as the shield. The rapid ramp-up of BC second-generation capacity, the first-mover advantage in U.S. localised manufacturing, and the transformation towards an integrated "technology manufacturing + technology services" model provide a replicable overseas expansion template for the industry.</w:t>
      </w:r>
    </w:p>
    <w:p>
      <w:pPr>
        <w:spacing w:before="0" w:after="120" w:line="360" w:lineRule="auto"/>
        <w:jc w:val="left"/>
      </w:pPr>
      <w:r>
        <w:rPr>
          <w:rFonts w:ascii="Times New Roman" w:hAnsi="Times New Roman" w:eastAsia="Times New Roman"/>
          <w:b w:val="0"/>
          <w:i w:val="0"/>
          <w:sz w:val="24"/>
        </w:rPr>
        <w:t>For the International Trade course, LONGi's case provides an illuminating answer: in an era of escalating trade barriers, the global competition for Chinese PV enterprises is no longer a simple cost contest, but a comprehensive contest of technological capability, supply chain resilience, and localised operational competence. LONGi has seized the initiative in this race, but to traverse the cycle and return to a growth trajectory, sustained effort is required on two critical dimensions: technology monetisation efficiency and overseas market structural rebalancing.</w:t>
      </w:r>
    </w:p>
    <w:p>
      <w:pPr>
        <w:spacing w:before="0" w:after="120" w:line="360" w:lineRule="auto"/>
        <w:jc w:val="left"/>
      </w:pPr>
      <w:r>
        <w:rPr>
          <w:rFonts w:ascii="Times New Roman" w:hAnsi="Times New Roman" w:eastAsia="Times New Roman"/>
          <w:b w:val="0"/>
          <w:i w:val="0"/>
          <w:sz w:val="24"/>
        </w:rPr>
        <w:t>For learners of International Trade Practice, the more significant implication of this case lies in a fundamental proposition: the decisive factors in future international trade competition are no longer single-point advantages, but the three-dimensional product of "technological hard capability × supply chain organisational capacity × cross-regional compliance capability."</w:t>
      </w:r>
    </w:p>
    <w:p>
      <w:pPr>
        <w:spacing w:before="360" w:after="120" w:line="360" w:lineRule="auto"/>
        <w:jc w:val="left"/>
      </w:pPr>
      <w:r>
        <w:rPr>
          <w:rFonts w:ascii="Times New Roman" w:hAnsi="Times New Roman" w:eastAsia="Times New Roman"/>
          <w:b/>
          <w:i w:val="0"/>
          <w:sz w:val="28"/>
        </w:rPr>
        <w:t>References</w:t>
      </w:r>
    </w:p>
    <w:p>
      <w:pPr>
        <w:spacing w:line="360" w:lineRule="auto" w:after="120"/>
        <w:ind w:left="0" w:hanging="720"/>
      </w:pPr>
      <w:r>
        <w:rPr>
          <w:rFonts w:ascii="Times New Roman" w:hAnsi="Times New Roman"/>
          <w:sz w:val="24"/>
        </w:rPr>
        <w:t xml:space="preserve">    China Photovoltaic Industry Association. (2026). 2025 photovoltaic industry development report [R]. Beijing: China Photovoltaic Industry Association.</w:t>
      </w:r>
    </w:p>
    <w:p>
      <w:pPr>
        <w:spacing w:line="360" w:lineRule="auto" w:after="120"/>
        <w:ind w:left="0" w:hanging="720"/>
      </w:pPr>
      <w:r>
        <w:rPr>
          <w:rFonts w:ascii="Times New Roman" w:hAnsi="Times New Roman"/>
          <w:sz w:val="24"/>
        </w:rPr>
        <w:t xml:space="preserve">    European Commission. (2024). Official journal notice on initiation of anti-subsidy investigation against Chinese photovoltaic products [EB/OL]. Official Journal of the European Union.</w:t>
      </w:r>
    </w:p>
    <w:p>
      <w:pPr>
        <w:spacing w:line="360" w:lineRule="auto" w:after="120"/>
        <w:ind w:left="0" w:hanging="720"/>
      </w:pPr>
      <w:r>
        <w:rPr>
          <w:rFonts w:ascii="Times New Roman" w:hAnsi="Times New Roman"/>
          <w:sz w:val="24"/>
        </w:rPr>
        <w:t xml:space="preserve">    European Commission. (2025). Foreign Subsidies Regulation (FSR) 2026 implementation guide [EB/OL]. European Commission, Brussels.</w:t>
      </w:r>
    </w:p>
    <w:p>
      <w:pPr>
        <w:spacing w:line="360" w:lineRule="auto" w:after="120"/>
        <w:ind w:left="0" w:hanging="720"/>
      </w:pPr>
      <w:r>
        <w:rPr>
          <w:rFonts w:ascii="Times New Roman" w:hAnsi="Times New Roman"/>
          <w:sz w:val="24"/>
        </w:rPr>
        <w:t xml:space="preserve">    European Solar Manufacturing Council. (2025). Policy recommendation on extending CBAM coverage to solar products [R]. Brussels: European Solar Manufacturing Council.</w:t>
      </w:r>
    </w:p>
    <w:p>
      <w:pPr>
        <w:spacing w:line="360" w:lineRule="auto" w:after="120"/>
        <w:ind w:left="0" w:hanging="720"/>
      </w:pPr>
      <w:r>
        <w:rPr>
          <w:rFonts w:ascii="Times New Roman" w:hAnsi="Times New Roman"/>
          <w:sz w:val="24"/>
        </w:rPr>
        <w:t xml:space="preserve">    General Administration of Customs of China. (2026). 2025 China photovoltaic product export statistical data [R]. Beijing: General Administration of Customs of China.</w:t>
      </w:r>
    </w:p>
    <w:p>
      <w:pPr>
        <w:spacing w:line="360" w:lineRule="auto" w:after="120"/>
        <w:ind w:left="0" w:hanging="720"/>
      </w:pPr>
      <w:r>
        <w:rPr>
          <w:rFonts w:ascii="Times New Roman" w:hAnsi="Times New Roman"/>
          <w:sz w:val="24"/>
        </w:rPr>
        <w:t xml:space="preserve">    InfoLink Consulting. (2025). U.S. photovoltaic market supply gap analysis report [R]. Taipei: InfoLink Consulting.</w:t>
      </w:r>
    </w:p>
    <w:p>
      <w:pPr>
        <w:spacing w:line="360" w:lineRule="auto" w:after="120"/>
        <w:ind w:left="0" w:hanging="720"/>
      </w:pPr>
      <w:r>
        <w:rPr>
          <w:rFonts w:ascii="Times New Roman" w:hAnsi="Times New Roman"/>
          <w:sz w:val="24"/>
        </w:rPr>
        <w:t xml:space="preserve">    LONGi Green Energy Technology Co., Ltd. (2025). 2024 annual report [R]. Shanghai: Shanghai Stock Exchange.</w:t>
      </w:r>
    </w:p>
    <w:p>
      <w:pPr>
        <w:spacing w:line="360" w:lineRule="auto" w:after="120"/>
        <w:ind w:left="0" w:hanging="720"/>
      </w:pPr>
      <w:r>
        <w:rPr>
          <w:rFonts w:ascii="Times New Roman" w:hAnsi="Times New Roman"/>
          <w:sz w:val="24"/>
        </w:rPr>
        <w:t xml:space="preserve">    LONGi Green Energy Technology Co., Ltd. (2025, April 7). Response to the impact of U.S. reciprocal tariff policy [EB/OL]. LONGi Investor Relations Platform.</w:t>
      </w:r>
    </w:p>
    <w:p>
      <w:pPr>
        <w:spacing w:line="360" w:lineRule="auto" w:after="120"/>
        <w:ind w:left="0" w:hanging="720"/>
      </w:pPr>
      <w:r>
        <w:rPr>
          <w:rFonts w:ascii="Times New Roman" w:hAnsi="Times New Roman"/>
          <w:sz w:val="24"/>
        </w:rPr>
        <w:t xml:space="preserve">    LONGi Green Energy Technology Co., Ltd. (2026). 2025 annual report [R]. Shanghai: Shanghai Stock Exchange.</w:t>
      </w:r>
    </w:p>
    <w:p>
      <w:pPr>
        <w:spacing w:line="360" w:lineRule="auto" w:after="120"/>
        <w:ind w:left="0" w:hanging="720"/>
      </w:pPr>
      <w:r>
        <w:rPr>
          <w:rFonts w:ascii="Times New Roman" w:hAnsi="Times New Roman"/>
          <w:sz w:val="24"/>
        </w:rPr>
        <w:t xml:space="preserve">    U.S. Department of Commerce. (2025). Final determination of anti-dumping/countervailing duty investigations on crystalline silicon photovoltaic cells from Cambodia, Malaysia, Vietnam, and Thailand [R]. Washington, D.C.: U.S. Department of Commerce.</w:t>
      </w:r>
    </w:p>
    <w:p>
      <w:pPr>
        <w:spacing w:line="360" w:lineRule="auto" w:after="120"/>
        <w:ind w:left="0" w:hanging="720"/>
      </w:pPr>
      <w:r>
        <w:rPr>
          <w:rFonts w:ascii="Times New Roman" w:hAnsi="Times New Roman"/>
          <w:sz w:val="24"/>
        </w:rPr>
        <w:t xml:space="preserve">    U.S. Department of Justice. (2026, February). Withdrawal of appeal on photovoltaic tariff exemption order for four Southeast Asian countries [R]. Washington, D.C.: U.S. Department of Justice.</w:t>
      </w:r>
    </w:p>
    <w:p>
      <w:pPr>
        <w:spacing w:line="360" w:lineRule="auto" w:after="120"/>
        <w:ind w:left="0" w:hanging="720"/>
      </w:pPr>
      <w:r>
        <w:rPr>
          <w:rFonts w:ascii="Times New Roman" w:hAnsi="Times New Roman"/>
          <w:sz w:val="24"/>
        </w:rPr>
        <w:t xml:space="preserve">    U.S. International Trade Commission. (2025). Affirmative final determination on solar products from four Southeast Asian countries [R]. Washington, D.C.: U.S. International Trade Commission.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