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eastAsia="Calibri"/>
          <w:b/>
          <w:color w:val="007ACC"/>
          <w:sz w:val="40"/>
        </w:rPr>
        <w:t>LONGi Green Energy Roadshow Speech Script</w:t>
      </w:r>
    </w:p>
    <w:p>
      <w:pPr>
        <w:spacing w:after="160"/>
        <w:jc w:val="center"/>
      </w:pPr>
      <w:r>
        <w:rPr>
          <w:rFonts w:ascii="Calibri" w:hAnsi="Calibri" w:eastAsia="Calibri"/>
          <w:color w:val="8A8A9A"/>
          <w:sz w:val="24"/>
        </w:rPr>
        <w:t>6-Minute Presentation  |  3 Speakers  |  All English</w:t>
      </w:r>
    </w:p>
    <w:p>
      <w:pPr>
        <w:spacing w:before="0" w:after="80" w:line="276" w:lineRule="auto"/>
        <w:jc w:val="center"/>
      </w:pPr>
      <w:r>
        <w:rPr>
          <w:rFonts w:ascii="Calibri" w:hAnsi="Calibri" w:eastAsia="Calibri"/>
          <w:b w:val="0"/>
          <w:i w:val="0"/>
          <w:color w:val="007ACC"/>
          <w:sz w:val="16"/>
        </w:rP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Calibri" w:hAnsi="Calibri"/>
                <w:b/>
                <w:sz w:val="20"/>
              </w:rPr>
              <w:t>Speaker</w:t>
            </w:r>
          </w:p>
        </w:tc>
        <w:tc>
          <w:tcPr>
            <w:tcW w:type="dxa" w:w="2160"/>
          </w:tcPr>
          <w:p>
            <w:pPr>
              <w:jc w:val="center"/>
            </w:pPr>
            <w:r>
              <w:rPr>
                <w:rFonts w:ascii="Calibri" w:hAnsi="Calibri"/>
                <w:b/>
                <w:sz w:val="20"/>
              </w:rPr>
              <w:t>Slides</w:t>
            </w:r>
          </w:p>
        </w:tc>
        <w:tc>
          <w:tcPr>
            <w:tcW w:type="dxa" w:w="2160"/>
          </w:tcPr>
          <w:p>
            <w:pPr>
              <w:jc w:val="center"/>
            </w:pPr>
            <w:r>
              <w:rPr>
                <w:rFonts w:ascii="Calibri" w:hAnsi="Calibri"/>
                <w:b/>
                <w:sz w:val="20"/>
              </w:rPr>
              <w:t>Content</w:t>
            </w:r>
          </w:p>
        </w:tc>
        <w:tc>
          <w:tcPr>
            <w:tcW w:type="dxa" w:w="2160"/>
          </w:tcPr>
          <w:p>
            <w:pPr>
              <w:jc w:val="center"/>
            </w:pPr>
            <w:r>
              <w:rPr>
                <w:rFonts w:ascii="Calibri" w:hAnsi="Calibri"/>
                <w:b/>
                <w:sz w:val="20"/>
              </w:rPr>
              <w:t>Time</w:t>
            </w:r>
          </w:p>
        </w:tc>
      </w:tr>
      <w:tr>
        <w:tc>
          <w:tcPr>
            <w:tcW w:type="dxa" w:w="2160"/>
          </w:tcPr>
          <w:p>
            <w:pPr>
              <w:jc w:val="center"/>
            </w:pPr>
            <w:r>
              <w:rPr>
                <w:rFonts w:ascii="Calibri" w:hAnsi="Calibri"/>
                <w:sz w:val="20"/>
              </w:rPr>
              <w:t>Speaker 1</w:t>
            </w:r>
          </w:p>
        </w:tc>
        <w:tc>
          <w:tcPr>
            <w:tcW w:type="dxa" w:w="2160"/>
          </w:tcPr>
          <w:p>
            <w:pPr>
              <w:jc w:val="left"/>
            </w:pPr>
            <w:r>
              <w:rPr>
                <w:rFonts w:ascii="Calibri" w:hAnsi="Calibri"/>
                <w:sz w:val="20"/>
              </w:rPr>
              <w:t>1-3</w:t>
            </w:r>
          </w:p>
        </w:tc>
        <w:tc>
          <w:tcPr>
            <w:tcW w:type="dxa" w:w="2160"/>
          </w:tcPr>
          <w:p>
            <w:pPr>
              <w:jc w:val="left"/>
            </w:pPr>
            <w:r>
              <w:rPr>
                <w:rFonts w:ascii="Calibri" w:hAnsi="Calibri"/>
                <w:sz w:val="20"/>
              </w:rPr>
              <w:t>Opening, Company Overview, Key Data</w:t>
            </w:r>
          </w:p>
        </w:tc>
        <w:tc>
          <w:tcPr>
            <w:tcW w:type="dxa" w:w="2160"/>
          </w:tcPr>
          <w:p>
            <w:pPr>
              <w:jc w:val="center"/>
            </w:pPr>
            <w:r>
              <w:rPr>
                <w:rFonts w:ascii="Calibri" w:hAnsi="Calibri"/>
                <w:sz w:val="20"/>
              </w:rPr>
              <w:t>~80s</w:t>
            </w:r>
          </w:p>
        </w:tc>
      </w:tr>
      <w:tr>
        <w:tc>
          <w:tcPr>
            <w:tcW w:type="dxa" w:w="2160"/>
          </w:tcPr>
          <w:p>
            <w:pPr>
              <w:jc w:val="center"/>
            </w:pPr>
            <w:r>
              <w:rPr>
                <w:rFonts w:ascii="Calibri" w:hAnsi="Calibri"/>
                <w:sz w:val="20"/>
              </w:rPr>
              <w:t>Speaker 2</w:t>
            </w:r>
          </w:p>
        </w:tc>
        <w:tc>
          <w:tcPr>
            <w:tcW w:type="dxa" w:w="2160"/>
          </w:tcPr>
          <w:p>
            <w:pPr>
              <w:jc w:val="left"/>
            </w:pPr>
            <w:r>
              <w:rPr>
                <w:rFonts w:ascii="Calibri" w:hAnsi="Calibri"/>
                <w:sz w:val="20"/>
              </w:rPr>
              <w:t>4-5</w:t>
            </w:r>
          </w:p>
        </w:tc>
        <w:tc>
          <w:tcPr>
            <w:tcW w:type="dxa" w:w="2160"/>
          </w:tcPr>
          <w:p>
            <w:pPr>
              <w:jc w:val="left"/>
            </w:pPr>
            <w:r>
              <w:rPr>
                <w:rFonts w:ascii="Calibri" w:hAnsi="Calibri"/>
                <w:sz w:val="20"/>
              </w:rPr>
              <w:t>Problem Diagnosis + Proposal 1</w:t>
            </w:r>
          </w:p>
        </w:tc>
        <w:tc>
          <w:tcPr>
            <w:tcW w:type="dxa" w:w="2160"/>
          </w:tcPr>
          <w:p>
            <w:pPr>
              <w:jc w:val="center"/>
            </w:pPr>
            <w:r>
              <w:rPr>
                <w:rFonts w:ascii="Calibri" w:hAnsi="Calibri"/>
                <w:sz w:val="20"/>
              </w:rPr>
              <w:t>~115s</w:t>
            </w:r>
          </w:p>
        </w:tc>
      </w:tr>
      <w:tr>
        <w:tc>
          <w:tcPr>
            <w:tcW w:type="dxa" w:w="2160"/>
          </w:tcPr>
          <w:p>
            <w:pPr>
              <w:jc w:val="center"/>
            </w:pPr>
            <w:r>
              <w:rPr>
                <w:rFonts w:ascii="Calibri" w:hAnsi="Calibri"/>
                <w:sz w:val="20"/>
              </w:rPr>
              <w:t>Speaker 3</w:t>
            </w:r>
          </w:p>
        </w:tc>
        <w:tc>
          <w:tcPr>
            <w:tcW w:type="dxa" w:w="2160"/>
          </w:tcPr>
          <w:p>
            <w:pPr>
              <w:jc w:val="left"/>
            </w:pPr>
            <w:r>
              <w:rPr>
                <w:rFonts w:ascii="Calibri" w:hAnsi="Calibri"/>
                <w:sz w:val="20"/>
              </w:rPr>
              <w:t>6-9</w:t>
            </w:r>
          </w:p>
        </w:tc>
        <w:tc>
          <w:tcPr>
            <w:tcW w:type="dxa" w:w="2160"/>
          </w:tcPr>
          <w:p>
            <w:pPr>
              <w:jc w:val="left"/>
            </w:pPr>
            <w:r>
              <w:rPr>
                <w:rFonts w:ascii="Calibri" w:hAnsi="Calibri"/>
                <w:sz w:val="20"/>
              </w:rPr>
              <w:t>Proposals 2 &amp; 3, Roadmap, Conclusion</w:t>
            </w:r>
          </w:p>
        </w:tc>
        <w:tc>
          <w:tcPr>
            <w:tcW w:type="dxa" w:w="2160"/>
          </w:tcPr>
          <w:p>
            <w:pPr>
              <w:jc w:val="center"/>
            </w:pPr>
            <w:r>
              <w:rPr>
                <w:rFonts w:ascii="Calibri" w:hAnsi="Calibri"/>
                <w:sz w:val="20"/>
              </w:rPr>
              <w:t>~125s</w:t>
            </w:r>
          </w:p>
        </w:tc>
      </w:tr>
    </w:tbl>
    <w:p>
      <w:pPr>
        <w:spacing w:before="0" w:after="80" w:line="276" w:lineRule="auto"/>
        <w:jc w:val="left"/>
      </w:pPr>
      <w:r>
        <w:rPr>
          <w:rFonts w:ascii="Calibri" w:hAnsi="Calibri" w:eastAsia="Calibri"/>
          <w:b w:val="0"/>
          <w:i w:val="0"/>
          <w:color w:val="1A1A2E"/>
          <w:sz w:val="22"/>
        </w:rPr>
      </w:r>
    </w:p>
    <w:p>
      <w:pPr>
        <w:spacing w:before="160" w:after="120" w:line="276" w:lineRule="auto"/>
        <w:jc w:val="left"/>
      </w:pPr>
      <w:r>
        <w:rPr>
          <w:rFonts w:ascii="Calibri" w:hAnsi="Calibri" w:eastAsia="Calibri"/>
          <w:b/>
          <w:i w:val="0"/>
          <w:color w:val="007ACC"/>
          <w:sz w:val="28"/>
        </w:rPr>
        <w:t>SPEAKER 1: Opening, Company &amp; Data (Slides 1-3)</w:t>
      </w:r>
    </w:p>
    <w:p>
      <w:pPr>
        <w:spacing w:before="160" w:after="80" w:line="276" w:lineRule="auto"/>
        <w:jc w:val="left"/>
      </w:pPr>
      <w:r>
        <w:rPr>
          <w:rFonts w:ascii="Calibri" w:hAnsi="Calibri" w:eastAsia="Calibri"/>
          <w:b/>
          <w:i w:val="0"/>
          <w:color w:val="4A4A5A"/>
          <w:sz w:val="24"/>
        </w:rPr>
        <w:t>Slide 1 - Title</w:t>
      </w:r>
    </w:p>
    <w:p>
      <w:pPr>
        <w:spacing w:before="0" w:after="240" w:line="276" w:lineRule="auto"/>
        <w:jc w:val="left"/>
      </w:pPr>
      <w:r>
        <w:rPr>
          <w:rFonts w:ascii="Calibri" w:hAnsi="Calibri" w:eastAsia="Calibri"/>
          <w:b w:val="0"/>
          <w:i/>
          <w:color w:val="1A1A2E"/>
          <w:sz w:val="24"/>
        </w:rPr>
        <w:t>"Good morning, everyone. We are the team representing LONGi Green Energy, stock code 601012 on the Shanghai Stock Exchange. Today, we will present our Global Export Strategy Optimisation - a business proposal based on 2025 data."</w:t>
      </w:r>
    </w:p>
    <w:p>
      <w:pPr>
        <w:spacing w:before="80" w:after="80" w:line="276" w:lineRule="auto"/>
        <w:jc w:val="left"/>
      </w:pPr>
      <w:r>
        <w:rPr>
          <w:rFonts w:ascii="Calibri" w:hAnsi="Calibri" w:eastAsia="Calibri"/>
          <w:b/>
          <w:i w:val="0"/>
          <w:color w:val="4A4A5A"/>
          <w:sz w:val="24"/>
        </w:rPr>
        <w:t>Slide 2 - Agenda</w:t>
      </w:r>
    </w:p>
    <w:p>
      <w:pPr>
        <w:spacing w:before="0" w:after="240" w:line="276" w:lineRule="auto"/>
        <w:jc w:val="left"/>
      </w:pPr>
      <w:r>
        <w:rPr>
          <w:rFonts w:ascii="Calibri" w:hAnsi="Calibri" w:eastAsia="Calibri"/>
          <w:b w:val="0"/>
          <w:i/>
          <w:color w:val="1A1A2E"/>
          <w:sz w:val="24"/>
        </w:rPr>
        <w:t>"Here is our agenda. We will start with a brief company overview, then diagnose the core problems LONGi is facing. After that, we will present three strategic proposals: Market Rebalancing, Technology Value Enhancement, and Supply Chain Localisation. Finally, we will share the implementation roadmap and our conclusion."</w:t>
      </w:r>
    </w:p>
    <w:p>
      <w:pPr>
        <w:spacing w:before="80" w:after="80" w:line="276" w:lineRule="auto"/>
        <w:jc w:val="left"/>
      </w:pPr>
      <w:r>
        <w:rPr>
          <w:rFonts w:ascii="Calibri" w:hAnsi="Calibri" w:eastAsia="Calibri"/>
          <w:b/>
          <w:i w:val="0"/>
          <w:color w:val="4A4A5A"/>
          <w:sz w:val="24"/>
        </w:rPr>
        <w:t>Slide 3 - Company Overview &amp; Key Data</w:t>
      </w:r>
    </w:p>
    <w:p>
      <w:pPr>
        <w:spacing w:before="0" w:after="80" w:line="276" w:lineRule="auto"/>
        <w:jc w:val="left"/>
      </w:pPr>
      <w:r>
        <w:rPr>
          <w:rFonts w:ascii="Calibri" w:hAnsi="Calibri" w:eastAsia="Calibri"/>
          <w:b w:val="0"/>
          <w:i/>
          <w:color w:val="1A1A2E"/>
          <w:sz w:val="24"/>
        </w:rPr>
        <w:t>"LONGi Green Energy was founded in 2000, headquartered in Xi'an, China. It is the world's largest monocrystalline silicon wafer and PV module manufacturer.</w:t>
      </w:r>
    </w:p>
    <w:p>
      <w:pPr>
        <w:spacing w:before="0" w:after="80" w:line="276" w:lineRule="auto"/>
        <w:jc w:val="left"/>
      </w:pPr>
      <w:r>
        <w:rPr>
          <w:rFonts w:ascii="Calibri" w:hAnsi="Calibri" w:eastAsia="Calibri"/>
          <w:b w:val="0"/>
          <w:i w:val="0"/>
          <w:color w:val="1A1A2E"/>
          <w:sz w:val="24"/>
        </w:rPr>
        <w:t>Here are the key numbers for 2025:</w:t>
      </w:r>
    </w:p>
    <w:p>
      <w:pPr>
        <w:pStyle w:val="ListBullet"/>
        <w:spacing w:after="80"/>
      </w:pPr>
      <w:r>
        <w:rPr>
          <w:rFonts w:ascii="Calibri" w:hAnsi="Calibri" w:eastAsia="Calibri"/>
          <w:i/>
          <w:sz w:val="24"/>
        </w:rPr>
        <w:t>Revenue was 70.3 billion yuan, down 14.8% year on year.</w:t>
      </w:r>
    </w:p>
    <w:p>
      <w:pPr>
        <w:pStyle w:val="ListBullet"/>
        <w:spacing w:after="80"/>
      </w:pPr>
      <w:r>
        <w:rPr>
          <w:rFonts w:ascii="Calibri" w:hAnsi="Calibri" w:eastAsia="Calibri"/>
          <w:i/>
          <w:sz w:val="24"/>
        </w:rPr>
        <w:t>Net loss was 6.4 billion yuan - though this is a narrowing from 8.6 billion in 2024.</w:t>
      </w:r>
    </w:p>
    <w:p>
      <w:pPr>
        <w:pStyle w:val="ListBullet"/>
        <w:spacing w:after="80"/>
      </w:pPr>
      <w:r>
        <w:rPr>
          <w:rFonts w:ascii="Calibri" w:hAnsi="Calibri" w:eastAsia="Calibri"/>
          <w:i/>
          <w:sz w:val="24"/>
        </w:rPr>
        <w:t>Overseas revenue reached 31.5 billion yuan, now accounting for 44.7% of total revenue - and Europe has become the number one overseas market at 11 billion yuan.</w:t>
      </w:r>
    </w:p>
    <w:p>
      <w:pPr>
        <w:pStyle w:val="ListBullet"/>
        <w:spacing w:after="80"/>
      </w:pPr>
      <w:r>
        <w:rPr>
          <w:rFonts w:ascii="Calibri" w:hAnsi="Calibri" w:eastAsia="Calibri"/>
          <w:i/>
          <w:sz w:val="24"/>
        </w:rPr>
        <w:t>Modules and batteries now make up 85.2% of revenue, showing a clear shift from upstream wafers to downstream modules.</w:t>
      </w:r>
    </w:p>
    <w:p>
      <w:pPr>
        <w:spacing w:before="0" w:after="160" w:line="276" w:lineRule="auto"/>
        <w:jc w:val="left"/>
      </w:pPr>
      <w:r>
        <w:rPr>
          <w:rFonts w:ascii="Calibri" w:hAnsi="Calibri" w:eastAsia="Calibri"/>
          <w:b w:val="0"/>
          <w:i/>
          <w:color w:val="1A1A2E"/>
          <w:sz w:val="24"/>
        </w:rPr>
        <w:t>Our proposal sets four targets for 2028: overseas revenue above 55% of total, BC products at over 65% of overseas shipments, overseas gross margin recovering to 12 to 15%, and overseas manufacturing capacity at 20 to 25% of total.</w:t>
      </w:r>
    </w:p>
    <w:p>
      <w:pPr>
        <w:spacing w:before="0" w:after="240" w:line="276" w:lineRule="auto"/>
        <w:jc w:val="left"/>
      </w:pPr>
      <w:r>
        <w:rPr>
          <w:rFonts w:ascii="Calibri" w:hAnsi="Calibri" w:eastAsia="Calibri"/>
          <w:b w:val="0"/>
          <w:i/>
          <w:color w:val="1A1A2E"/>
          <w:sz w:val="24"/>
        </w:rPr>
        <w:t>Now, let me hand over to my colleague to walk you through the problems we need to solve."</w:t>
      </w:r>
    </w:p>
    <w:p>
      <w:pPr>
        <w:spacing w:before="240" w:after="120" w:line="276" w:lineRule="auto"/>
        <w:jc w:val="left"/>
      </w:pPr>
      <w:r>
        <w:rPr>
          <w:rFonts w:ascii="Calibri" w:hAnsi="Calibri" w:eastAsia="Calibri"/>
          <w:b/>
          <w:i w:val="0"/>
          <w:color w:val="CC3333"/>
          <w:sz w:val="28"/>
        </w:rPr>
        <w:t>SPEAKER 2: Problem Analysis &amp; Proposal 1 (Slides 4-5)</w:t>
      </w:r>
    </w:p>
    <w:p>
      <w:pPr>
        <w:spacing w:before="160" w:after="80" w:line="276" w:lineRule="auto"/>
        <w:jc w:val="left"/>
      </w:pPr>
      <w:r>
        <w:rPr>
          <w:rFonts w:ascii="Calibri" w:hAnsi="Calibri" w:eastAsia="Calibri"/>
          <w:b/>
          <w:i w:val="0"/>
          <w:color w:val="4A4A5A"/>
          <w:sz w:val="24"/>
        </w:rPr>
        <w:t>Slide 4 - Problem Analysis</w:t>
      </w:r>
    </w:p>
    <w:p>
      <w:pPr>
        <w:spacing w:before="0" w:after="80" w:line="276" w:lineRule="auto"/>
        <w:jc w:val="left"/>
      </w:pPr>
      <w:r>
        <w:rPr>
          <w:rFonts w:ascii="Calibri" w:hAnsi="Calibri" w:eastAsia="Calibri"/>
          <w:b w:val="0"/>
          <w:i/>
          <w:color w:val="1A1A2E"/>
          <w:sz w:val="24"/>
        </w:rPr>
        <w:t>"Thank you. Let me start with the financial diagnosis.</w:t>
      </w:r>
    </w:p>
    <w:p>
      <w:pPr>
        <w:spacing w:before="0" w:after="160" w:line="276" w:lineRule="auto"/>
        <w:jc w:val="left"/>
      </w:pPr>
      <w:r>
        <w:rPr>
          <w:rFonts w:ascii="Calibri" w:hAnsi="Calibri" w:eastAsia="Calibri"/>
          <w:b w:val="0"/>
          <w:i/>
          <w:color w:val="1A1A2E"/>
          <w:sz w:val="24"/>
        </w:rPr>
        <w:t>As you can see from the table, LONGi's revenue has dropped by nearly 59 billion yuan from its 2023 peak of 129 billion. Gross margin collapsed from 16.8% to just 0.81% - that is an industry-wide price war devastating profitability. Combined losses over 2024 and 2025 exceed 15 billion yuan.</w:t>
      </w:r>
    </w:p>
    <w:p>
      <w:pPr>
        <w:spacing w:before="0" w:after="80" w:line="276" w:lineRule="auto"/>
        <w:jc w:val="left"/>
      </w:pPr>
      <w:r>
        <w:rPr>
          <w:rFonts w:ascii="Calibri" w:hAnsi="Calibri" w:eastAsia="Calibri"/>
          <w:b w:val="0"/>
          <w:i/>
          <w:color w:val="1A1A2E"/>
          <w:sz w:val="24"/>
        </w:rPr>
        <w:t>But the picture is not only financial. The external trade environment is deteriorating rapidly.</w:t>
      </w:r>
    </w:p>
    <w:p>
      <w:pPr>
        <w:spacing w:before="0" w:after="80" w:line="276" w:lineRule="auto"/>
        <w:jc w:val="left"/>
      </w:pPr>
      <w:r>
        <w:rPr>
          <w:rFonts w:ascii="Calibri" w:hAnsi="Calibri" w:eastAsia="Calibri"/>
          <w:b w:val="0"/>
          <w:i/>
          <w:color w:val="1A1A2E"/>
          <w:sz w:val="24"/>
        </w:rPr>
        <w:t>In the U.S., AD/CVD duties on Southeast Asian PV products reach up to 271% and over 3,400%. Reciprocal tariffs on Vietnam and Malaysia are set at 46% and 24%. An estimated 88 gigawatts of imported capacity faces 50 to 70 billion dollars in retrospective tariff risk.</w:t>
      </w:r>
    </w:p>
    <w:p>
      <w:pPr>
        <w:spacing w:before="0" w:after="80" w:line="276" w:lineRule="auto"/>
        <w:jc w:val="left"/>
      </w:pPr>
      <w:r>
        <w:rPr>
          <w:rFonts w:ascii="Calibri" w:hAnsi="Calibri" w:eastAsia="Calibri"/>
          <w:b w:val="0"/>
          <w:i/>
          <w:color w:val="1A1A2E"/>
          <w:sz w:val="24"/>
        </w:rPr>
        <w:t>In the EU, CBAM enters formal enforcement from January 2026, at approximately 72 euros per tonne of carbon. Anti-subsidy investigations and FSR reviews are actively targeting Chinese solar firms.</w:t>
      </w:r>
    </w:p>
    <w:p>
      <w:pPr>
        <w:spacing w:before="0" w:after="160" w:line="276" w:lineRule="auto"/>
        <w:jc w:val="left"/>
      </w:pPr>
      <w:r>
        <w:rPr>
          <w:rFonts w:ascii="Calibri" w:hAnsi="Calibri" w:eastAsia="Calibri"/>
          <w:b w:val="0"/>
          <w:i/>
          <w:color w:val="1A1A2E"/>
          <w:sz w:val="24"/>
        </w:rPr>
        <w:t>In India, BCD tariffs and ALMM restrictions continue to block direct Chinese exports.</w:t>
      </w:r>
    </w:p>
    <w:p>
      <w:pPr>
        <w:spacing w:before="0" w:after="240" w:line="276" w:lineRule="auto"/>
        <w:jc w:val="left"/>
      </w:pPr>
      <w:r>
        <w:rPr>
          <w:rFonts w:ascii="Calibri" w:hAnsi="Calibri" w:eastAsia="Calibri"/>
          <w:b w:val="0"/>
          <w:i/>
          <w:color w:val="1A1A2E"/>
          <w:sz w:val="24"/>
        </w:rPr>
        <w:t>So the core challenge is clear: revenue collapsing, margins crushed, and trade barriers shifting from traditional tariffs to carbon rules and localisation requirements. Export alone is no longer enough."</w:t>
      </w:r>
    </w:p>
    <w:p>
      <w:pPr>
        <w:spacing w:before="80" w:after="80" w:line="276" w:lineRule="auto"/>
        <w:jc w:val="left"/>
      </w:pPr>
      <w:r>
        <w:rPr>
          <w:rFonts w:ascii="Calibri" w:hAnsi="Calibri" w:eastAsia="Calibri"/>
          <w:b/>
          <w:i w:val="0"/>
          <w:color w:val="4A4A5A"/>
          <w:sz w:val="24"/>
        </w:rPr>
        <w:t>Slide 5 - Proposal 1: Market Rebalancing</w:t>
      </w:r>
    </w:p>
    <w:p>
      <w:pPr>
        <w:spacing w:before="0" w:after="80" w:line="276" w:lineRule="auto"/>
        <w:jc w:val="left"/>
      </w:pPr>
      <w:r>
        <w:rPr>
          <w:rFonts w:ascii="Calibri" w:hAnsi="Calibri" w:eastAsia="Calibri"/>
          <w:b w:val="0"/>
          <w:i/>
          <w:color w:val="1A1A2E"/>
          <w:sz w:val="24"/>
        </w:rPr>
        <w:t>"This brings us to our first proposal: Market Rebalancing - Accelerating Emerging Market Expansion.</w:t>
      </w:r>
    </w:p>
    <w:p>
      <w:pPr>
        <w:spacing w:before="0" w:after="80" w:line="276" w:lineRule="auto"/>
        <w:jc w:val="left"/>
      </w:pPr>
      <w:r>
        <w:rPr>
          <w:rFonts w:ascii="Calibri" w:hAnsi="Calibri" w:eastAsia="Calibri"/>
          <w:b w:val="0"/>
          <w:i/>
          <w:color w:val="1A1A2E"/>
          <w:sz w:val="24"/>
        </w:rPr>
        <w:t>The problem: 64.3% of LONGi's overseas revenue is concentrated in Europe and the Americas - precisely the two most protectionist markets. Middle East and Africa account for only 8.5%, or 2.7 billion yuan.</w:t>
      </w:r>
    </w:p>
    <w:p>
      <w:pPr>
        <w:spacing w:before="0" w:after="80" w:line="276" w:lineRule="auto"/>
        <w:jc w:val="left"/>
      </w:pPr>
      <w:r>
        <w:rPr>
          <w:rFonts w:ascii="Calibri" w:hAnsi="Calibri" w:eastAsia="Calibri"/>
          <w:b w:val="0"/>
          <w:i/>
          <w:color w:val="1A1A2E"/>
          <w:sz w:val="24"/>
        </w:rPr>
        <w:t>Our solution: establish Dubai as a regional operational centre. Dubai offers the most mature port logistics in the Middle East through Jebel Ali Port, international financial services, and the ability to radiate across the GCC six countries, North Africa, and Southern Africa.</w:t>
      </w:r>
    </w:p>
    <w:p>
      <w:pPr>
        <w:spacing w:before="0" w:after="80" w:line="276" w:lineRule="auto"/>
        <w:jc w:val="left"/>
      </w:pPr>
      <w:r>
        <w:rPr>
          <w:rFonts w:ascii="Calibri" w:hAnsi="Calibri" w:eastAsia="Calibri"/>
          <w:b w:val="0"/>
          <w:i/>
          <w:color w:val="1A1A2E"/>
          <w:sz w:val="24"/>
        </w:rPr>
        <w:t>Our target: raise the Middle East and Africa share from 8.5% to 20% by 2028. At 2025 overseas revenue scale, this translates to approximately 6.3 billion yuan - an incremental revenue of over 3.6 billion yuan.</w:t>
      </w:r>
    </w:p>
    <w:p>
      <w:pPr>
        <w:spacing w:before="0" w:after="80" w:line="276" w:lineRule="auto"/>
        <w:jc w:val="left"/>
      </w:pPr>
      <w:r>
        <w:rPr>
          <w:rFonts w:ascii="Calibri" w:hAnsi="Calibri" w:eastAsia="Calibri"/>
          <w:b w:val="0"/>
          <w:i/>
          <w:color w:val="1A1A2E"/>
          <w:sz w:val="24"/>
        </w:rPr>
        <w:t>The strategic shift: from Europe-America dominated to global diversification. Priority markets include the Middle East, driven by Saudi Vision 2030 and the NEOM megacity project; Africa, with its electricity gap and growing renewable investment; and Latin America, under energy transition momentum.</w:t>
      </w:r>
    </w:p>
    <w:p>
      <w:pPr>
        <w:spacing w:before="0" w:after="240" w:line="276" w:lineRule="auto"/>
        <w:jc w:val="left"/>
      </w:pPr>
      <w:r>
        <w:rPr>
          <w:rFonts w:ascii="Calibri" w:hAnsi="Calibri" w:eastAsia="Calibri"/>
          <w:b w:val="0"/>
          <w:i/>
          <w:color w:val="1A1A2E"/>
          <w:sz w:val="24"/>
        </w:rPr>
        <w:t>Now my colleague will walk you through our second and third proposals."</w:t>
      </w:r>
    </w:p>
    <w:p>
      <w:pPr>
        <w:spacing w:before="240" w:after="120" w:line="276" w:lineRule="auto"/>
        <w:jc w:val="left"/>
      </w:pPr>
      <w:r>
        <w:rPr>
          <w:rFonts w:ascii="Calibri" w:hAnsi="Calibri" w:eastAsia="Calibri"/>
          <w:b/>
          <w:i w:val="0"/>
          <w:color w:val="00A86B"/>
          <w:sz w:val="28"/>
        </w:rPr>
        <w:t>SPEAKER 3: Proposals 2 &amp; 3, Roadmap &amp; Conclusion (Slides 6-9)</w:t>
      </w:r>
    </w:p>
    <w:p>
      <w:pPr>
        <w:spacing w:before="160" w:after="80" w:line="276" w:lineRule="auto"/>
        <w:jc w:val="left"/>
      </w:pPr>
      <w:r>
        <w:rPr>
          <w:rFonts w:ascii="Calibri" w:hAnsi="Calibri" w:eastAsia="Calibri"/>
          <w:b/>
          <w:i w:val="0"/>
          <w:color w:val="4A4A5A"/>
          <w:sz w:val="24"/>
        </w:rPr>
        <w:t>Slide 6 - Proposal 2: Technology Value</w:t>
      </w:r>
    </w:p>
    <w:p>
      <w:pPr>
        <w:spacing w:before="0" w:after="80" w:line="276" w:lineRule="auto"/>
        <w:jc w:val="left"/>
      </w:pPr>
      <w:r>
        <w:rPr>
          <w:rFonts w:ascii="Calibri" w:hAnsi="Calibri" w:eastAsia="Calibri"/>
          <w:b w:val="0"/>
          <w:i/>
          <w:color w:val="1A1A2E"/>
          <w:sz w:val="24"/>
        </w:rPr>
        <w:t>"Thank you. Our second proposal: Technology Value Enhancement - Monetising BC Technology Premium.</w:t>
      </w:r>
    </w:p>
    <w:p>
      <w:pPr>
        <w:spacing w:before="0" w:after="80" w:line="276" w:lineRule="auto"/>
        <w:jc w:val="left"/>
      </w:pPr>
      <w:r>
        <w:rPr>
          <w:rFonts w:ascii="Calibri" w:hAnsi="Calibri" w:eastAsia="Calibri"/>
          <w:b w:val="0"/>
          <w:i/>
          <w:color w:val="1A1A2E"/>
          <w:sz w:val="24"/>
        </w:rPr>
        <w:t>The problem: The industry is overwhelmingly on TOPCon technology. Products are indistinguishable, and the resulting price war is eroding margins across the board.</w:t>
      </w:r>
    </w:p>
    <w:p>
      <w:pPr>
        <w:spacing w:before="0" w:after="80" w:line="276" w:lineRule="auto"/>
        <w:jc w:val="left"/>
      </w:pPr>
      <w:r>
        <w:rPr>
          <w:rFonts w:ascii="Calibri" w:hAnsi="Calibri" w:eastAsia="Calibri"/>
          <w:b w:val="0"/>
          <w:i/>
          <w:color w:val="1A1A2E"/>
          <w:sz w:val="24"/>
        </w:rPr>
        <w:t>But LONGi has a real advantage. Its BC - Back Contact - technology offers higher conversion efficiency, superior aesthetics, and better scenario adaptability. While the industry runs at under 60% utilisation, LONGi's BC production lines operate at 100% - proving strong market demand.</w:t>
      </w:r>
    </w:p>
    <w:p>
      <w:pPr>
        <w:spacing w:before="0" w:after="80" w:line="276" w:lineRule="auto"/>
        <w:jc w:val="left"/>
      </w:pPr>
      <w:r>
        <w:rPr>
          <w:rFonts w:ascii="Calibri" w:hAnsi="Calibri" w:eastAsia="Calibri"/>
          <w:b w:val="0"/>
          <w:i/>
          <w:color w:val="1A1A2E"/>
          <w:sz w:val="24"/>
        </w:rPr>
        <w:t>Our solution: implement a differentiated product strategy by market. In Europe, promote low-carbon BC modules to meet CBAM and green procurement. In the Middle East, emphasise high-efficiency performance under extreme heat. In Latin America and Southeast Asia, balance performance with cost. And critically, transition from single-module sales to an integrated "Module plus Storage plus O&amp;M" solution model.</w:t>
      </w:r>
    </w:p>
    <w:p>
      <w:pPr>
        <w:spacing w:before="0" w:after="240" w:line="276" w:lineRule="auto"/>
        <w:jc w:val="left"/>
      </w:pPr>
      <w:r>
        <w:rPr>
          <w:rFonts w:ascii="Calibri" w:hAnsi="Calibri" w:eastAsia="Calibri"/>
          <w:b w:val="0"/>
          <w:i/>
          <w:color w:val="1A1A2E"/>
          <w:sz w:val="24"/>
        </w:rPr>
        <w:t>The financial impact: Currently, overseas gross margin is 0.81%, generating only 255 million yuan in gross profit. If we restore overseas gross margin to 12%, gross profit rises to 3.78 billion yuan - an incremental profit space of over 3.5 billion yuan. Technology premium is the profitability breakthrough."</w:t>
      </w:r>
    </w:p>
    <w:p>
      <w:pPr>
        <w:spacing w:before="80" w:after="80" w:line="276" w:lineRule="auto"/>
        <w:jc w:val="left"/>
      </w:pPr>
      <w:r>
        <w:rPr>
          <w:rFonts w:ascii="Calibri" w:hAnsi="Calibri" w:eastAsia="Calibri"/>
          <w:b/>
          <w:i w:val="0"/>
          <w:color w:val="4A4A5A"/>
          <w:sz w:val="24"/>
        </w:rPr>
        <w:t>Slide 7 - Proposal 3: Supply Chain</w:t>
      </w:r>
    </w:p>
    <w:p>
      <w:pPr>
        <w:spacing w:before="0" w:after="80" w:line="276" w:lineRule="auto"/>
        <w:jc w:val="left"/>
      </w:pPr>
      <w:r>
        <w:rPr>
          <w:rFonts w:ascii="Calibri" w:hAnsi="Calibri" w:eastAsia="Calibri"/>
          <w:b w:val="0"/>
          <w:i/>
          <w:color w:val="1A1A2E"/>
          <w:sz w:val="24"/>
        </w:rPr>
        <w:t>"Our third proposal: Supply Chain Localisation - Deepening Overseas Manufacturing.</w:t>
      </w:r>
    </w:p>
    <w:p>
      <w:pPr>
        <w:spacing w:before="0" w:after="80" w:line="276" w:lineRule="auto"/>
        <w:jc w:val="left"/>
      </w:pPr>
      <w:r>
        <w:rPr>
          <w:rFonts w:ascii="Calibri" w:hAnsi="Calibri" w:eastAsia="Calibri"/>
          <w:b w:val="0"/>
          <w:i/>
          <w:color w:val="1A1A2E"/>
          <w:sz w:val="24"/>
        </w:rPr>
        <w:t>Currently, LONGi's overseas manufacturing capacity is only about 10% of total. Our target is 20 to 25% by 2028.</w:t>
      </w:r>
    </w:p>
    <w:p>
      <w:pPr>
        <w:spacing w:before="0" w:after="80" w:line="276" w:lineRule="auto"/>
        <w:jc w:val="left"/>
      </w:pPr>
      <w:r>
        <w:rPr>
          <w:rFonts w:ascii="Calibri" w:hAnsi="Calibri" w:eastAsia="Calibri"/>
          <w:b/>
          <w:i w:val="0"/>
          <w:color w:val="1A1A2E"/>
          <w:sz w:val="24"/>
        </w:rPr>
        <w:t>Three regional strategies:</w:t>
      </w:r>
    </w:p>
    <w:p>
      <w:pPr>
        <w:spacing w:before="0" w:after="80" w:line="276" w:lineRule="auto"/>
        <w:jc w:val="left"/>
      </w:pPr>
      <w:r>
        <w:rPr>
          <w:rFonts w:ascii="Calibri" w:hAnsi="Calibri" w:eastAsia="Calibri"/>
          <w:b w:val="0"/>
          <w:i/>
          <w:color w:val="1A1A2E"/>
          <w:sz w:val="24"/>
        </w:rPr>
        <w:t>First, North America. Deepen the Invenergy joint venture in Ohio. Introduce BC technology production lines. This avoids AD/CVD tariffs while enjoying the IRA tax credit of 11 cents per watt.</w:t>
      </w:r>
    </w:p>
    <w:p>
      <w:pPr>
        <w:spacing w:before="0" w:after="80" w:line="276" w:lineRule="auto"/>
        <w:jc w:val="left"/>
      </w:pPr>
      <w:r>
        <w:rPr>
          <w:rFonts w:ascii="Calibri" w:hAnsi="Calibri" w:eastAsia="Calibri"/>
          <w:b w:val="0"/>
          <w:i/>
          <w:color w:val="1A1A2E"/>
          <w:sz w:val="24"/>
        </w:rPr>
        <w:t>Second, Southeast Asia. Adopt an asset-light expansion model, focusing on Indonesia - which faces fewer U.S. trade restrictions. Use cooperative factory construction and capacity leasing to reduce investment risk.</w:t>
      </w:r>
    </w:p>
    <w:p>
      <w:pPr>
        <w:spacing w:before="0" w:after="80" w:line="276" w:lineRule="auto"/>
        <w:jc w:val="left"/>
      </w:pPr>
      <w:r>
        <w:rPr>
          <w:rFonts w:ascii="Calibri" w:hAnsi="Calibri" w:eastAsia="Calibri"/>
          <w:b w:val="0"/>
          <w:i/>
          <w:color w:val="1A1A2E"/>
          <w:sz w:val="24"/>
        </w:rPr>
        <w:t>Third, India. Explore the CKD - Completely Knocked Down - model. Partner with local enterprises for assembly to navigate ALMM restrictions and tap the world's fastest-growing PV market.</w:t>
      </w:r>
    </w:p>
    <w:p>
      <w:pPr>
        <w:spacing w:before="0" w:after="240" w:line="276" w:lineRule="auto"/>
        <w:jc w:val="left"/>
      </w:pPr>
      <w:r>
        <w:rPr>
          <w:rFonts w:ascii="Calibri" w:hAnsi="Calibri" w:eastAsia="Calibri"/>
          <w:b w:val="0"/>
          <w:i/>
          <w:color w:val="1A1A2E"/>
          <w:sz w:val="24"/>
        </w:rPr>
        <w:t>This strategy is grounded in Dunning's Eclectic Paradigm - the OLI Theory. LONGi has ownership advantages in BC technology and brand. Target markets offer locational advantages through policy support and demand. And localised operations achieve internalisation advantages, reducing multinational costs and barrier risks."</w:t>
      </w:r>
    </w:p>
    <w:p>
      <w:pPr>
        <w:spacing w:before="80" w:after="80" w:line="276" w:lineRule="auto"/>
        <w:jc w:val="left"/>
      </w:pPr>
      <w:r>
        <w:rPr>
          <w:rFonts w:ascii="Calibri" w:hAnsi="Calibri" w:eastAsia="Calibri"/>
          <w:b/>
          <w:i w:val="0"/>
          <w:color w:val="4A4A5A"/>
          <w:sz w:val="24"/>
        </w:rPr>
        <w:t>Slide 8 - Implementation Roadmap</w:t>
      </w:r>
    </w:p>
    <w:p>
      <w:pPr>
        <w:spacing w:before="0" w:after="80" w:line="276" w:lineRule="auto"/>
        <w:jc w:val="left"/>
      </w:pPr>
      <w:r>
        <w:rPr>
          <w:rFonts w:ascii="Calibri" w:hAnsi="Calibri" w:eastAsia="Calibri"/>
          <w:b w:val="0"/>
          <w:i/>
          <w:color w:val="1A1A2E"/>
          <w:sz w:val="24"/>
        </w:rPr>
        <w:t>"Here is our three-phase implementation plan.</w:t>
      </w:r>
    </w:p>
    <w:p>
      <w:pPr>
        <w:spacing w:before="0" w:after="80" w:line="276" w:lineRule="auto"/>
        <w:jc w:val="left"/>
      </w:pPr>
      <w:r>
        <w:rPr>
          <w:rFonts w:ascii="Calibri" w:hAnsi="Calibri" w:eastAsia="Calibri"/>
          <w:b w:val="0"/>
          <w:i/>
          <w:color w:val="1A1A2E"/>
          <w:sz w:val="24"/>
        </w:rPr>
        <w:t>Phase One, 2026 - Market Layout. Complete the Dubai regional centre. Scale BC products in Europe. Conduct BC pilot production at the Ohio JV factory.</w:t>
      </w:r>
    </w:p>
    <w:p>
      <w:pPr>
        <w:spacing w:before="0" w:after="80" w:line="276" w:lineRule="auto"/>
        <w:jc w:val="left"/>
      </w:pPr>
      <w:r>
        <w:rPr>
          <w:rFonts w:ascii="Calibri" w:hAnsi="Calibri" w:eastAsia="Calibri"/>
          <w:b w:val="0"/>
          <w:i/>
          <w:color w:val="1A1A2E"/>
          <w:sz w:val="24"/>
        </w:rPr>
        <w:t>Phase Two, 2027 - Business Expansion. Expand Middle East and Latin America coverage. Commercialise "PV plus Storage" integrated solutions, targeting over 10% of overseas revenue. Explore the Indonesia manufacturing base.</w:t>
      </w:r>
    </w:p>
    <w:p>
      <w:pPr>
        <w:spacing w:before="0" w:after="80" w:line="276" w:lineRule="auto"/>
        <w:jc w:val="left"/>
      </w:pPr>
      <w:r>
        <w:rPr>
          <w:rFonts w:ascii="Calibri" w:hAnsi="Calibri" w:eastAsia="Calibri"/>
          <w:b w:val="0"/>
          <w:i/>
          <w:color w:val="1A1A2E"/>
          <w:sz w:val="24"/>
        </w:rPr>
        <w:t>Phase Three, 2028 - Results Realisation. Middle East and Africa at approximately 20% of overseas revenue. BC products exceeding 65% of overseas shipments. Overseas capacity at 20 to 25%.</w:t>
      </w:r>
    </w:p>
    <w:p>
      <w:pPr>
        <w:spacing w:before="0" w:after="240" w:line="276" w:lineRule="auto"/>
        <w:jc w:val="left"/>
      </w:pPr>
      <w:r>
        <w:rPr>
          <w:rFonts w:ascii="Calibri" w:hAnsi="Calibri" w:eastAsia="Calibri"/>
          <w:b w:val="0"/>
          <w:i/>
          <w:color w:val="1A1A2E"/>
          <w:sz w:val="24"/>
        </w:rPr>
        <w:t>Expected outcomes by 2028: Overseas revenue growing from 31.5 billion to over 40 billion yuan. Gross margin recovering from 0.81% to 12 to 15%. Europe plus Americas share declining to below 55%. And single-market dependency significantly reduced."</w:t>
      </w:r>
    </w:p>
    <w:p>
      <w:pPr>
        <w:spacing w:before="80" w:after="80" w:line="276" w:lineRule="auto"/>
        <w:jc w:val="left"/>
      </w:pPr>
      <w:r>
        <w:rPr>
          <w:rFonts w:ascii="Calibri" w:hAnsi="Calibri" w:eastAsia="Calibri"/>
          <w:b/>
          <w:i w:val="0"/>
          <w:color w:val="4A4A5A"/>
          <w:sz w:val="24"/>
        </w:rPr>
        <w:t>Slide 9 - Conclusion</w:t>
      </w:r>
    </w:p>
    <w:p>
      <w:pPr>
        <w:spacing w:before="0" w:after="80" w:line="276" w:lineRule="auto"/>
        <w:jc w:val="left"/>
      </w:pPr>
      <w:r>
        <w:rPr>
          <w:rFonts w:ascii="Calibri" w:hAnsi="Calibri" w:eastAsia="Calibri"/>
          <w:b w:val="0"/>
          <w:i/>
          <w:color w:val="1A1A2E"/>
          <w:sz w:val="24"/>
        </w:rPr>
        <w:t>"To conclude, LONGi's export challenge reflects the growing pains of Chinese manufacturing's transition from scale expansion to technology-driven growth.</w:t>
      </w:r>
    </w:p>
    <w:p>
      <w:pPr>
        <w:spacing w:before="0" w:after="80" w:line="276" w:lineRule="auto"/>
        <w:jc w:val="left"/>
      </w:pPr>
      <w:r>
        <w:rPr>
          <w:rFonts w:ascii="Calibri" w:hAnsi="Calibri" w:eastAsia="Calibri"/>
          <w:b w:val="0"/>
          <w:i/>
          <w:color w:val="1A1A2E"/>
          <w:sz w:val="24"/>
        </w:rPr>
        <w:t>The response logic is clear: BC technology as the spear, globalised capacity as the shield.</w:t>
      </w:r>
    </w:p>
    <w:p>
      <w:pPr>
        <w:spacing w:before="0" w:after="80" w:line="276" w:lineRule="auto"/>
        <w:jc w:val="left"/>
      </w:pPr>
      <w:r>
        <w:rPr>
          <w:rFonts w:ascii="Calibri" w:hAnsi="Calibri" w:eastAsia="Calibri"/>
          <w:b w:val="0"/>
          <w:i/>
          <w:color w:val="1A1A2E"/>
          <w:sz w:val="24"/>
        </w:rPr>
        <w:t>And our key takeaway for International Trade Practice: the decisive factors in future trade competition are no longer single-point advantages, but the three-dimensional product of technological capability, times supply chain organisational capacity, times cross-regional compliance capability.</w:t>
      </w:r>
    </w:p>
    <w:p>
      <w:pPr>
        <w:spacing w:before="0" w:after="240" w:line="276" w:lineRule="auto"/>
        <w:jc w:val="left"/>
      </w:pPr>
      <w:r>
        <w:rPr>
          <w:rFonts w:ascii="Calibri" w:hAnsi="Calibri" w:eastAsia="Calibri"/>
          <w:b w:val="0"/>
          <w:i/>
          <w:color w:val="1A1A2E"/>
          <w:sz w:val="24"/>
        </w:rPr>
        <w:t>Thank you. We welcome your questions."</w:t>
      </w:r>
    </w:p>
    <w:p>
      <w:pPr>
        <w:spacing w:before="160" w:after="80" w:line="276" w:lineRule="auto"/>
        <w:jc w:val="center"/>
      </w:pPr>
      <w:r>
        <w:rPr>
          <w:rFonts w:ascii="Calibri" w:hAnsi="Calibri" w:eastAsia="Calibri"/>
          <w:b w:val="0"/>
          <w:i w:val="0"/>
          <w:color w:val="007ACC"/>
          <w:sz w:val="16"/>
        </w:rPr>
        <w:t>━━━━━━━━━━━━━━━━━━━━━━━━━━━━━━━━━━━━━━━━━━━━━━━━━━</w:t>
      </w:r>
    </w:p>
    <w:p>
      <w:pPr>
        <w:spacing w:before="160" w:after="80" w:line="276" w:lineRule="auto"/>
        <w:jc w:val="left"/>
      </w:pPr>
      <w:r>
        <w:rPr>
          <w:rFonts w:ascii="Calibri" w:hAnsi="Calibri" w:eastAsia="Calibri"/>
          <w:b/>
          <w:i w:val="0"/>
          <w:color w:val="007ACC"/>
          <w:sz w:val="28"/>
        </w:rPr>
        <w:t>Handover Cues</w:t>
      </w:r>
    </w:p>
    <w:p>
      <w:pPr>
        <w:spacing w:before="0" w:after="40" w:line="276" w:lineRule="auto"/>
        <w:jc w:val="left"/>
      </w:pPr>
      <w:r>
        <w:rPr>
          <w:rFonts w:ascii="Calibri" w:hAnsi="Calibri" w:eastAsia="Calibri"/>
          <w:b/>
          <w:i w:val="0"/>
          <w:color w:val="1A1A2E"/>
          <w:sz w:val="24"/>
        </w:rPr>
        <w:t>Speaker 1 to Speaker 2:</w:t>
      </w:r>
    </w:p>
    <w:p>
      <w:pPr>
        <w:spacing w:before="0" w:after="160" w:line="276" w:lineRule="auto"/>
        <w:jc w:val="left"/>
      </w:pPr>
      <w:r>
        <w:rPr>
          <w:rFonts w:ascii="Calibri" w:hAnsi="Calibri" w:eastAsia="Calibri"/>
          <w:b w:val="0"/>
          <w:i/>
          <w:color w:val="1A1A2E"/>
          <w:sz w:val="24"/>
        </w:rPr>
        <w:t>"Now, let me hand over to my colleague to walk you through the problems we need to solve."</w:t>
      </w:r>
    </w:p>
    <w:p>
      <w:pPr>
        <w:spacing w:before="0" w:after="40" w:line="276" w:lineRule="auto"/>
        <w:jc w:val="left"/>
      </w:pPr>
      <w:r>
        <w:rPr>
          <w:rFonts w:ascii="Calibri" w:hAnsi="Calibri" w:eastAsia="Calibri"/>
          <w:b/>
          <w:i w:val="0"/>
          <w:color w:val="1A1A2E"/>
          <w:sz w:val="24"/>
        </w:rPr>
        <w:t>Speaker 2 to Speaker 3:</w:t>
      </w:r>
    </w:p>
    <w:p>
      <w:pPr>
        <w:spacing w:before="0" w:after="160" w:line="276" w:lineRule="auto"/>
        <w:jc w:val="left"/>
      </w:pPr>
      <w:r>
        <w:rPr>
          <w:rFonts w:ascii="Calibri" w:hAnsi="Calibri" w:eastAsia="Calibri"/>
          <w:b w:val="0"/>
          <w:i/>
          <w:color w:val="1A1A2E"/>
          <w:sz w:val="24"/>
        </w:rPr>
        <w:t>"Now my colleague will walk you through our second and third proposals."</w:t>
      </w:r>
    </w:p>
    <w:p>
      <w:pPr>
        <w:spacing w:before="0" w:after="40" w:line="276" w:lineRule="auto"/>
        <w:jc w:val="left"/>
      </w:pPr>
      <w:r>
        <w:rPr>
          <w:rFonts w:ascii="Calibri" w:hAnsi="Calibri" w:eastAsia="Calibri"/>
          <w:b/>
          <w:i w:val="0"/>
          <w:color w:val="1A1A2E"/>
          <w:sz w:val="24"/>
        </w:rPr>
        <w:t>Speaker 3 Closing:</w:t>
      </w:r>
    </w:p>
    <w:p>
      <w:pPr>
        <w:spacing w:before="0" w:after="160" w:line="276" w:lineRule="auto"/>
        <w:jc w:val="left"/>
      </w:pPr>
      <w:r>
        <w:rPr>
          <w:rFonts w:ascii="Calibri" w:hAnsi="Calibri" w:eastAsia="Calibri"/>
          <w:b w:val="0"/>
          <w:i/>
          <w:color w:val="1A1A2E"/>
          <w:sz w:val="24"/>
        </w:rPr>
        <w:t>"Thank you. We welcome your questions."</w:t>
      </w:r>
    </w:p>
    <w:p>
      <w:pPr>
        <w:spacing w:before="160" w:after="80" w:line="276" w:lineRule="auto"/>
        <w:jc w:val="center"/>
      </w:pPr>
      <w:r>
        <w:rPr>
          <w:rFonts w:ascii="Calibri" w:hAnsi="Calibri" w:eastAsia="Calibri"/>
          <w:b w:val="0"/>
          <w:i w:val="0"/>
          <w:color w:val="007ACC"/>
          <w:sz w:val="16"/>
        </w:rPr>
        <w:t>━━━━━━━━━━━━━━━━━━━━━━━━━━━━━━━━━━━━━━━━━━━━━━━━━━</w:t>
      </w:r>
    </w:p>
    <w:p>
      <w:pPr>
        <w:spacing w:before="160" w:after="120" w:line="276" w:lineRule="auto"/>
        <w:jc w:val="center"/>
      </w:pPr>
      <w:r>
        <w:rPr>
          <w:rFonts w:ascii="Calibri" w:hAnsi="Calibri" w:eastAsia="Calibri"/>
          <w:b/>
          <w:i w:val="0"/>
          <w:color w:val="4A4A5A"/>
          <w:sz w:val="24"/>
        </w:rPr>
        <w:t>Total Time: ~5 minutes 20 seconds (40-second buffer within 6-minute limit)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