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A1CA07">
      <w:pPr>
        <w:pStyle w:val="2"/>
        <w:jc w:val="center"/>
        <w:rPr>
          <w:rFonts w:hint="eastAsia" w:ascii="黑体" w:hAnsi="黑体" w:eastAsia="黑体" w:cs="黑体"/>
          <w:b w:val="0"/>
          <w:bCs w:val="0"/>
          <w:sz w:val="30"/>
          <w:szCs w:val="30"/>
        </w:rPr>
      </w:pPr>
      <w:r>
        <w:rPr>
          <w:rFonts w:hint="eastAsia" w:ascii="黑体" w:hAnsi="黑体" w:eastAsia="黑体" w:cs="黑体"/>
          <w:b w:val="0"/>
          <w:bCs w:val="0"/>
          <w:color w:val="1A1A2E"/>
          <w:sz w:val="30"/>
          <w:szCs w:val="30"/>
        </w:rPr>
        <w:t>基于T-</w:t>
      </w:r>
      <w:r>
        <w:rPr>
          <w:rFonts w:hint="eastAsia" w:ascii="黑体" w:hAnsi="黑体" w:eastAsia="黑体" w:cs="黑体"/>
          <w:b w:val="0"/>
          <w:bCs w:val="0"/>
          <w:color w:val="1A1A2E"/>
          <w:sz w:val="30"/>
          <w:szCs w:val="30"/>
          <w:lang w:val="en-US" w:eastAsia="zh-CN"/>
        </w:rPr>
        <w:t>B</w:t>
      </w:r>
      <w:r>
        <w:rPr>
          <w:rFonts w:hint="eastAsia" w:ascii="黑体" w:hAnsi="黑体" w:eastAsia="黑体" w:cs="黑体"/>
          <w:b w:val="0"/>
          <w:bCs w:val="0"/>
          <w:color w:val="1A1A2E"/>
          <w:sz w:val="30"/>
          <w:szCs w:val="30"/>
        </w:rPr>
        <w:t>模型与马科维茨模型的股票组合对比分析报告</w:t>
      </w:r>
    </w:p>
    <w:p w14:paraId="670A6120">
      <w:pPr>
        <w:rPr>
          <w:rFonts w:hint="eastAsia" w:ascii="黑体" w:hAnsi="黑体" w:eastAsia="黑体" w:cs="黑体"/>
          <w:b w:val="0"/>
          <w:bCs w:val="0"/>
          <w:sz w:val="30"/>
          <w:szCs w:val="30"/>
        </w:rPr>
      </w:pPr>
    </w:p>
    <w:p w14:paraId="2B243051">
      <w:pPr>
        <w:numPr>
          <w:ilvl w:val="0"/>
          <w:numId w:val="0"/>
        </w:num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一、</w:t>
      </w:r>
      <w:r>
        <w:rPr>
          <w:rFonts w:hint="eastAsia" w:ascii="黑体" w:hAnsi="黑体" w:eastAsia="黑体" w:cs="黑体"/>
          <w:sz w:val="24"/>
          <w:szCs w:val="24"/>
        </w:rPr>
        <w:t>样本期间表现比较</w:t>
      </w:r>
    </w:p>
    <w:p w14:paraId="203F8C33">
      <w:pPr>
        <w:rPr>
          <w:rFonts w:hint="eastAsia" w:ascii="宋体" w:hAnsi="宋体" w:eastAsia="宋体" w:cs="宋体"/>
          <w:sz w:val="24"/>
          <w:szCs w:val="24"/>
        </w:rPr>
      </w:pPr>
    </w:p>
    <w:p w14:paraId="19FFBAF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（1）马科维茨最优组合</w:t>
      </w:r>
    </w:p>
    <w:p w14:paraId="70C76CDC">
      <w:pPr>
        <w:rPr>
          <w:rFonts w:hint="eastAsia" w:ascii="宋体" w:hAnsi="宋体" w:eastAsia="宋体" w:cs="宋体"/>
          <w:sz w:val="24"/>
          <w:szCs w:val="24"/>
        </w:rPr>
      </w:pPr>
    </w:p>
    <w:p w14:paraId="3CC32D1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马科维茨模型以历史收益率和协方差矩阵为基础，通过最大化夏普比率求得最优权重配置。</w:t>
      </w:r>
    </w:p>
    <w:p w14:paraId="382157CD">
      <w:pPr>
        <w:rPr>
          <w:rFonts w:hint="eastAsia" w:ascii="宋体" w:hAnsi="宋体" w:eastAsia="宋体" w:cs="宋体"/>
          <w:sz w:val="24"/>
          <w:szCs w:val="24"/>
        </w:rPr>
      </w:pPr>
    </w:p>
    <w:p w14:paraId="6D318137">
      <w:pPr>
        <w:rPr>
          <w:rFonts w:hint="eastAsia" w:ascii="宋体" w:hAnsi="宋体" w:eastAsia="宋体" w:cs="宋体"/>
          <w:sz w:val="24"/>
          <w:szCs w:val="24"/>
          <w:vertAlign w:val="baseline"/>
        </w:rPr>
      </w:pPr>
      <w:r>
        <w:rPr>
          <w:rFonts w:hint="eastAsia" w:ascii="宋体" w:hAnsi="宋体" w:eastAsia="宋体" w:cs="宋体"/>
          <w:sz w:val="24"/>
          <w:szCs w:val="24"/>
        </w:rPr>
        <w:t>最终结果：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E01C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65AF69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指标</w:t>
            </w:r>
          </w:p>
        </w:tc>
        <w:tc>
          <w:tcPr>
            <w:tcW w:w="4261" w:type="dxa"/>
          </w:tcPr>
          <w:p w14:paraId="13C6EBB3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数值</w:t>
            </w:r>
          </w:p>
        </w:tc>
      </w:tr>
      <w:tr w14:paraId="669D2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6770B0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年化收益率</w:t>
            </w:r>
          </w:p>
        </w:tc>
        <w:tc>
          <w:tcPr>
            <w:tcW w:w="4261" w:type="dxa"/>
          </w:tcPr>
          <w:p w14:paraId="15DD6323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17.71%</w:t>
            </w:r>
          </w:p>
        </w:tc>
      </w:tr>
      <w:tr w14:paraId="494F4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7A5823F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年化波动率</w:t>
            </w:r>
          </w:p>
        </w:tc>
        <w:tc>
          <w:tcPr>
            <w:tcW w:w="4261" w:type="dxa"/>
          </w:tcPr>
          <w:p w14:paraId="52870BFE">
            <w:p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18.23%</w:t>
            </w:r>
          </w:p>
        </w:tc>
      </w:tr>
      <w:tr w14:paraId="12F62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A0725B0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夏普比率</w:t>
            </w:r>
          </w:p>
        </w:tc>
        <w:tc>
          <w:tcPr>
            <w:tcW w:w="4261" w:type="dxa"/>
          </w:tcPr>
          <w:p w14:paraId="5E2CBD83">
            <w:p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0.8783</w:t>
            </w:r>
          </w:p>
        </w:tc>
      </w:tr>
    </w:tbl>
    <w:p w14:paraId="3B3B5548">
      <w:pPr>
        <w:rPr>
          <w:rFonts w:hint="eastAsia" w:ascii="宋体" w:hAnsi="宋体" w:eastAsia="宋体" w:cs="宋体"/>
          <w:sz w:val="24"/>
          <w:szCs w:val="24"/>
        </w:rPr>
      </w:pPr>
    </w:p>
    <w:p w14:paraId="3F15AB7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组合主要集中于：</w:t>
      </w:r>
    </w:p>
    <w:p w14:paraId="669A98EB">
      <w:pPr>
        <w:ind w:firstLine="240" w:firstLineChars="1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电力设备行业：</w:t>
      </w:r>
      <w:r>
        <w:rPr>
          <w:rFonts w:hint="default" w:ascii="Times New Roman" w:hAnsi="Times New Roman" w:eastAsia="宋体" w:cs="Times New Roman"/>
          <w:sz w:val="24"/>
          <w:szCs w:val="24"/>
        </w:rPr>
        <w:t>66.64%</w:t>
      </w:r>
    </w:p>
    <w:p w14:paraId="745B014E">
      <w:pPr>
        <w:ind w:firstLine="240" w:firstLineChars="1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银行行业：</w:t>
      </w:r>
      <w:r>
        <w:rPr>
          <w:rFonts w:hint="default" w:ascii="Times New Roman" w:hAnsi="Times New Roman" w:eastAsia="宋体" w:cs="Times New Roman"/>
          <w:sz w:val="24"/>
          <w:szCs w:val="24"/>
        </w:rPr>
        <w:t>24.96%</w:t>
      </w:r>
    </w:p>
    <w:p w14:paraId="34B14C4E">
      <w:pPr>
        <w:ind w:firstLine="240" w:firstLineChars="1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电子行业：</w:t>
      </w:r>
      <w:r>
        <w:rPr>
          <w:rFonts w:hint="default" w:ascii="Times New Roman" w:hAnsi="Times New Roman" w:eastAsia="宋体" w:cs="Times New Roman"/>
          <w:sz w:val="24"/>
          <w:szCs w:val="24"/>
        </w:rPr>
        <w:t>8.40%</w:t>
      </w:r>
    </w:p>
    <w:p w14:paraId="6AED8E09">
      <w:pPr>
        <w:rPr>
          <w:rFonts w:hint="eastAsia" w:ascii="宋体" w:hAnsi="宋体" w:eastAsia="宋体" w:cs="宋体"/>
          <w:sz w:val="24"/>
          <w:szCs w:val="24"/>
        </w:rPr>
      </w:pPr>
    </w:p>
    <w:p w14:paraId="6CFE958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该组合在控制风险的同时实现了较高收益，明显优于等权组合。 </w:t>
      </w:r>
    </w:p>
    <w:p w14:paraId="48588941">
      <w:pPr>
        <w:rPr>
          <w:rFonts w:hint="eastAsia" w:ascii="宋体" w:hAnsi="宋体" w:eastAsia="宋体" w:cs="宋体"/>
          <w:sz w:val="24"/>
          <w:szCs w:val="24"/>
        </w:rPr>
      </w:pPr>
    </w:p>
    <w:p w14:paraId="373E3F1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</w:t>
      </w:r>
      <w:r>
        <w:rPr>
          <w:rFonts w:hint="default" w:ascii="Times New Roman" w:hAnsi="Times New Roman" w:eastAsia="宋体" w:cs="Times New Roman"/>
          <w:sz w:val="24"/>
          <w:szCs w:val="24"/>
        </w:rPr>
        <w:t>Treynor-Black</w:t>
      </w:r>
      <w:r>
        <w:rPr>
          <w:rFonts w:hint="eastAsia" w:ascii="宋体" w:hAnsi="宋体" w:eastAsia="宋体" w:cs="宋体"/>
          <w:sz w:val="24"/>
          <w:szCs w:val="24"/>
        </w:rPr>
        <w:t>主动组合</w:t>
      </w:r>
    </w:p>
    <w:p w14:paraId="2A3188B0">
      <w:pPr>
        <w:rPr>
          <w:rFonts w:hint="eastAsia" w:ascii="宋体" w:hAnsi="宋体" w:eastAsia="宋体" w:cs="宋体"/>
          <w:sz w:val="24"/>
          <w:szCs w:val="24"/>
        </w:rPr>
      </w:pPr>
    </w:p>
    <w:p w14:paraId="1EE10B0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T-B</w:t>
      </w:r>
      <w:r>
        <w:rPr>
          <w:rFonts w:hint="eastAsia" w:ascii="宋体" w:hAnsi="宋体" w:eastAsia="宋体" w:cs="宋体"/>
          <w:sz w:val="24"/>
          <w:szCs w:val="24"/>
        </w:rPr>
        <w:t>模型通过估计个股</w:t>
      </w:r>
      <w:r>
        <w:rPr>
          <w:rFonts w:hint="default" w:ascii="Times New Roman" w:hAnsi="Times New Roman" w:eastAsia="宋体" w:cs="Times New Roman"/>
          <w:sz w:val="24"/>
          <w:szCs w:val="24"/>
        </w:rPr>
        <w:t>Alpha</w:t>
      </w:r>
      <w:r>
        <w:rPr>
          <w:rFonts w:hint="eastAsia" w:ascii="宋体" w:hAnsi="宋体" w:eastAsia="宋体" w:cs="宋体"/>
          <w:sz w:val="24"/>
          <w:szCs w:val="24"/>
        </w:rPr>
        <w:t>构建主动组合，再与市场组合进行配置。</w:t>
      </w:r>
    </w:p>
    <w:p w14:paraId="7BA7D848">
      <w:pPr>
        <w:rPr>
          <w:rFonts w:hint="eastAsia" w:ascii="宋体" w:hAnsi="宋体" w:eastAsia="宋体" w:cs="宋体"/>
          <w:sz w:val="24"/>
          <w:szCs w:val="24"/>
        </w:rPr>
      </w:pPr>
    </w:p>
    <w:p w14:paraId="340D0BC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结果显示：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9B03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7BDBE7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指标</w:t>
            </w:r>
          </w:p>
        </w:tc>
        <w:tc>
          <w:tcPr>
            <w:tcW w:w="4261" w:type="dxa"/>
          </w:tcPr>
          <w:p w14:paraId="402FF34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数值</w:t>
            </w:r>
          </w:p>
        </w:tc>
      </w:tr>
      <w:tr w14:paraId="6F1A5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9658334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Alpha</w:t>
            </w:r>
          </w:p>
        </w:tc>
        <w:tc>
          <w:tcPr>
            <w:tcW w:w="4261" w:type="dxa"/>
          </w:tcPr>
          <w:p w14:paraId="0BFDECCC">
            <w:p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17.96%</w:t>
            </w:r>
          </w:p>
        </w:tc>
      </w:tr>
      <w:tr w14:paraId="139C8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E091476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Beta</w:t>
            </w:r>
          </w:p>
        </w:tc>
        <w:tc>
          <w:tcPr>
            <w:tcW w:w="4261" w:type="dxa"/>
          </w:tcPr>
          <w:p w14:paraId="5C73598F">
            <w:p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0.8139</w:t>
            </w:r>
          </w:p>
        </w:tc>
      </w:tr>
      <w:tr w14:paraId="2AB86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E1017F4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残差方差</w:t>
            </w:r>
          </w:p>
        </w:tc>
        <w:tc>
          <w:tcPr>
            <w:tcW w:w="4261" w:type="dxa"/>
          </w:tcPr>
          <w:p w14:paraId="324F7C55">
            <w:p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0.0106</w:t>
            </w:r>
          </w:p>
        </w:tc>
      </w:tr>
    </w:tbl>
    <w:p w14:paraId="4016B894">
      <w:pPr>
        <w:rPr>
          <w:rFonts w:hint="eastAsia" w:ascii="宋体" w:hAnsi="宋体" w:eastAsia="宋体" w:cs="宋体"/>
          <w:sz w:val="24"/>
          <w:szCs w:val="24"/>
        </w:rPr>
      </w:pPr>
    </w:p>
    <w:p w14:paraId="7AFF2C0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同时模型给出：</w:t>
      </w:r>
    </w:p>
    <w:p w14:paraId="015A6E41">
      <w:pPr>
        <w:ind w:firstLine="240" w:firstLineChars="1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主动组合权重：</w:t>
      </w:r>
      <w:r>
        <w:rPr>
          <w:rFonts w:hint="default" w:ascii="Times New Roman" w:hAnsi="Times New Roman" w:eastAsia="宋体" w:cs="Times New Roman"/>
          <w:sz w:val="24"/>
          <w:szCs w:val="24"/>
        </w:rPr>
        <w:t>447%</w:t>
      </w:r>
    </w:p>
    <w:p w14:paraId="46221402">
      <w:pPr>
        <w:ind w:firstLine="240" w:firstLineChars="1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市场组合权重：</w:t>
      </w:r>
      <w:r>
        <w:rPr>
          <w:rFonts w:hint="default" w:ascii="Times New Roman" w:hAnsi="Times New Roman" w:eastAsia="宋体" w:cs="Times New Roman"/>
          <w:sz w:val="24"/>
          <w:szCs w:val="24"/>
        </w:rPr>
        <w:t>-347%</w:t>
      </w:r>
    </w:p>
    <w:p w14:paraId="677A0759">
      <w:pPr>
        <w:rPr>
          <w:rFonts w:hint="eastAsia" w:ascii="宋体" w:hAnsi="宋体" w:eastAsia="宋体" w:cs="宋体"/>
          <w:sz w:val="24"/>
          <w:szCs w:val="24"/>
        </w:rPr>
      </w:pPr>
    </w:p>
    <w:p w14:paraId="481FF34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即需要大规模加杠杆并卖空市场组合。 </w:t>
      </w:r>
    </w:p>
    <w:p w14:paraId="5D0B5E71">
      <w:pPr>
        <w:rPr>
          <w:rFonts w:hint="eastAsia" w:ascii="宋体" w:hAnsi="宋体" w:eastAsia="宋体" w:cs="宋体"/>
          <w:sz w:val="24"/>
          <w:szCs w:val="24"/>
        </w:rPr>
      </w:pPr>
    </w:p>
    <w:p w14:paraId="6AE5EF2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从理论上看，该组合拥有更高的超额收益能力，但依赖杠杆和卖空机制。</w:t>
      </w:r>
    </w:p>
    <w:p w14:paraId="711CD815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2A8940B6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数据说明：</w:t>
      </w:r>
    </w:p>
    <w:p w14:paraId="0A4617BA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两份原始报告采用了不同的无风险利率假设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——</w:t>
      </w:r>
      <w:r>
        <w:rPr>
          <w:rFonts w:hint="default" w:ascii="Times New Roman" w:hAnsi="Times New Roman" w:eastAsia="仿宋" w:cs="Times New Roman"/>
          <w:sz w:val="24"/>
          <w:szCs w:val="24"/>
        </w:rPr>
        <w:t>T-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B</w:t>
      </w:r>
      <w:r>
        <w:rPr>
          <w:rFonts w:hint="eastAsia" w:ascii="仿宋" w:hAnsi="仿宋" w:eastAsia="仿宋" w:cs="仿宋"/>
          <w:sz w:val="24"/>
          <w:szCs w:val="24"/>
        </w:rPr>
        <w:t>模型使用</w:t>
      </w:r>
      <w:r>
        <w:rPr>
          <w:rFonts w:hint="default" w:ascii="Times New Roman" w:hAnsi="Times New Roman" w:eastAsia="仿宋" w:cs="Times New Roman"/>
          <w:sz w:val="24"/>
          <w:szCs w:val="24"/>
        </w:rPr>
        <w:t>2.5%</w:t>
      </w:r>
      <w:r>
        <w:rPr>
          <w:rFonts w:hint="eastAsia" w:ascii="仿宋" w:hAnsi="仿宋" w:eastAsia="仿宋" w:cs="仿宋"/>
          <w:sz w:val="24"/>
          <w:szCs w:val="24"/>
        </w:rPr>
        <w:t>（参考同期存款利率），马科维茨模型使用</w:t>
      </w:r>
      <w:r>
        <w:rPr>
          <w:rFonts w:hint="default" w:ascii="Times New Roman" w:hAnsi="Times New Roman" w:eastAsia="仿宋" w:cs="Times New Roman"/>
          <w:sz w:val="24"/>
          <w:szCs w:val="24"/>
        </w:rPr>
        <w:t>1.7%</w:t>
      </w:r>
      <w:r>
        <w:rPr>
          <w:rFonts w:hint="eastAsia" w:ascii="仿宋" w:hAnsi="仿宋" w:eastAsia="仿宋" w:cs="仿宋"/>
          <w:sz w:val="24"/>
          <w:szCs w:val="24"/>
        </w:rPr>
        <w:t>（参考</w:t>
      </w:r>
      <w:r>
        <w:rPr>
          <w:rFonts w:hint="default" w:ascii="Times New Roman" w:hAnsi="Times New Roman" w:eastAsia="仿宋" w:cs="Times New Roman"/>
          <w:sz w:val="24"/>
          <w:szCs w:val="24"/>
        </w:rPr>
        <w:t>10</w:t>
      </w:r>
      <w:r>
        <w:rPr>
          <w:rFonts w:hint="eastAsia" w:ascii="仿宋" w:hAnsi="仿宋" w:eastAsia="仿宋" w:cs="仿宋"/>
          <w:sz w:val="24"/>
          <w:szCs w:val="24"/>
        </w:rPr>
        <w:t>年期国债收益率）。无风险利率的差异会对</w:t>
      </w:r>
      <w:r>
        <w:rPr>
          <w:rFonts w:hint="default" w:ascii="Times New Roman" w:hAnsi="Times New Roman" w:eastAsia="仿宋" w:cs="Times New Roman"/>
          <w:sz w:val="24"/>
          <w:szCs w:val="24"/>
        </w:rPr>
        <w:t>Alpha</w:t>
      </w:r>
      <w:r>
        <w:rPr>
          <w:rFonts w:hint="eastAsia" w:ascii="仿宋" w:hAnsi="仿宋" w:eastAsia="仿宋" w:cs="仿宋"/>
          <w:sz w:val="24"/>
          <w:szCs w:val="24"/>
        </w:rPr>
        <w:t>和夏普比率的计算产生细微影响，可能导致两个模型的绝对数值不可直接对比，但相对排序和结构性结论不受显著影响。</w:t>
      </w:r>
    </w:p>
    <w:p w14:paraId="19316833">
      <w:pPr>
        <w:rPr>
          <w:rFonts w:hint="eastAsia" w:ascii="仿宋" w:hAnsi="仿宋" w:eastAsia="仿宋" w:cs="仿宋"/>
          <w:sz w:val="24"/>
          <w:szCs w:val="24"/>
        </w:rPr>
      </w:pPr>
    </w:p>
    <w:p w14:paraId="569872F6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二、</w:t>
      </w:r>
      <w:r>
        <w:rPr>
          <w:rFonts w:hint="eastAsia" w:ascii="黑体" w:hAnsi="黑体" w:eastAsia="黑体" w:cs="黑体"/>
          <w:sz w:val="24"/>
          <w:szCs w:val="24"/>
        </w:rPr>
        <w:t>样本外表现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理论</w:t>
      </w:r>
      <w:bookmarkStart w:id="0" w:name="_GoBack"/>
      <w:bookmarkEnd w:id="0"/>
      <w:r>
        <w:rPr>
          <w:rFonts w:hint="eastAsia" w:ascii="黑体" w:hAnsi="黑体" w:eastAsia="黑体" w:cs="黑体"/>
          <w:sz w:val="24"/>
          <w:szCs w:val="24"/>
        </w:rPr>
        <w:t>分析</w:t>
      </w:r>
    </w:p>
    <w:p w14:paraId="11DD27AE">
      <w:pPr>
        <w:rPr>
          <w:rFonts w:hint="eastAsia" w:ascii="宋体" w:hAnsi="宋体" w:eastAsia="宋体" w:cs="宋体"/>
          <w:sz w:val="24"/>
          <w:szCs w:val="24"/>
        </w:rPr>
      </w:pPr>
    </w:p>
    <w:p w14:paraId="240604B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由于无样本外检验数据，所以仅</w:t>
      </w:r>
      <w:r>
        <w:rPr>
          <w:rFonts w:hint="eastAsia" w:ascii="宋体" w:hAnsi="宋体" w:eastAsia="宋体" w:cs="宋体"/>
          <w:sz w:val="24"/>
          <w:szCs w:val="24"/>
        </w:rPr>
        <w:t>从金融学理论角度看：</w:t>
      </w:r>
    </w:p>
    <w:p w14:paraId="44B3BA8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</w:p>
    <w:p w14:paraId="452ECE87">
      <w:pPr>
        <w:numPr>
          <w:ilvl w:val="0"/>
          <w:numId w:val="1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马科维茨模型</w:t>
      </w:r>
    </w:p>
    <w:p w14:paraId="5E940866">
      <w:pPr>
        <w:rPr>
          <w:rFonts w:hint="eastAsia" w:ascii="宋体" w:hAnsi="宋体" w:eastAsia="宋体" w:cs="宋体"/>
          <w:sz w:val="24"/>
          <w:szCs w:val="24"/>
        </w:rPr>
      </w:pPr>
    </w:p>
    <w:p w14:paraId="4E1D5B1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存在典型的参数估计误差问题。</w:t>
      </w:r>
    </w:p>
    <w:p w14:paraId="28B66F02">
      <w:pPr>
        <w:rPr>
          <w:rFonts w:hint="eastAsia" w:ascii="宋体" w:hAnsi="宋体" w:eastAsia="宋体" w:cs="宋体"/>
          <w:sz w:val="24"/>
          <w:szCs w:val="24"/>
        </w:rPr>
      </w:pPr>
    </w:p>
    <w:p w14:paraId="524DD68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由于均值收益率极难准确预测：</w:t>
      </w:r>
    </w:p>
    <w:p w14:paraId="4823C33E">
      <w:pPr>
        <w:numPr>
          <w:ilvl w:val="0"/>
          <w:numId w:val="2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样本内表现往往较好；</w:t>
      </w:r>
    </w:p>
    <w:p w14:paraId="4DF21E62">
      <w:pPr>
        <w:numPr>
          <w:ilvl w:val="0"/>
          <w:numId w:val="2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样本外容易出现收益下降；</w:t>
      </w:r>
    </w:p>
    <w:p w14:paraId="052C8C93">
      <w:pPr>
        <w:numPr>
          <w:ilvl w:val="0"/>
          <w:numId w:val="2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权重容易受到历史极端收益影响。</w:t>
      </w:r>
    </w:p>
    <w:p w14:paraId="23050FD7">
      <w:pPr>
        <w:rPr>
          <w:rFonts w:hint="eastAsia" w:ascii="宋体" w:hAnsi="宋体" w:eastAsia="宋体" w:cs="宋体"/>
          <w:sz w:val="24"/>
          <w:szCs w:val="24"/>
        </w:rPr>
      </w:pPr>
    </w:p>
    <w:p w14:paraId="12801B5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例如宁德时代、赣锋锂业等新能源股票在</w:t>
      </w:r>
      <w:r>
        <w:rPr>
          <w:rFonts w:hint="default" w:ascii="Times New Roman" w:hAnsi="Times New Roman" w:eastAsia="宋体" w:cs="Times New Roman"/>
          <w:sz w:val="24"/>
          <w:szCs w:val="24"/>
        </w:rPr>
        <w:t>2020—2021</w:t>
      </w:r>
      <w:r>
        <w:rPr>
          <w:rFonts w:hint="eastAsia" w:ascii="宋体" w:hAnsi="宋体" w:eastAsia="宋体" w:cs="宋体"/>
          <w:sz w:val="24"/>
          <w:szCs w:val="24"/>
        </w:rPr>
        <w:t xml:space="preserve">年表现极强，因此模型给予大量权重。未来若行业景气度下降，则样本外收益可能明显回落。 </w:t>
      </w:r>
    </w:p>
    <w:p w14:paraId="2DCE1C83">
      <w:pPr>
        <w:rPr>
          <w:rFonts w:hint="eastAsia" w:ascii="宋体" w:hAnsi="宋体" w:eastAsia="宋体" w:cs="宋体"/>
          <w:sz w:val="24"/>
          <w:szCs w:val="24"/>
        </w:rPr>
      </w:pPr>
    </w:p>
    <w:p w14:paraId="11D45E1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因此马科维茨模型通常具有“样本内最优、样本外退化”的特征。</w:t>
      </w:r>
    </w:p>
    <w:p w14:paraId="12836214">
      <w:pPr>
        <w:rPr>
          <w:rFonts w:hint="eastAsia" w:ascii="宋体" w:hAnsi="宋体" w:eastAsia="宋体" w:cs="宋体"/>
          <w:sz w:val="24"/>
          <w:szCs w:val="24"/>
        </w:rPr>
      </w:pPr>
    </w:p>
    <w:p w14:paraId="7D69153D">
      <w:pPr>
        <w:numPr>
          <w:ilvl w:val="0"/>
          <w:numId w:val="1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Treynor-Black</w:t>
      </w:r>
      <w:r>
        <w:rPr>
          <w:rFonts w:hint="eastAsia" w:ascii="宋体" w:hAnsi="宋体" w:eastAsia="宋体" w:cs="宋体"/>
          <w:sz w:val="24"/>
          <w:szCs w:val="24"/>
        </w:rPr>
        <w:t>模型</w:t>
      </w:r>
    </w:p>
    <w:p w14:paraId="2AD7AD4B">
      <w:pPr>
        <w:rPr>
          <w:rFonts w:hint="eastAsia" w:ascii="宋体" w:hAnsi="宋体" w:eastAsia="宋体" w:cs="宋体"/>
          <w:sz w:val="24"/>
          <w:szCs w:val="24"/>
        </w:rPr>
      </w:pPr>
    </w:p>
    <w:p w14:paraId="75E55C7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T-B</w:t>
      </w:r>
      <w:r>
        <w:rPr>
          <w:rFonts w:hint="eastAsia" w:ascii="宋体" w:hAnsi="宋体" w:eastAsia="宋体" w:cs="宋体"/>
          <w:sz w:val="24"/>
          <w:szCs w:val="24"/>
        </w:rPr>
        <w:t>模型利用</w:t>
      </w:r>
      <w:r>
        <w:rPr>
          <w:rFonts w:hint="default" w:ascii="Times New Roman" w:hAnsi="Times New Roman" w:eastAsia="宋体" w:cs="Times New Roman"/>
          <w:sz w:val="24"/>
          <w:szCs w:val="24"/>
        </w:rPr>
        <w:t>Alpha</w:t>
      </w:r>
      <w:r>
        <w:rPr>
          <w:rFonts w:hint="eastAsia" w:ascii="宋体" w:hAnsi="宋体" w:eastAsia="宋体" w:cs="宋体"/>
          <w:sz w:val="24"/>
          <w:szCs w:val="24"/>
        </w:rPr>
        <w:t>信息构建组合：</w:t>
      </w:r>
    </w:p>
    <w:p w14:paraId="320C30D3">
      <w:pPr>
        <w:numPr>
          <w:ilvl w:val="0"/>
          <w:numId w:val="3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更强调个股超额收益来源；</w:t>
      </w:r>
    </w:p>
    <w:p w14:paraId="74ABDB85">
      <w:pPr>
        <w:numPr>
          <w:ilvl w:val="0"/>
          <w:numId w:val="3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依赖</w:t>
      </w:r>
      <w:r>
        <w:rPr>
          <w:rFonts w:hint="default" w:ascii="Times New Roman" w:hAnsi="Times New Roman" w:eastAsia="宋体" w:cs="Times New Roman"/>
          <w:sz w:val="24"/>
          <w:szCs w:val="24"/>
        </w:rPr>
        <w:t>CAPM</w:t>
      </w:r>
      <w:r>
        <w:rPr>
          <w:rFonts w:hint="eastAsia" w:ascii="宋体" w:hAnsi="宋体" w:eastAsia="宋体" w:cs="宋体"/>
          <w:sz w:val="24"/>
          <w:szCs w:val="24"/>
        </w:rPr>
        <w:t>框架；</w:t>
      </w:r>
    </w:p>
    <w:p w14:paraId="56E609F9">
      <w:pPr>
        <w:numPr>
          <w:ilvl w:val="0"/>
          <w:numId w:val="3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对收益均值估计敏感度较低；</w:t>
      </w:r>
    </w:p>
    <w:p w14:paraId="0FC16A40">
      <w:pPr>
        <w:numPr>
          <w:ilvl w:val="0"/>
          <w:numId w:val="3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样本外稳定性通常优于纯均值-方差模型。</w:t>
      </w:r>
    </w:p>
    <w:p w14:paraId="67738218">
      <w:pPr>
        <w:rPr>
          <w:rFonts w:hint="eastAsia" w:ascii="宋体" w:hAnsi="宋体" w:eastAsia="宋体" w:cs="宋体"/>
          <w:sz w:val="24"/>
          <w:szCs w:val="24"/>
        </w:rPr>
      </w:pPr>
    </w:p>
    <w:p w14:paraId="5C366D7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但如果</w:t>
      </w:r>
      <w:r>
        <w:rPr>
          <w:rFonts w:hint="default" w:ascii="Times New Roman" w:hAnsi="Times New Roman" w:eastAsia="宋体" w:cs="Times New Roman"/>
          <w:sz w:val="24"/>
          <w:szCs w:val="24"/>
        </w:rPr>
        <w:t>Alpha</w:t>
      </w:r>
      <w:r>
        <w:rPr>
          <w:rFonts w:hint="eastAsia" w:ascii="宋体" w:hAnsi="宋体" w:eastAsia="宋体" w:cs="宋体"/>
          <w:sz w:val="24"/>
          <w:szCs w:val="24"/>
        </w:rPr>
        <w:t>来源于偶然事件或行业景气周期，则样本外也会衰减。</w:t>
      </w:r>
    </w:p>
    <w:p w14:paraId="1C8E0F6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例如：</w:t>
      </w:r>
    </w:p>
    <w:p w14:paraId="6D66A766">
      <w:pPr>
        <w:ind w:firstLine="240" w:firstLineChars="1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宁德时代 </w:t>
      </w:r>
      <w:r>
        <w:rPr>
          <w:rFonts w:hint="default" w:ascii="Times New Roman" w:hAnsi="Times New Roman" w:eastAsia="宋体" w:cs="Times New Roman"/>
          <w:sz w:val="24"/>
          <w:szCs w:val="24"/>
        </w:rPr>
        <w:t>Alpha=40.26%</w:t>
      </w:r>
    </w:p>
    <w:p w14:paraId="1E991F72">
      <w:pPr>
        <w:ind w:firstLine="240" w:firstLineChars="1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隆基绿能 </w:t>
      </w:r>
      <w:r>
        <w:rPr>
          <w:rFonts w:hint="default" w:ascii="Times New Roman" w:hAnsi="Times New Roman" w:eastAsia="宋体" w:cs="Times New Roman"/>
          <w:sz w:val="24"/>
          <w:szCs w:val="24"/>
        </w:rPr>
        <w:t>Alpha=15.50%</w:t>
      </w:r>
    </w:p>
    <w:p w14:paraId="6329610D">
      <w:pPr>
        <w:ind w:firstLine="240" w:firstLineChars="1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赣锋锂业 </w:t>
      </w:r>
      <w:r>
        <w:rPr>
          <w:rFonts w:hint="default" w:ascii="Times New Roman" w:hAnsi="Times New Roman" w:eastAsia="宋体" w:cs="Times New Roman"/>
          <w:sz w:val="24"/>
          <w:szCs w:val="24"/>
        </w:rPr>
        <w:t>Alpha=29.06%</w:t>
      </w:r>
    </w:p>
    <w:p w14:paraId="7D819F37">
      <w:pPr>
        <w:rPr>
          <w:rFonts w:hint="eastAsia" w:ascii="宋体" w:hAnsi="宋体" w:eastAsia="宋体" w:cs="宋体"/>
          <w:sz w:val="24"/>
          <w:szCs w:val="24"/>
        </w:rPr>
      </w:pPr>
    </w:p>
    <w:p w14:paraId="5DADDE7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这些</w:t>
      </w:r>
      <w:r>
        <w:rPr>
          <w:rFonts w:hint="default" w:ascii="Times New Roman" w:hAnsi="Times New Roman" w:eastAsia="宋体" w:cs="Times New Roman"/>
          <w:sz w:val="24"/>
          <w:szCs w:val="24"/>
        </w:rPr>
        <w:t>Alpha</w:t>
      </w:r>
      <w:r>
        <w:rPr>
          <w:rFonts w:hint="eastAsia" w:ascii="宋体" w:hAnsi="宋体" w:eastAsia="宋体" w:cs="宋体"/>
          <w:sz w:val="24"/>
          <w:szCs w:val="24"/>
        </w:rPr>
        <w:t>很大程度上来源于新能源产业高景气阶段。未来行业回归正常增长后，</w:t>
      </w:r>
      <w:r>
        <w:rPr>
          <w:rFonts w:hint="default" w:ascii="Times New Roman" w:hAnsi="Times New Roman" w:eastAsia="宋体" w:cs="Times New Roman"/>
          <w:sz w:val="24"/>
          <w:szCs w:val="24"/>
        </w:rPr>
        <w:t>Alpha</w:t>
      </w:r>
      <w:r>
        <w:rPr>
          <w:rFonts w:hint="eastAsia" w:ascii="宋体" w:hAnsi="宋体" w:eastAsia="宋体" w:cs="宋体"/>
          <w:sz w:val="24"/>
          <w:szCs w:val="24"/>
        </w:rPr>
        <w:t xml:space="preserve">可能显著下降。 </w:t>
      </w:r>
    </w:p>
    <w:p w14:paraId="79A03CD5">
      <w:pPr>
        <w:rPr>
          <w:rFonts w:hint="eastAsia" w:ascii="宋体" w:hAnsi="宋体" w:eastAsia="宋体" w:cs="宋体"/>
          <w:sz w:val="24"/>
          <w:szCs w:val="24"/>
        </w:rPr>
      </w:pPr>
    </w:p>
    <w:p w14:paraId="165A487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因此</w:t>
      </w:r>
      <w:r>
        <w:rPr>
          <w:rFonts w:hint="default" w:ascii="Times New Roman" w:hAnsi="Times New Roman" w:eastAsia="宋体" w:cs="Times New Roman"/>
          <w:sz w:val="24"/>
          <w:szCs w:val="24"/>
        </w:rPr>
        <w:t>T-B</w:t>
      </w:r>
      <w:r>
        <w:rPr>
          <w:rFonts w:hint="eastAsia" w:ascii="宋体" w:hAnsi="宋体" w:eastAsia="宋体" w:cs="宋体"/>
          <w:sz w:val="24"/>
          <w:szCs w:val="24"/>
        </w:rPr>
        <w:t>模型样本外表现通常优于传统马科维茨模型，但仍存在</w:t>
      </w:r>
      <w:r>
        <w:rPr>
          <w:rFonts w:hint="default" w:ascii="Times New Roman" w:hAnsi="Times New Roman" w:eastAsia="宋体" w:cs="Times New Roman"/>
          <w:sz w:val="24"/>
          <w:szCs w:val="24"/>
        </w:rPr>
        <w:t>Alpha</w:t>
      </w:r>
      <w:r>
        <w:rPr>
          <w:rFonts w:hint="eastAsia" w:ascii="宋体" w:hAnsi="宋体" w:eastAsia="宋体" w:cs="宋体"/>
          <w:sz w:val="24"/>
          <w:szCs w:val="24"/>
        </w:rPr>
        <w:t>衰减风险。</w:t>
      </w:r>
    </w:p>
    <w:p w14:paraId="34C1CF15">
      <w:pPr>
        <w:rPr>
          <w:rFonts w:hint="eastAsia" w:ascii="宋体" w:hAnsi="宋体" w:eastAsia="宋体" w:cs="宋体"/>
          <w:sz w:val="24"/>
          <w:szCs w:val="24"/>
        </w:rPr>
      </w:pPr>
    </w:p>
    <w:p w14:paraId="1D32015A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三、</w:t>
      </w:r>
      <w:r>
        <w:rPr>
          <w:rFonts w:hint="eastAsia" w:ascii="黑体" w:hAnsi="黑体" w:eastAsia="黑体" w:cs="黑体"/>
          <w:sz w:val="24"/>
          <w:szCs w:val="24"/>
        </w:rPr>
        <w:t>行业分散度比较</w:t>
      </w:r>
    </w:p>
    <w:p w14:paraId="4D925ED2">
      <w:pPr>
        <w:rPr>
          <w:rFonts w:hint="eastAsia" w:ascii="宋体" w:hAnsi="宋体" w:eastAsia="宋体" w:cs="宋体"/>
          <w:sz w:val="24"/>
          <w:szCs w:val="24"/>
        </w:rPr>
      </w:pPr>
    </w:p>
    <w:p w14:paraId="356B7F29">
      <w:pPr>
        <w:numPr>
          <w:ilvl w:val="0"/>
          <w:numId w:val="4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马科维茨组合</w:t>
      </w:r>
    </w:p>
    <w:p w14:paraId="5151DB79">
      <w:pPr>
        <w:rPr>
          <w:rFonts w:hint="eastAsia" w:ascii="宋体" w:hAnsi="宋体" w:eastAsia="宋体" w:cs="宋体"/>
          <w:sz w:val="24"/>
          <w:szCs w:val="24"/>
        </w:rPr>
      </w:pPr>
    </w:p>
    <w:p w14:paraId="7F52FE9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行业分布：</w:t>
      </w:r>
    </w:p>
    <w:p w14:paraId="1B039F3C">
      <w:pPr>
        <w:ind w:firstLine="240" w:firstLineChars="1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电力设备</w:t>
      </w:r>
      <w:r>
        <w:rPr>
          <w:rFonts w:hint="default" w:ascii="Times New Roman" w:hAnsi="Times New Roman" w:eastAsia="宋体" w:cs="Times New Roman"/>
          <w:sz w:val="24"/>
          <w:szCs w:val="24"/>
        </w:rPr>
        <w:t>66.64%</w:t>
      </w:r>
    </w:p>
    <w:p w14:paraId="59A7A9FB">
      <w:pPr>
        <w:ind w:firstLine="240" w:firstLineChars="1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银行</w:t>
      </w:r>
      <w:r>
        <w:rPr>
          <w:rFonts w:hint="default" w:ascii="Times New Roman" w:hAnsi="Times New Roman" w:eastAsia="宋体" w:cs="Times New Roman"/>
          <w:sz w:val="24"/>
          <w:szCs w:val="24"/>
        </w:rPr>
        <w:t>24.96%</w:t>
      </w:r>
    </w:p>
    <w:p w14:paraId="767AF5AE">
      <w:pPr>
        <w:ind w:firstLine="240" w:firstLineChars="1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电子</w:t>
      </w:r>
      <w:r>
        <w:rPr>
          <w:rFonts w:hint="default" w:ascii="Times New Roman" w:hAnsi="Times New Roman" w:eastAsia="宋体" w:cs="Times New Roman"/>
          <w:sz w:val="24"/>
          <w:szCs w:val="24"/>
        </w:rPr>
        <w:t>8.40%</w:t>
      </w:r>
    </w:p>
    <w:p w14:paraId="1361E5B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食品饮料和医药行业被完全剔除。 </w:t>
      </w:r>
    </w:p>
    <w:p w14:paraId="650FB45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优点：</w:t>
      </w:r>
    </w:p>
    <w:p w14:paraId="71F5DC29">
      <w:pPr>
        <w:numPr>
          <w:ilvl w:val="0"/>
          <w:numId w:val="5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充分利用高夏普资产</w:t>
      </w:r>
    </w:p>
    <w:p w14:paraId="285ED4C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缺点：</w:t>
      </w:r>
    </w:p>
    <w:p w14:paraId="0E1B8975">
      <w:pPr>
        <w:numPr>
          <w:ilvl w:val="0"/>
          <w:numId w:val="6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行业集中度偏高</w:t>
      </w:r>
    </w:p>
    <w:p w14:paraId="6CEF47BD">
      <w:pPr>
        <w:numPr>
          <w:ilvl w:val="0"/>
          <w:numId w:val="6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对新能源行业依赖较强</w:t>
      </w:r>
    </w:p>
    <w:p w14:paraId="08AA4E34">
      <w:pPr>
        <w:rPr>
          <w:rFonts w:hint="eastAsia" w:ascii="宋体" w:hAnsi="宋体" w:eastAsia="宋体" w:cs="宋体"/>
          <w:sz w:val="24"/>
          <w:szCs w:val="24"/>
        </w:rPr>
      </w:pPr>
    </w:p>
    <w:p w14:paraId="0E3E4E2F">
      <w:pPr>
        <w:numPr>
          <w:ilvl w:val="0"/>
          <w:numId w:val="4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T-B</w:t>
      </w:r>
      <w:r>
        <w:rPr>
          <w:rFonts w:hint="eastAsia" w:ascii="宋体" w:hAnsi="宋体" w:eastAsia="宋体" w:cs="宋体"/>
          <w:sz w:val="24"/>
          <w:szCs w:val="24"/>
        </w:rPr>
        <w:t>组合</w:t>
      </w:r>
    </w:p>
    <w:p w14:paraId="60EC3C41">
      <w:pPr>
        <w:rPr>
          <w:rFonts w:hint="eastAsia" w:ascii="宋体" w:hAnsi="宋体" w:eastAsia="宋体" w:cs="宋体"/>
          <w:sz w:val="24"/>
          <w:szCs w:val="24"/>
        </w:rPr>
      </w:pPr>
    </w:p>
    <w:p w14:paraId="31B6148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主要权重集中于：</w:t>
      </w:r>
    </w:p>
    <w:p w14:paraId="7F2BD238">
      <w:p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工商银行</w:t>
      </w:r>
    </w:p>
    <w:p w14:paraId="7835C1FE">
      <w:p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长江电力</w:t>
      </w:r>
    </w:p>
    <w:p w14:paraId="1741047D">
      <w:p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宁德时代</w:t>
      </w:r>
    </w:p>
    <w:p w14:paraId="7FBAEE42">
      <w:p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赣锋锂业</w:t>
      </w:r>
    </w:p>
    <w:p w14:paraId="67D9B3DB">
      <w:p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隆基绿能</w:t>
      </w:r>
    </w:p>
    <w:p w14:paraId="6A7208DD">
      <w:pPr>
        <w:rPr>
          <w:rFonts w:hint="eastAsia" w:ascii="宋体" w:hAnsi="宋体" w:eastAsia="宋体" w:cs="宋体"/>
          <w:sz w:val="24"/>
          <w:szCs w:val="24"/>
        </w:rPr>
      </w:pPr>
    </w:p>
    <w:p w14:paraId="2280AE7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银行和新能源占据绝对主导地位。 </w:t>
      </w:r>
    </w:p>
    <w:p w14:paraId="63CB7B1F">
      <w:pPr>
        <w:rPr>
          <w:rFonts w:hint="eastAsia" w:ascii="宋体" w:hAnsi="宋体" w:eastAsia="宋体" w:cs="宋体"/>
          <w:sz w:val="24"/>
          <w:szCs w:val="24"/>
        </w:rPr>
      </w:pPr>
    </w:p>
    <w:p w14:paraId="67A883E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从行业角度看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T-</w:t>
      </w:r>
      <w:r>
        <w:rPr>
          <w:rFonts w:hint="default" w:ascii="Times New Roman" w:hAnsi="Times New Roman" w:eastAsia="宋体" w:cs="Times New Roman"/>
          <w:sz w:val="24"/>
          <w:szCs w:val="24"/>
        </w:rPr>
        <w:t>B</w:t>
      </w:r>
      <w:r>
        <w:rPr>
          <w:rFonts w:hint="eastAsia" w:ascii="宋体" w:hAnsi="宋体" w:eastAsia="宋体" w:cs="宋体"/>
          <w:sz w:val="24"/>
          <w:szCs w:val="24"/>
        </w:rPr>
        <w:t>组合比马科维茨更加集中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行业集中风险更高。</w:t>
      </w:r>
    </w:p>
    <w:p w14:paraId="60068F7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3D5A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1473AA5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指标</w:t>
            </w:r>
          </w:p>
        </w:tc>
        <w:tc>
          <w:tcPr>
            <w:tcW w:w="2841" w:type="dxa"/>
          </w:tcPr>
          <w:p w14:paraId="3B24F5B2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马科维茨模型</w:t>
            </w:r>
          </w:p>
        </w:tc>
        <w:tc>
          <w:tcPr>
            <w:tcW w:w="2841" w:type="dxa"/>
          </w:tcPr>
          <w:p w14:paraId="7A971E03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T-B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模型</w:t>
            </w:r>
          </w:p>
        </w:tc>
      </w:tr>
      <w:tr w14:paraId="4B0F9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1809199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行业分散度</w:t>
            </w:r>
          </w:p>
        </w:tc>
        <w:tc>
          <w:tcPr>
            <w:tcW w:w="2841" w:type="dxa"/>
          </w:tcPr>
          <w:p w14:paraId="6C731C2D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较高</w:t>
            </w:r>
          </w:p>
        </w:tc>
        <w:tc>
          <w:tcPr>
            <w:tcW w:w="2841" w:type="dxa"/>
          </w:tcPr>
          <w:p w14:paraId="296DF8E5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较低</w:t>
            </w:r>
          </w:p>
        </w:tc>
      </w:tr>
      <w:tr w14:paraId="501FA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0EED036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集中风险</w:t>
            </w:r>
          </w:p>
        </w:tc>
        <w:tc>
          <w:tcPr>
            <w:tcW w:w="2841" w:type="dxa"/>
          </w:tcPr>
          <w:p w14:paraId="2D00B5BA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中等</w:t>
            </w:r>
          </w:p>
        </w:tc>
        <w:tc>
          <w:tcPr>
            <w:tcW w:w="2841" w:type="dxa"/>
          </w:tcPr>
          <w:p w14:paraId="4F396ECD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较高</w:t>
            </w:r>
          </w:p>
        </w:tc>
      </w:tr>
    </w:tbl>
    <w:p w14:paraId="631039C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38571D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因此从分散化角度看，马科维茨组合略优，但其集中来源于优化器的数学结果，而非人为偏好。</w:t>
      </w:r>
    </w:p>
    <w:p w14:paraId="10C63F5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</w:p>
    <w:p w14:paraId="078A6A5A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四、</w:t>
      </w:r>
      <w:r>
        <w:rPr>
          <w:rFonts w:hint="eastAsia" w:ascii="黑体" w:hAnsi="黑体" w:eastAsia="黑体" w:cs="黑体"/>
          <w:sz w:val="24"/>
          <w:szCs w:val="24"/>
        </w:rPr>
        <w:t>风险暴露比较</w:t>
      </w:r>
    </w:p>
    <w:p w14:paraId="6F5FD9D0">
      <w:pPr>
        <w:rPr>
          <w:rFonts w:hint="eastAsia" w:ascii="宋体" w:hAnsi="宋体" w:eastAsia="宋体" w:cs="宋体"/>
          <w:sz w:val="24"/>
          <w:szCs w:val="24"/>
        </w:rPr>
      </w:pPr>
    </w:p>
    <w:p w14:paraId="75699CA5">
      <w:pPr>
        <w:numPr>
          <w:ilvl w:val="0"/>
          <w:numId w:val="7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马科维茨组合</w:t>
      </w:r>
    </w:p>
    <w:p w14:paraId="592151C1">
      <w:pPr>
        <w:rPr>
          <w:rFonts w:hint="eastAsia" w:ascii="宋体" w:hAnsi="宋体" w:eastAsia="宋体" w:cs="宋体"/>
          <w:sz w:val="24"/>
          <w:szCs w:val="24"/>
        </w:rPr>
      </w:pPr>
    </w:p>
    <w:p w14:paraId="23344A7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风险来源：</w:t>
      </w:r>
    </w:p>
    <w:p w14:paraId="678FB9C2">
      <w:pPr>
        <w:numPr>
          <w:ilvl w:val="0"/>
          <w:numId w:val="8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股票波动率</w:t>
      </w:r>
    </w:p>
    <w:p w14:paraId="71D8FB9F">
      <w:pPr>
        <w:numPr>
          <w:ilvl w:val="0"/>
          <w:numId w:val="8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行业风险</w:t>
      </w:r>
    </w:p>
    <w:p w14:paraId="3A0E9DA4">
      <w:pPr>
        <w:rPr>
          <w:rFonts w:hint="eastAsia" w:ascii="宋体" w:hAnsi="宋体" w:eastAsia="宋体" w:cs="宋体"/>
          <w:sz w:val="24"/>
          <w:szCs w:val="24"/>
        </w:rPr>
      </w:pPr>
    </w:p>
    <w:p w14:paraId="266995C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无杠杆限制下：</w:t>
      </w:r>
    </w:p>
    <w:p w14:paraId="6E5EDA71">
      <w:pPr>
        <w:numPr>
          <w:ilvl w:val="0"/>
          <w:numId w:val="9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总风险可控</w:t>
      </w:r>
    </w:p>
    <w:p w14:paraId="0FD41F58">
      <w:pPr>
        <w:numPr>
          <w:ilvl w:val="0"/>
          <w:numId w:val="9"/>
        </w:numPr>
        <w:ind w:left="0" w:leftChars="0"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波动率</w:t>
      </w:r>
      <w:r>
        <w:rPr>
          <w:rFonts w:hint="default" w:ascii="Times New Roman" w:hAnsi="Times New Roman" w:eastAsia="宋体" w:cs="Times New Roman"/>
          <w:sz w:val="24"/>
          <w:szCs w:val="24"/>
        </w:rPr>
        <w:t>18.23%</w:t>
      </w:r>
    </w:p>
    <w:p w14:paraId="78AC229D">
      <w:pPr>
        <w:rPr>
          <w:rFonts w:hint="eastAsia" w:ascii="宋体" w:hAnsi="宋体" w:eastAsia="宋体" w:cs="宋体"/>
          <w:sz w:val="24"/>
          <w:szCs w:val="24"/>
        </w:rPr>
      </w:pPr>
    </w:p>
    <w:p w14:paraId="3CFA864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属于典型中风险组合。 </w:t>
      </w:r>
    </w:p>
    <w:p w14:paraId="36E287FC">
      <w:pPr>
        <w:rPr>
          <w:rFonts w:hint="eastAsia" w:ascii="宋体" w:hAnsi="宋体" w:eastAsia="宋体" w:cs="宋体"/>
          <w:sz w:val="24"/>
          <w:szCs w:val="24"/>
        </w:rPr>
      </w:pPr>
    </w:p>
    <w:p w14:paraId="348AF699">
      <w:pPr>
        <w:numPr>
          <w:ilvl w:val="0"/>
          <w:numId w:val="7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T-B</w:t>
      </w:r>
      <w:r>
        <w:rPr>
          <w:rFonts w:hint="eastAsia" w:ascii="宋体" w:hAnsi="宋体" w:eastAsia="宋体" w:cs="宋体"/>
          <w:sz w:val="24"/>
          <w:szCs w:val="24"/>
        </w:rPr>
        <w:t>组合</w:t>
      </w:r>
    </w:p>
    <w:p w14:paraId="69E183C2">
      <w:pPr>
        <w:rPr>
          <w:rFonts w:hint="eastAsia" w:ascii="宋体" w:hAnsi="宋体" w:eastAsia="宋体" w:cs="宋体"/>
          <w:sz w:val="24"/>
          <w:szCs w:val="24"/>
        </w:rPr>
      </w:pPr>
    </w:p>
    <w:p w14:paraId="2AE7AA3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额外风险来源：</w:t>
      </w:r>
    </w:p>
    <w:p w14:paraId="42BD3660">
      <w:pPr>
        <w:numPr>
          <w:ilvl w:val="0"/>
          <w:numId w:val="10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Alpha</w:t>
      </w:r>
      <w:r>
        <w:rPr>
          <w:rFonts w:hint="eastAsia" w:ascii="宋体" w:hAnsi="宋体" w:eastAsia="宋体" w:cs="宋体"/>
          <w:sz w:val="24"/>
          <w:szCs w:val="24"/>
        </w:rPr>
        <w:t>失效风险</w:t>
      </w:r>
    </w:p>
    <w:p w14:paraId="5EAF3F5C">
      <w:pPr>
        <w:numPr>
          <w:ilvl w:val="0"/>
          <w:numId w:val="10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杠杆风险</w:t>
      </w:r>
    </w:p>
    <w:p w14:paraId="1677C885">
      <w:pPr>
        <w:numPr>
          <w:ilvl w:val="0"/>
          <w:numId w:val="10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卖空风险</w:t>
      </w:r>
    </w:p>
    <w:p w14:paraId="530B63A4">
      <w:pPr>
        <w:numPr>
          <w:ilvl w:val="0"/>
          <w:numId w:val="10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融资成本风险</w:t>
      </w:r>
    </w:p>
    <w:p w14:paraId="202A7EE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虽然</w:t>
      </w:r>
      <w:r>
        <w:rPr>
          <w:rFonts w:hint="default" w:ascii="Times New Roman" w:hAnsi="Times New Roman" w:eastAsia="宋体" w:cs="Times New Roman"/>
          <w:sz w:val="24"/>
          <w:szCs w:val="24"/>
        </w:rPr>
        <w:t>Beta</w:t>
      </w:r>
      <w:r>
        <w:rPr>
          <w:rFonts w:hint="eastAsia" w:ascii="宋体" w:hAnsi="宋体" w:eastAsia="宋体" w:cs="宋体"/>
          <w:sz w:val="24"/>
          <w:szCs w:val="24"/>
        </w:rPr>
        <w:t>仅为</w:t>
      </w:r>
      <w:r>
        <w:rPr>
          <w:rFonts w:hint="default" w:ascii="Times New Roman" w:hAnsi="Times New Roman" w:eastAsia="宋体" w:cs="Times New Roman"/>
          <w:sz w:val="24"/>
          <w:szCs w:val="24"/>
        </w:rPr>
        <w:t>0.8139</w:t>
      </w:r>
      <w:r>
        <w:rPr>
          <w:rFonts w:hint="eastAsia" w:ascii="宋体" w:hAnsi="宋体" w:eastAsia="宋体" w:cs="宋体"/>
          <w:sz w:val="24"/>
          <w:szCs w:val="24"/>
        </w:rPr>
        <w:t>，但实际总风险并不低。 特别是</w:t>
      </w:r>
      <w:r>
        <w:rPr>
          <w:rFonts w:hint="default" w:ascii="Times New Roman" w:hAnsi="Times New Roman" w:eastAsia="宋体" w:cs="Times New Roman"/>
          <w:sz w:val="24"/>
          <w:szCs w:val="24"/>
        </w:rPr>
        <w:t>447%</w:t>
      </w:r>
      <w:r>
        <w:rPr>
          <w:rFonts w:hint="eastAsia" w:ascii="宋体" w:hAnsi="宋体" w:eastAsia="宋体" w:cs="宋体"/>
          <w:sz w:val="24"/>
          <w:szCs w:val="24"/>
        </w:rPr>
        <w:t>多头+</w:t>
      </w:r>
      <w:r>
        <w:rPr>
          <w:rFonts w:hint="default" w:ascii="Times New Roman" w:hAnsi="Times New Roman" w:eastAsia="宋体" w:cs="Times New Roman"/>
          <w:sz w:val="24"/>
          <w:szCs w:val="24"/>
        </w:rPr>
        <w:t>347%</w:t>
      </w:r>
      <w:r>
        <w:rPr>
          <w:rFonts w:hint="eastAsia" w:ascii="宋体" w:hAnsi="宋体" w:eastAsia="宋体" w:cs="宋体"/>
          <w:sz w:val="24"/>
          <w:szCs w:val="24"/>
        </w:rPr>
        <w:t>空头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属于典型的机构量化策略结构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普通投资者难以实现。</w:t>
      </w:r>
    </w:p>
    <w:p w14:paraId="7480D8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24B1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F580DD3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风险维度</w:t>
            </w:r>
          </w:p>
        </w:tc>
        <w:tc>
          <w:tcPr>
            <w:tcW w:w="2841" w:type="dxa"/>
          </w:tcPr>
          <w:p w14:paraId="013C7C5A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马科维茨模型</w:t>
            </w:r>
          </w:p>
        </w:tc>
        <w:tc>
          <w:tcPr>
            <w:tcW w:w="2841" w:type="dxa"/>
          </w:tcPr>
          <w:p w14:paraId="0C44697F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T-B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模型</w:t>
            </w:r>
          </w:p>
        </w:tc>
      </w:tr>
      <w:tr w14:paraId="5BEE8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5CB718C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市场风险</w:t>
            </w:r>
          </w:p>
        </w:tc>
        <w:tc>
          <w:tcPr>
            <w:tcW w:w="2841" w:type="dxa"/>
          </w:tcPr>
          <w:p w14:paraId="5C9572D0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中等</w:t>
            </w:r>
          </w:p>
        </w:tc>
        <w:tc>
          <w:tcPr>
            <w:tcW w:w="2841" w:type="dxa"/>
          </w:tcPr>
          <w:p w14:paraId="1DDEB263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较低</w:t>
            </w:r>
          </w:p>
        </w:tc>
      </w:tr>
      <w:tr w14:paraId="2DB25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7D52BB0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杠杆风险</w:t>
            </w:r>
          </w:p>
        </w:tc>
        <w:tc>
          <w:tcPr>
            <w:tcW w:w="2841" w:type="dxa"/>
          </w:tcPr>
          <w:p w14:paraId="1A69FD75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无</w:t>
            </w:r>
          </w:p>
        </w:tc>
        <w:tc>
          <w:tcPr>
            <w:tcW w:w="2841" w:type="dxa"/>
          </w:tcPr>
          <w:p w14:paraId="4C1F21D7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很高</w:t>
            </w:r>
          </w:p>
        </w:tc>
      </w:tr>
      <w:tr w14:paraId="114E0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D4FD6F5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流动性风险</w:t>
            </w:r>
          </w:p>
        </w:tc>
        <w:tc>
          <w:tcPr>
            <w:tcW w:w="2841" w:type="dxa"/>
          </w:tcPr>
          <w:p w14:paraId="2E533FB1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低</w:t>
            </w:r>
          </w:p>
        </w:tc>
        <w:tc>
          <w:tcPr>
            <w:tcW w:w="2841" w:type="dxa"/>
          </w:tcPr>
          <w:p w14:paraId="28656028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较高</w:t>
            </w:r>
          </w:p>
        </w:tc>
      </w:tr>
      <w:tr w14:paraId="0F8E2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840490C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实施难度</w:t>
            </w:r>
          </w:p>
        </w:tc>
        <w:tc>
          <w:tcPr>
            <w:tcW w:w="2841" w:type="dxa"/>
          </w:tcPr>
          <w:p w14:paraId="15318FB0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低</w:t>
            </w:r>
          </w:p>
        </w:tc>
        <w:tc>
          <w:tcPr>
            <w:tcW w:w="2841" w:type="dxa"/>
          </w:tcPr>
          <w:p w14:paraId="27E87FB4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高</w:t>
            </w:r>
          </w:p>
        </w:tc>
      </w:tr>
    </w:tbl>
    <w:p w14:paraId="21F7E0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6F3A4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因此，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T-B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组合的实际综合风险高于表面数据所示</w:t>
      </w:r>
    </w:p>
    <w:p w14:paraId="74700F44">
      <w:pPr>
        <w:rPr>
          <w:rFonts w:hint="eastAsia" w:ascii="宋体" w:hAnsi="宋体" w:eastAsia="宋体" w:cs="宋体"/>
          <w:sz w:val="24"/>
          <w:szCs w:val="24"/>
        </w:rPr>
      </w:pPr>
    </w:p>
    <w:p w14:paraId="0A90F09A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五、</w:t>
      </w:r>
      <w:r>
        <w:rPr>
          <w:rFonts w:hint="eastAsia" w:ascii="黑体" w:hAnsi="黑体" w:eastAsia="黑体" w:cs="黑体"/>
          <w:sz w:val="24"/>
          <w:szCs w:val="24"/>
        </w:rPr>
        <w:t>换手率比较</w:t>
      </w:r>
    </w:p>
    <w:p w14:paraId="616DAA12">
      <w:pPr>
        <w:rPr>
          <w:rFonts w:hint="eastAsia" w:ascii="宋体" w:hAnsi="宋体" w:eastAsia="宋体" w:cs="宋体"/>
          <w:sz w:val="24"/>
          <w:szCs w:val="24"/>
        </w:rPr>
      </w:pPr>
    </w:p>
    <w:p w14:paraId="135A704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虽然报告未直接给出换手率数据，但从模型特征可以推断：</w:t>
      </w:r>
    </w:p>
    <w:p w14:paraId="24A9A262">
      <w:pPr>
        <w:rPr>
          <w:rFonts w:hint="eastAsia" w:ascii="宋体" w:hAnsi="宋体" w:eastAsia="宋体" w:cs="宋体"/>
          <w:sz w:val="24"/>
          <w:szCs w:val="24"/>
        </w:rPr>
      </w:pPr>
    </w:p>
    <w:p w14:paraId="455D90E8">
      <w:pPr>
        <w:numPr>
          <w:ilvl w:val="0"/>
          <w:numId w:val="11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马科维茨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模型</w:t>
      </w:r>
    </w:p>
    <w:p w14:paraId="56841106">
      <w:pPr>
        <w:rPr>
          <w:rFonts w:hint="eastAsia" w:ascii="宋体" w:hAnsi="宋体" w:eastAsia="宋体" w:cs="宋体"/>
          <w:sz w:val="24"/>
          <w:szCs w:val="24"/>
        </w:rPr>
      </w:pPr>
    </w:p>
    <w:p w14:paraId="19F2F3D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权重主要由收益率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sz w:val="24"/>
          <w:szCs w:val="24"/>
        </w:rPr>
        <w:t>协方差矩阵决定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参数变化较慢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换手率相对较低。</w:t>
      </w:r>
    </w:p>
    <w:p w14:paraId="537221A6">
      <w:pPr>
        <w:rPr>
          <w:rFonts w:hint="eastAsia" w:ascii="宋体" w:hAnsi="宋体" w:eastAsia="宋体" w:cs="宋体"/>
          <w:sz w:val="24"/>
          <w:szCs w:val="24"/>
        </w:rPr>
      </w:pPr>
    </w:p>
    <w:p w14:paraId="4CA5E41C">
      <w:pPr>
        <w:numPr>
          <w:ilvl w:val="0"/>
          <w:numId w:val="11"/>
        </w:numPr>
        <w:ind w:left="425" w:leftChars="0" w:hanging="425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T-B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模型</w:t>
      </w:r>
    </w:p>
    <w:p w14:paraId="2A53D663">
      <w:pPr>
        <w:rPr>
          <w:rFonts w:hint="eastAsia" w:ascii="宋体" w:hAnsi="宋体" w:eastAsia="宋体" w:cs="宋体"/>
          <w:sz w:val="24"/>
          <w:szCs w:val="24"/>
        </w:rPr>
      </w:pPr>
    </w:p>
    <w:p w14:paraId="2233F72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Alpha</w:t>
      </w:r>
      <w:r>
        <w:rPr>
          <w:rFonts w:hint="eastAsia" w:ascii="宋体" w:hAnsi="宋体" w:eastAsia="宋体" w:cs="宋体"/>
          <w:sz w:val="24"/>
          <w:szCs w:val="24"/>
        </w:rPr>
        <w:t>需要不断重新估计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财报变化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行业景气变化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市场风格切换都会导致权重大幅调整。</w:t>
      </w:r>
    </w:p>
    <w:p w14:paraId="09F2976A">
      <w:pPr>
        <w:rPr>
          <w:rFonts w:hint="eastAsia" w:ascii="宋体" w:hAnsi="宋体" w:eastAsia="宋体" w:cs="宋体"/>
          <w:sz w:val="24"/>
          <w:szCs w:val="24"/>
        </w:rPr>
      </w:pPr>
    </w:p>
    <w:p w14:paraId="64D0BE5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因此</w:t>
      </w:r>
      <w:r>
        <w:rPr>
          <w:rFonts w:hint="default" w:ascii="Times New Roman" w:hAnsi="Times New Roman" w:eastAsia="宋体" w:cs="Times New Roman"/>
          <w:sz w:val="24"/>
          <w:szCs w:val="24"/>
        </w:rPr>
        <w:t>T-B</w:t>
      </w:r>
      <w:r>
        <w:rPr>
          <w:rFonts w:hint="eastAsia" w:ascii="宋体" w:hAnsi="宋体" w:eastAsia="宋体" w:cs="宋体"/>
          <w:sz w:val="24"/>
          <w:szCs w:val="24"/>
        </w:rPr>
        <w:t>模型通常具有更高换手率和更高交易成本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实际投资中可能削弱理论收益。</w:t>
      </w:r>
    </w:p>
    <w:p w14:paraId="3D825A3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</w:p>
    <w:p w14:paraId="3B742D47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六、</w:t>
      </w:r>
      <w:r>
        <w:rPr>
          <w:rFonts w:hint="eastAsia" w:ascii="黑体" w:hAnsi="黑体" w:eastAsia="黑体" w:cs="黑体"/>
          <w:sz w:val="24"/>
          <w:szCs w:val="24"/>
        </w:rPr>
        <w:t>为什么T-B模型理论上更优？</w:t>
      </w:r>
    </w:p>
    <w:p w14:paraId="2AB1B87F">
      <w:pPr>
        <w:rPr>
          <w:rFonts w:hint="eastAsia" w:ascii="黑体" w:hAnsi="黑体" w:eastAsia="黑体" w:cs="黑体"/>
          <w:sz w:val="24"/>
          <w:szCs w:val="24"/>
        </w:rPr>
      </w:pPr>
    </w:p>
    <w:p w14:paraId="7BCDE98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原因主要有三点：</w:t>
      </w:r>
    </w:p>
    <w:p w14:paraId="771C3E6B">
      <w:pPr>
        <w:rPr>
          <w:rFonts w:hint="eastAsia" w:ascii="宋体" w:hAnsi="宋体" w:eastAsia="宋体" w:cs="宋体"/>
          <w:sz w:val="24"/>
          <w:szCs w:val="24"/>
        </w:rPr>
      </w:pPr>
    </w:p>
    <w:p w14:paraId="5E38180C">
      <w:pPr>
        <w:numPr>
          <w:ilvl w:val="0"/>
          <w:numId w:val="12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利用了</w:t>
      </w:r>
      <w:r>
        <w:rPr>
          <w:rFonts w:hint="default" w:ascii="Times New Roman" w:hAnsi="Times New Roman" w:eastAsia="宋体" w:cs="Times New Roman"/>
          <w:sz w:val="24"/>
          <w:szCs w:val="24"/>
        </w:rPr>
        <w:t>Alpha</w:t>
      </w:r>
      <w:r>
        <w:rPr>
          <w:rFonts w:hint="eastAsia" w:ascii="宋体" w:hAnsi="宋体" w:eastAsia="宋体" w:cs="宋体"/>
          <w:sz w:val="24"/>
          <w:szCs w:val="24"/>
        </w:rPr>
        <w:t>信息</w:t>
      </w:r>
    </w:p>
    <w:p w14:paraId="5D15BF85">
      <w:pPr>
        <w:rPr>
          <w:rFonts w:hint="eastAsia" w:ascii="宋体" w:hAnsi="宋体" w:eastAsia="宋体" w:cs="宋体"/>
          <w:sz w:val="24"/>
          <w:szCs w:val="24"/>
        </w:rPr>
      </w:pPr>
    </w:p>
    <w:p w14:paraId="1E10E6D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马科维茨只看收益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</w:t>
      </w:r>
      <w:r>
        <w:rPr>
          <w:rFonts w:hint="eastAsia" w:ascii="宋体" w:hAnsi="宋体" w:eastAsia="宋体" w:cs="宋体"/>
          <w:sz w:val="24"/>
          <w:szCs w:val="24"/>
        </w:rPr>
        <w:t>风险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</w:rPr>
        <w:t>T-B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能</w:t>
      </w:r>
      <w:r>
        <w:rPr>
          <w:rFonts w:hint="eastAsia" w:ascii="宋体" w:hAnsi="宋体" w:eastAsia="宋体" w:cs="宋体"/>
          <w:sz w:val="24"/>
          <w:szCs w:val="24"/>
        </w:rPr>
        <w:t>进一步识别哪部分收益来自市场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sz w:val="24"/>
          <w:szCs w:val="24"/>
        </w:rPr>
        <w:t>哪部分收益来自选股能力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 xml:space="preserve">因此信息利用更充分。 </w:t>
      </w:r>
    </w:p>
    <w:p w14:paraId="26161EEC">
      <w:pPr>
        <w:rPr>
          <w:rFonts w:hint="eastAsia" w:ascii="宋体" w:hAnsi="宋体" w:eastAsia="宋体" w:cs="宋体"/>
          <w:sz w:val="24"/>
          <w:szCs w:val="24"/>
        </w:rPr>
      </w:pPr>
    </w:p>
    <w:p w14:paraId="2FF17951">
      <w:pPr>
        <w:numPr>
          <w:ilvl w:val="0"/>
          <w:numId w:val="12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系统风险与非系统风险分离</w:t>
      </w:r>
    </w:p>
    <w:p w14:paraId="253AE6D7">
      <w:pPr>
        <w:rPr>
          <w:rFonts w:hint="eastAsia" w:ascii="宋体" w:hAnsi="宋体" w:eastAsia="宋体" w:cs="宋体"/>
          <w:sz w:val="24"/>
          <w:szCs w:val="24"/>
        </w:rPr>
      </w:pPr>
    </w:p>
    <w:p w14:paraId="67232C9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T-B</w:t>
      </w:r>
      <w:r>
        <w:rPr>
          <w:rFonts w:hint="eastAsia" w:ascii="宋体" w:hAnsi="宋体" w:eastAsia="宋体" w:cs="宋体"/>
          <w:sz w:val="24"/>
          <w:szCs w:val="24"/>
        </w:rPr>
        <w:t>建立在单指数模型基础上：</w:t>
      </w:r>
    </w:p>
    <w:p w14:paraId="4AA6F3A4">
      <w:pPr>
        <w:numPr>
          <w:ilvl w:val="0"/>
          <w:numId w:val="13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Beta</w:t>
      </w:r>
      <w:r>
        <w:rPr>
          <w:rFonts w:hint="eastAsia" w:ascii="宋体" w:hAnsi="宋体" w:eastAsia="宋体" w:cs="宋体"/>
          <w:sz w:val="24"/>
          <w:szCs w:val="24"/>
        </w:rPr>
        <w:t>管理系统风险</w:t>
      </w:r>
    </w:p>
    <w:p w14:paraId="2E1BF9C9">
      <w:pPr>
        <w:numPr>
          <w:ilvl w:val="0"/>
          <w:numId w:val="13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Alpha</w:t>
      </w:r>
      <w:r>
        <w:rPr>
          <w:rFonts w:hint="eastAsia" w:ascii="宋体" w:hAnsi="宋体" w:eastAsia="宋体" w:cs="宋体"/>
          <w:sz w:val="24"/>
          <w:szCs w:val="24"/>
        </w:rPr>
        <w:t>捕获超额收益</w:t>
      </w:r>
    </w:p>
    <w:p w14:paraId="773A7184">
      <w:pPr>
        <w:rPr>
          <w:rFonts w:hint="eastAsia" w:ascii="宋体" w:hAnsi="宋体" w:eastAsia="宋体" w:cs="宋体"/>
          <w:sz w:val="24"/>
          <w:szCs w:val="24"/>
        </w:rPr>
      </w:pPr>
    </w:p>
    <w:p w14:paraId="5C41266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逻辑更加符合现代主动投资框架。</w:t>
      </w:r>
    </w:p>
    <w:p w14:paraId="0EB235A7">
      <w:pPr>
        <w:rPr>
          <w:rFonts w:hint="eastAsia" w:ascii="宋体" w:hAnsi="宋体" w:eastAsia="宋体" w:cs="宋体"/>
          <w:sz w:val="24"/>
          <w:szCs w:val="24"/>
        </w:rPr>
      </w:pPr>
    </w:p>
    <w:p w14:paraId="1B6B5477">
      <w:pPr>
        <w:numPr>
          <w:ilvl w:val="0"/>
          <w:numId w:val="12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允许市场中性配置</w:t>
      </w:r>
    </w:p>
    <w:p w14:paraId="10D65942">
      <w:pPr>
        <w:rPr>
          <w:rFonts w:hint="eastAsia" w:ascii="宋体" w:hAnsi="宋体" w:eastAsia="宋体" w:cs="宋体"/>
          <w:sz w:val="24"/>
          <w:szCs w:val="24"/>
        </w:rPr>
      </w:pPr>
    </w:p>
    <w:p w14:paraId="2F023B9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通过做多优质股票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sz w:val="24"/>
          <w:szCs w:val="24"/>
        </w:rPr>
        <w:t>做空市场指数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获得纯</w:t>
      </w:r>
      <w:r>
        <w:rPr>
          <w:rFonts w:hint="default" w:ascii="Times New Roman" w:hAnsi="Times New Roman" w:eastAsia="宋体" w:cs="Times New Roman"/>
          <w:sz w:val="24"/>
          <w:szCs w:val="24"/>
        </w:rPr>
        <w:t>Alpha</w:t>
      </w:r>
      <w:r>
        <w:rPr>
          <w:rFonts w:hint="eastAsia" w:ascii="宋体" w:hAnsi="宋体" w:eastAsia="宋体" w:cs="宋体"/>
          <w:sz w:val="24"/>
          <w:szCs w:val="24"/>
        </w:rPr>
        <w:t>收益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这是许多对冲基金采用的核心思路。</w:t>
      </w:r>
    </w:p>
    <w:p w14:paraId="539BB6DA">
      <w:pPr>
        <w:rPr>
          <w:rFonts w:hint="eastAsia" w:ascii="宋体" w:hAnsi="宋体" w:eastAsia="宋体" w:cs="宋体"/>
          <w:sz w:val="24"/>
          <w:szCs w:val="24"/>
        </w:rPr>
      </w:pPr>
    </w:p>
    <w:p w14:paraId="70DBE32F">
      <w:pPr>
        <w:numPr>
          <w:ilvl w:val="0"/>
          <w:numId w:val="14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模型局限性</w:t>
      </w:r>
    </w:p>
    <w:p w14:paraId="4893E49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BF0FF7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本文两种模型均基于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2020—2025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年的历史样本数据构建，未进行独立的样本外检验，因此无法直接验证模型在未来市场环境中的表现。</w:t>
      </w:r>
    </w:p>
    <w:p w14:paraId="420EA23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C52F3E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此外，本文还存在以下局限性：</w:t>
      </w:r>
    </w:p>
    <w:p w14:paraId="66800C6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6B0387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（1）未考虑交易成本和税费影响；</w:t>
      </w:r>
    </w:p>
    <w:p w14:paraId="2D0C3C7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3C5CED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（2）未考虑组合动态再平衡成本；</w:t>
      </w:r>
    </w:p>
    <w:p w14:paraId="61BDC96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F71539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（3）未考虑流动性约束和融资融券限制；</w:t>
      </w:r>
    </w:p>
    <w:p w14:paraId="05BB6F1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7A7FEE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（4）未考虑市场风格轮动和宏观经济环境变化。</w:t>
      </w:r>
    </w:p>
    <w:p w14:paraId="56711CE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9C25728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因此，研究结果更多反映模型在历史样本期间的配置效果，而非未来收益的保证。</w:t>
      </w:r>
    </w:p>
    <w:p w14:paraId="2C779FB7">
      <w:pPr>
        <w:rPr>
          <w:rFonts w:hint="eastAsia" w:ascii="宋体" w:hAnsi="宋体" w:eastAsia="宋体" w:cs="宋体"/>
          <w:sz w:val="24"/>
          <w:szCs w:val="24"/>
        </w:rPr>
      </w:pPr>
    </w:p>
    <w:p w14:paraId="4687A8A2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八、</w:t>
      </w:r>
      <w:r>
        <w:rPr>
          <w:rFonts w:hint="eastAsia" w:ascii="黑体" w:hAnsi="黑体" w:eastAsia="黑体" w:cs="黑体"/>
          <w:sz w:val="24"/>
          <w:szCs w:val="24"/>
        </w:rPr>
        <w:t>最终投资建议</w:t>
      </w:r>
    </w:p>
    <w:p w14:paraId="7972B64B">
      <w:pPr>
        <w:rPr>
          <w:rFonts w:hint="eastAsia" w:ascii="宋体" w:hAnsi="宋体" w:eastAsia="宋体" w:cs="宋体"/>
          <w:sz w:val="24"/>
          <w:szCs w:val="24"/>
        </w:rPr>
      </w:pPr>
    </w:p>
    <w:p w14:paraId="34F9C18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综合考虑样本内收益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样本外稳定性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行业分散度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风险暴露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换手率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实际可操作性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的因素。</w:t>
      </w:r>
    </w:p>
    <w:p w14:paraId="28DB93DE">
      <w:pPr>
        <w:rPr>
          <w:rFonts w:hint="eastAsia" w:ascii="宋体" w:hAnsi="宋体" w:eastAsia="宋体" w:cs="宋体"/>
          <w:sz w:val="24"/>
          <w:szCs w:val="24"/>
        </w:rPr>
      </w:pPr>
    </w:p>
    <w:p w14:paraId="10DACF2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结论如下：</w:t>
      </w:r>
    </w:p>
    <w:p w14:paraId="273534D3">
      <w:pPr>
        <w:rPr>
          <w:rFonts w:hint="eastAsia" w:ascii="宋体" w:hAnsi="宋体" w:eastAsia="宋体" w:cs="宋体"/>
          <w:sz w:val="24"/>
          <w:szCs w:val="24"/>
        </w:rPr>
      </w:pPr>
    </w:p>
    <w:p w14:paraId="7ACAB16C">
      <w:pPr>
        <w:numPr>
          <w:ilvl w:val="0"/>
          <w:numId w:val="15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对普通投资者</w:t>
      </w:r>
    </w:p>
    <w:p w14:paraId="772BD9D3">
      <w:pPr>
        <w:rPr>
          <w:rFonts w:hint="eastAsia" w:ascii="宋体" w:hAnsi="宋体" w:eastAsia="宋体" w:cs="宋体"/>
          <w:sz w:val="24"/>
          <w:szCs w:val="24"/>
        </w:rPr>
      </w:pPr>
    </w:p>
    <w:p w14:paraId="14665BD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对于风险承受能力中等且无法进行杠杆和卖空操作的普通投资者，建议</w:t>
      </w:r>
      <w:r>
        <w:rPr>
          <w:rFonts w:hint="eastAsia" w:ascii="宋体" w:hAnsi="宋体" w:eastAsia="宋体" w:cs="宋体"/>
          <w:sz w:val="24"/>
          <w:szCs w:val="24"/>
        </w:rPr>
        <w:t>优先选择马科维茨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最优</w:t>
      </w:r>
      <w:r>
        <w:rPr>
          <w:rFonts w:hint="eastAsia" w:ascii="宋体" w:hAnsi="宋体" w:eastAsia="宋体" w:cs="宋体"/>
          <w:sz w:val="24"/>
          <w:szCs w:val="24"/>
        </w:rPr>
        <w:t>组合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进行资产配置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721692A8">
      <w:pPr>
        <w:rPr>
          <w:rFonts w:hint="eastAsia" w:ascii="宋体" w:hAnsi="宋体" w:eastAsia="宋体" w:cs="宋体"/>
          <w:sz w:val="24"/>
          <w:szCs w:val="24"/>
        </w:rPr>
      </w:pPr>
    </w:p>
    <w:p w14:paraId="5930176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原因：</w:t>
      </w:r>
    </w:p>
    <w:p w14:paraId="7E434DD6">
      <w:pPr>
        <w:numPr>
          <w:ilvl w:val="0"/>
          <w:numId w:val="16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不需要杠杆</w:t>
      </w:r>
    </w:p>
    <w:p w14:paraId="4305EFDA">
      <w:pPr>
        <w:numPr>
          <w:ilvl w:val="0"/>
          <w:numId w:val="16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不需要卖空</w:t>
      </w:r>
    </w:p>
    <w:p w14:paraId="00C2227F">
      <w:pPr>
        <w:numPr>
          <w:ilvl w:val="0"/>
          <w:numId w:val="16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风险可控</w:t>
      </w:r>
    </w:p>
    <w:p w14:paraId="32D74B15">
      <w:pPr>
        <w:numPr>
          <w:ilvl w:val="0"/>
          <w:numId w:val="16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实施简单</w:t>
      </w:r>
    </w:p>
    <w:p w14:paraId="6DF1DCB2">
      <w:pPr>
        <w:numPr>
          <w:ilvl w:val="0"/>
          <w:numId w:val="16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交易成本低</w:t>
      </w:r>
    </w:p>
    <w:p w14:paraId="7F1E44A3">
      <w:pPr>
        <w:rPr>
          <w:rFonts w:hint="eastAsia" w:ascii="宋体" w:hAnsi="宋体" w:eastAsia="宋体" w:cs="宋体"/>
          <w:sz w:val="24"/>
          <w:szCs w:val="24"/>
        </w:rPr>
      </w:pPr>
    </w:p>
    <w:p w14:paraId="302667F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更符合现实投资环境。</w:t>
      </w:r>
    </w:p>
    <w:p w14:paraId="6209E5B3">
      <w:pPr>
        <w:rPr>
          <w:rFonts w:hint="eastAsia" w:ascii="宋体" w:hAnsi="宋体" w:eastAsia="宋体" w:cs="宋体"/>
          <w:sz w:val="24"/>
          <w:szCs w:val="24"/>
        </w:rPr>
      </w:pPr>
    </w:p>
    <w:p w14:paraId="18936A9F">
      <w:pPr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建议配置方案：</w:t>
      </w:r>
    </w:p>
    <w:tbl>
      <w:tblPr>
        <w:tblStyle w:val="5"/>
        <w:tblW w:w="0" w:type="auto"/>
        <w:jc w:val="center"/>
        <w:tblBorders>
          <w:top w:val="single" w:color="5B9BD5" w:themeColor="accent1" w:sz="8" w:space="0"/>
          <w:left w:val="none" w:color="auto" w:sz="0" w:space="0"/>
          <w:bottom w:val="single" w:color="5B9BD5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3"/>
        <w:gridCol w:w="4269"/>
      </w:tblGrid>
      <w:tr w14:paraId="2911A4C6">
        <w:tblPrEx>
          <w:tblBorders>
            <w:top w:val="single" w:color="5B9BD5" w:themeColor="accent1" w:sz="8" w:space="0"/>
            <w:left w:val="none" w:color="auto" w:sz="0" w:space="0"/>
            <w:bottom w:val="single" w:color="5B9BD5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4419" w:type="dxa"/>
          </w:tcPr>
          <w:p w14:paraId="584B640E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股票</w:t>
            </w:r>
          </w:p>
        </w:tc>
        <w:tc>
          <w:tcPr>
            <w:tcW w:w="4419" w:type="dxa"/>
          </w:tcPr>
          <w:p w14:paraId="45DBAA6D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权重</w:t>
            </w:r>
          </w:p>
        </w:tc>
      </w:tr>
      <w:tr w14:paraId="2A609861">
        <w:tblPrEx>
          <w:tblBorders>
            <w:top w:val="single" w:color="5B9BD5" w:themeColor="accent1" w:sz="8" w:space="0"/>
            <w:left w:val="none" w:color="auto" w:sz="0" w:space="0"/>
            <w:bottom w:val="single" w:color="5B9BD5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06848A0A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宁德时代</w:t>
            </w:r>
          </w:p>
        </w:tc>
        <w:tc>
          <w:tcPr>
            <w:tcW w:w="4419" w:type="dxa"/>
          </w:tcPr>
          <w:p w14:paraId="56BA330C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25.0%</w:t>
            </w:r>
          </w:p>
        </w:tc>
      </w:tr>
      <w:tr w14:paraId="45DDA5E4">
        <w:tblPrEx>
          <w:tblBorders>
            <w:top w:val="single" w:color="5B9BD5" w:themeColor="accent1" w:sz="8" w:space="0"/>
            <w:left w:val="none" w:color="auto" w:sz="0" w:space="0"/>
            <w:bottom w:val="single" w:color="5B9BD5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732981B7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赣锋锂业</w:t>
            </w:r>
          </w:p>
        </w:tc>
        <w:tc>
          <w:tcPr>
            <w:tcW w:w="4419" w:type="dxa"/>
          </w:tcPr>
          <w:p w14:paraId="79152CCE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15.0%</w:t>
            </w:r>
          </w:p>
        </w:tc>
      </w:tr>
      <w:tr w14:paraId="590F549D">
        <w:tblPrEx>
          <w:tblBorders>
            <w:top w:val="single" w:color="5B9BD5" w:themeColor="accent1" w:sz="8" w:space="0"/>
            <w:left w:val="none" w:color="auto" w:sz="0" w:space="0"/>
            <w:bottom w:val="single" w:color="5B9BD5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726FA9EF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隆基绿能</w:t>
            </w:r>
          </w:p>
        </w:tc>
        <w:tc>
          <w:tcPr>
            <w:tcW w:w="4419" w:type="dxa"/>
          </w:tcPr>
          <w:p w14:paraId="673BA095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15.0%</w:t>
            </w:r>
          </w:p>
        </w:tc>
      </w:tr>
      <w:tr w14:paraId="17C41D26">
        <w:tblPrEx>
          <w:tblBorders>
            <w:top w:val="single" w:color="5B9BD5" w:themeColor="accent1" w:sz="8" w:space="0"/>
            <w:left w:val="none" w:color="auto" w:sz="0" w:space="0"/>
            <w:bottom w:val="single" w:color="5B9BD5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69198146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长江电力</w:t>
            </w:r>
          </w:p>
        </w:tc>
        <w:tc>
          <w:tcPr>
            <w:tcW w:w="4419" w:type="dxa"/>
          </w:tcPr>
          <w:p w14:paraId="22513708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11.6%</w:t>
            </w:r>
          </w:p>
        </w:tc>
      </w:tr>
      <w:tr w14:paraId="45EB1000">
        <w:tblPrEx>
          <w:tblBorders>
            <w:top w:val="single" w:color="5B9BD5" w:themeColor="accent1" w:sz="8" w:space="0"/>
            <w:left w:val="none" w:color="auto" w:sz="0" w:space="0"/>
            <w:bottom w:val="single" w:color="5B9BD5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7A4CD26F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工商银行</w:t>
            </w:r>
          </w:p>
        </w:tc>
        <w:tc>
          <w:tcPr>
            <w:tcW w:w="4419" w:type="dxa"/>
          </w:tcPr>
          <w:p w14:paraId="1AB6C914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13.0%</w:t>
            </w:r>
          </w:p>
        </w:tc>
      </w:tr>
      <w:tr w14:paraId="6AC07E35">
        <w:tblPrEx>
          <w:tblBorders>
            <w:top w:val="single" w:color="5B9BD5" w:themeColor="accent1" w:sz="8" w:space="0"/>
            <w:left w:val="none" w:color="auto" w:sz="0" w:space="0"/>
            <w:bottom w:val="single" w:color="5B9BD5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1977FD44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招商银行</w:t>
            </w:r>
          </w:p>
        </w:tc>
        <w:tc>
          <w:tcPr>
            <w:tcW w:w="4419" w:type="dxa"/>
          </w:tcPr>
          <w:p w14:paraId="1408AAC6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12.0%</w:t>
            </w:r>
          </w:p>
        </w:tc>
      </w:tr>
      <w:tr w14:paraId="6DC5991B">
        <w:tblPrEx>
          <w:tblBorders>
            <w:top w:val="single" w:color="5B9BD5" w:themeColor="accent1" w:sz="8" w:space="0"/>
            <w:left w:val="none" w:color="auto" w:sz="0" w:space="0"/>
            <w:bottom w:val="single" w:color="5B9BD5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57F4A188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长电科技</w:t>
            </w:r>
          </w:p>
        </w:tc>
        <w:tc>
          <w:tcPr>
            <w:tcW w:w="4419" w:type="dxa"/>
          </w:tcPr>
          <w:p w14:paraId="231A8E9B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8.4%</w:t>
            </w:r>
          </w:p>
        </w:tc>
      </w:tr>
    </w:tbl>
    <w:p w14:paraId="01A6176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E66DA4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需要注意的是，该组合对新能源行业配置比例较高，投资者应根据市场环境变化定期再平衡，并关注行业景气度变化对组合收益的影响。</w:t>
      </w:r>
    </w:p>
    <w:p w14:paraId="623085F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ABC804C">
      <w:pPr>
        <w:numPr>
          <w:ilvl w:val="0"/>
          <w:numId w:val="15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对机构投资者或量化基金</w:t>
      </w:r>
    </w:p>
    <w:p w14:paraId="18AECEEB">
      <w:pPr>
        <w:rPr>
          <w:rFonts w:hint="eastAsia" w:ascii="宋体" w:hAnsi="宋体" w:eastAsia="宋体" w:cs="宋体"/>
          <w:sz w:val="24"/>
          <w:szCs w:val="24"/>
        </w:rPr>
      </w:pPr>
    </w:p>
    <w:p w14:paraId="7DABC5D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可采用</w:t>
      </w:r>
      <w:r>
        <w:rPr>
          <w:rFonts w:hint="default" w:ascii="Times New Roman" w:hAnsi="Times New Roman" w:eastAsia="宋体" w:cs="Times New Roman"/>
          <w:sz w:val="24"/>
          <w:szCs w:val="24"/>
        </w:rPr>
        <w:t>T-B</w:t>
      </w:r>
      <w:r>
        <w:rPr>
          <w:rFonts w:hint="eastAsia" w:ascii="宋体" w:hAnsi="宋体" w:eastAsia="宋体" w:cs="宋体"/>
          <w:sz w:val="24"/>
          <w:szCs w:val="24"/>
        </w:rPr>
        <w:t>模型思想。</w:t>
      </w:r>
    </w:p>
    <w:p w14:paraId="0F955F76">
      <w:pPr>
        <w:rPr>
          <w:rFonts w:hint="eastAsia" w:ascii="宋体" w:hAnsi="宋体" w:eastAsia="宋体" w:cs="宋体"/>
          <w:sz w:val="24"/>
          <w:szCs w:val="24"/>
        </w:rPr>
      </w:pPr>
    </w:p>
    <w:p w14:paraId="1DEB997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但建议限制杠杆倍数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设置行业权重上限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并</w:t>
      </w:r>
      <w:r>
        <w:rPr>
          <w:rFonts w:hint="eastAsia" w:ascii="宋体" w:hAnsi="宋体" w:eastAsia="宋体" w:cs="宋体"/>
          <w:sz w:val="24"/>
          <w:szCs w:val="24"/>
        </w:rPr>
        <w:t>定期检验</w:t>
      </w:r>
      <w:r>
        <w:rPr>
          <w:rFonts w:hint="default" w:ascii="Times New Roman" w:hAnsi="Times New Roman" w:eastAsia="宋体" w:cs="Times New Roman"/>
          <w:sz w:val="24"/>
          <w:szCs w:val="24"/>
        </w:rPr>
        <w:t>Alpha</w:t>
      </w:r>
      <w:r>
        <w:rPr>
          <w:rFonts w:hint="eastAsia" w:ascii="宋体" w:hAnsi="宋体" w:eastAsia="宋体" w:cs="宋体"/>
          <w:sz w:val="24"/>
          <w:szCs w:val="24"/>
        </w:rPr>
        <w:t>持续性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避免出现</w:t>
      </w:r>
      <w:r>
        <w:rPr>
          <w:rFonts w:hint="default" w:ascii="Times New Roman" w:hAnsi="Times New Roman" w:eastAsia="宋体" w:cs="Times New Roman"/>
          <w:sz w:val="24"/>
          <w:szCs w:val="24"/>
        </w:rPr>
        <w:t>Alpha</w:t>
      </w:r>
      <w:r>
        <w:rPr>
          <w:rFonts w:hint="eastAsia" w:ascii="宋体" w:hAnsi="宋体" w:eastAsia="宋体" w:cs="宋体"/>
          <w:sz w:val="24"/>
          <w:szCs w:val="24"/>
        </w:rPr>
        <w:t>失效导致组合崩溃。</w:t>
      </w:r>
    </w:p>
    <w:p w14:paraId="250AC8E9">
      <w:pPr>
        <w:rPr>
          <w:rFonts w:hint="eastAsia" w:ascii="宋体" w:hAnsi="宋体" w:eastAsia="宋体" w:cs="宋体"/>
          <w:b/>
          <w:bCs/>
          <w:sz w:val="24"/>
          <w:szCs w:val="24"/>
        </w:rPr>
      </w:pPr>
    </w:p>
    <w:p w14:paraId="4B887AB1">
      <w:p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最终结论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</w:p>
    <w:p w14:paraId="5C2EA609">
      <w:p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</w:p>
    <w:p w14:paraId="01053B3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从理论收益能力来看，</w:t>
      </w:r>
      <w:r>
        <w:rPr>
          <w:rFonts w:hint="default" w:ascii="Times New Roman" w:hAnsi="Times New Roman" w:eastAsia="宋体" w:cs="Times New Roman"/>
          <w:sz w:val="24"/>
          <w:szCs w:val="24"/>
        </w:rPr>
        <w:t>Treynor-Black</w:t>
      </w:r>
      <w:r>
        <w:rPr>
          <w:rFonts w:hint="eastAsia" w:ascii="宋体" w:hAnsi="宋体" w:eastAsia="宋体" w:cs="宋体"/>
          <w:sz w:val="24"/>
          <w:szCs w:val="24"/>
        </w:rPr>
        <w:t>组合更优，因为其充分利用了个股</w:t>
      </w:r>
      <w:r>
        <w:rPr>
          <w:rFonts w:hint="default" w:ascii="Times New Roman" w:hAnsi="Times New Roman" w:eastAsia="宋体" w:cs="Times New Roman"/>
          <w:sz w:val="24"/>
          <w:szCs w:val="24"/>
        </w:rPr>
        <w:t>Alpha</w:t>
      </w:r>
      <w:r>
        <w:rPr>
          <w:rFonts w:hint="eastAsia" w:ascii="宋体" w:hAnsi="宋体" w:eastAsia="宋体" w:cs="宋体"/>
          <w:sz w:val="24"/>
          <w:szCs w:val="24"/>
        </w:rPr>
        <w:t>并引入市场对冲机制；但从样本外稳定性和现实可操作性来看，马科维茨最优组合更具优势。对于大多数投资者而言，推荐采用马科维茨组合或在其基础上引入适度</w:t>
      </w:r>
      <w:r>
        <w:rPr>
          <w:rFonts w:hint="default" w:ascii="Times New Roman" w:hAnsi="Times New Roman" w:eastAsia="宋体" w:cs="Times New Roman"/>
          <w:sz w:val="24"/>
          <w:szCs w:val="24"/>
        </w:rPr>
        <w:t>Alpha</w:t>
      </w:r>
      <w:r>
        <w:rPr>
          <w:rFonts w:hint="eastAsia" w:ascii="宋体" w:hAnsi="宋体" w:eastAsia="宋体" w:cs="宋体"/>
          <w:sz w:val="24"/>
          <w:szCs w:val="24"/>
        </w:rPr>
        <w:t>筛选，而非直接使用</w:t>
      </w:r>
      <w:r>
        <w:rPr>
          <w:rFonts w:hint="default" w:ascii="Times New Roman" w:hAnsi="Times New Roman" w:eastAsia="宋体" w:cs="Times New Roman"/>
          <w:sz w:val="24"/>
          <w:szCs w:val="24"/>
        </w:rPr>
        <w:t>447%</w:t>
      </w:r>
      <w:r>
        <w:rPr>
          <w:rFonts w:hint="eastAsia" w:ascii="宋体" w:hAnsi="宋体" w:eastAsia="宋体" w:cs="宋体"/>
          <w:sz w:val="24"/>
          <w:szCs w:val="24"/>
        </w:rPr>
        <w:t>杠杆和</w:t>
      </w:r>
      <w:r>
        <w:rPr>
          <w:rFonts w:hint="default" w:ascii="Times New Roman" w:hAnsi="Times New Roman" w:eastAsia="宋体" w:cs="Times New Roman"/>
          <w:sz w:val="24"/>
          <w:szCs w:val="24"/>
        </w:rPr>
        <w:t>347%</w:t>
      </w:r>
      <w:r>
        <w:rPr>
          <w:rFonts w:hint="eastAsia" w:ascii="宋体" w:hAnsi="宋体" w:eastAsia="宋体" w:cs="宋体"/>
          <w:sz w:val="24"/>
          <w:szCs w:val="24"/>
        </w:rPr>
        <w:t>卖空的</w:t>
      </w:r>
      <w:r>
        <w:rPr>
          <w:rFonts w:hint="default" w:ascii="Times New Roman" w:hAnsi="Times New Roman" w:eastAsia="宋体" w:cs="Times New Roman"/>
          <w:sz w:val="24"/>
          <w:szCs w:val="24"/>
        </w:rPr>
        <w:t>Treynor-Black</w:t>
      </w:r>
      <w:r>
        <w:rPr>
          <w:rFonts w:hint="eastAsia" w:ascii="宋体" w:hAnsi="宋体" w:eastAsia="宋体" w:cs="宋体"/>
          <w:sz w:val="24"/>
          <w:szCs w:val="24"/>
        </w:rPr>
        <w:t>极端配置方案。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7CEC2B"/>
    <w:multiLevelType w:val="singleLevel"/>
    <w:tmpl w:val="8E7CEC2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99125000"/>
    <w:multiLevelType w:val="singleLevel"/>
    <w:tmpl w:val="9912500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7F8E8A8"/>
    <w:multiLevelType w:val="singleLevel"/>
    <w:tmpl w:val="A7F8E8A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ADCDC982"/>
    <w:multiLevelType w:val="singleLevel"/>
    <w:tmpl w:val="ADCDC98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1F83D4F"/>
    <w:multiLevelType w:val="singleLevel"/>
    <w:tmpl w:val="B1F83D4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B6688A22"/>
    <w:multiLevelType w:val="singleLevel"/>
    <w:tmpl w:val="B6688A2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>
    <w:nsid w:val="C050E56C"/>
    <w:multiLevelType w:val="singleLevel"/>
    <w:tmpl w:val="C050E56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D3777300"/>
    <w:multiLevelType w:val="singleLevel"/>
    <w:tmpl w:val="D377730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>
    <w:nsid w:val="E9AF8807"/>
    <w:multiLevelType w:val="singleLevel"/>
    <w:tmpl w:val="E9AF8807"/>
    <w:lvl w:ilvl="0" w:tentative="0">
      <w:start w:val="7"/>
      <w:numFmt w:val="chineseCounting"/>
      <w:suff w:val="nothing"/>
      <w:lvlText w:val="%1、"/>
      <w:lvlJc w:val="left"/>
      <w:rPr>
        <w:rFonts w:hint="eastAsia" w:ascii="黑体" w:hAnsi="黑体" w:eastAsia="黑体" w:cs="黑体"/>
        <w:sz w:val="24"/>
        <w:szCs w:val="24"/>
      </w:rPr>
    </w:lvl>
  </w:abstractNum>
  <w:abstractNum w:abstractNumId="9">
    <w:nsid w:val="08AD5877"/>
    <w:multiLevelType w:val="singleLevel"/>
    <w:tmpl w:val="08AD587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0">
    <w:nsid w:val="376A1178"/>
    <w:multiLevelType w:val="singleLevel"/>
    <w:tmpl w:val="376A117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1">
    <w:nsid w:val="5A45FDC7"/>
    <w:multiLevelType w:val="singleLevel"/>
    <w:tmpl w:val="5A45FDC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5D705E47"/>
    <w:multiLevelType w:val="singleLevel"/>
    <w:tmpl w:val="5D705E4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3">
    <w:nsid w:val="6978D96B"/>
    <w:multiLevelType w:val="singleLevel"/>
    <w:tmpl w:val="6978D96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4">
    <w:nsid w:val="79D31E21"/>
    <w:multiLevelType w:val="singleLevel"/>
    <w:tmpl w:val="79D31E2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5">
    <w:nsid w:val="7A9625F2"/>
    <w:multiLevelType w:val="singleLevel"/>
    <w:tmpl w:val="7A9625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5"/>
  </w:num>
  <w:num w:numId="2">
    <w:abstractNumId w:val="13"/>
  </w:num>
  <w:num w:numId="3">
    <w:abstractNumId w:val="12"/>
  </w:num>
  <w:num w:numId="4">
    <w:abstractNumId w:val="6"/>
  </w:num>
  <w:num w:numId="5">
    <w:abstractNumId w:val="5"/>
  </w:num>
  <w:num w:numId="6">
    <w:abstractNumId w:val="10"/>
  </w:num>
  <w:num w:numId="7">
    <w:abstractNumId w:val="4"/>
  </w:num>
  <w:num w:numId="8">
    <w:abstractNumId w:val="9"/>
  </w:num>
  <w:num w:numId="9">
    <w:abstractNumId w:val="0"/>
  </w:num>
  <w:num w:numId="10">
    <w:abstractNumId w:val="14"/>
  </w:num>
  <w:num w:numId="11">
    <w:abstractNumId w:val="11"/>
  </w:num>
  <w:num w:numId="12">
    <w:abstractNumId w:val="3"/>
  </w:num>
  <w:num w:numId="13">
    <w:abstractNumId w:val="2"/>
  </w:num>
  <w:num w:numId="14">
    <w:abstractNumId w:val="8"/>
  </w:num>
  <w:num w:numId="15">
    <w:abstractNumId w:val="1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EB09D4"/>
    <w:rsid w:val="0FEA5A8B"/>
    <w:rsid w:val="10A330F5"/>
    <w:rsid w:val="126458B4"/>
    <w:rsid w:val="2DC35AEA"/>
    <w:rsid w:val="4695393B"/>
    <w:rsid w:val="509E227E"/>
    <w:rsid w:val="75155C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5">
    <w:name w:val="Light Shading Accent 1"/>
    <w:basedOn w:val="3"/>
    <w:qFormat/>
    <w:uiPriority w:val="60"/>
    <w:pPr>
      <w:spacing w:after="0" w:line="240" w:lineRule="auto"/>
    </w:pPr>
    <w:rPr>
      <w:color w:val="2E75B6"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2180</Words>
  <Characters>2511</Characters>
  <Lines>0</Lines>
  <Paragraphs>0</Paragraphs>
  <TotalTime>46</TotalTime>
  <ScaleCrop>false</ScaleCrop>
  <LinksUpToDate>false</LinksUpToDate>
  <CharactersWithSpaces>2523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2026-06-10T19:53:00Z</dcterms:created>
  <dc:creator>iPhone</dc:creator>
  <cp:lastModifiedBy>怡</cp:lastModifiedBy>
  <dcterms:modified xsi:type="dcterms:W3CDTF">2026-06-11T06:00:03Z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513D4D22759641EB4E50296AE5E1F2A7_31</vt:lpwstr>
  </property>
  <property fmtid="{D5CDD505-2E9C-101B-9397-08002B2CF9AE}" pid="4" name="KSOTemplateDocerSaveRecord">
    <vt:lpwstr>eyJoZGlkIjoiMDljYzUzMWQ4OWI0YzBkYjYzMDRhZTY5ZjZkYmFmYTgiLCJ1c2VySWQiOiIxMzI3MzYwNDMwIn0=</vt:lpwstr>
  </property>
</Properties>
</file>