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CA07">
      <w:pPr>
        <w:pStyle w:val="2"/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A1A2E"/>
          <w:sz w:val="30"/>
          <w:szCs w:val="30"/>
        </w:rPr>
        <w:t>基于T-</w:t>
      </w:r>
      <w:r>
        <w:rPr>
          <w:rFonts w:hint="eastAsia" w:ascii="黑体" w:hAnsi="黑体" w:eastAsia="黑体" w:cs="黑体"/>
          <w:b w:val="0"/>
          <w:bCs w:val="0"/>
          <w:color w:val="1A1A2E"/>
          <w:sz w:val="30"/>
          <w:szCs w:val="30"/>
          <w:lang w:val="en-US" w:eastAsia="zh-CN"/>
        </w:rPr>
        <w:t>B</w:t>
      </w:r>
      <w:r>
        <w:rPr>
          <w:rFonts w:hint="eastAsia" w:ascii="黑体" w:hAnsi="黑体" w:eastAsia="黑体" w:cs="黑体"/>
          <w:b w:val="0"/>
          <w:bCs w:val="0"/>
          <w:color w:val="1A1A2E"/>
          <w:sz w:val="30"/>
          <w:szCs w:val="30"/>
        </w:rPr>
        <w:t>模型与马科维茨模型的股票组合对比分析报告</w:t>
      </w:r>
    </w:p>
    <w:p w14:paraId="670A6120">
      <w:pPr>
        <w:rPr>
          <w:rFonts w:hint="eastAsia" w:ascii="黑体" w:hAnsi="黑体" w:eastAsia="黑体" w:cs="黑体"/>
          <w:b w:val="0"/>
          <w:bCs w:val="0"/>
          <w:sz w:val="30"/>
          <w:szCs w:val="30"/>
        </w:rPr>
      </w:pPr>
    </w:p>
    <w:p w14:paraId="2B243051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一、</w:t>
      </w:r>
      <w:r>
        <w:rPr>
          <w:rFonts w:hint="eastAsia" w:ascii="黑体" w:hAnsi="黑体" w:eastAsia="黑体" w:cs="黑体"/>
          <w:sz w:val="24"/>
          <w:szCs w:val="24"/>
        </w:rPr>
        <w:t>样本期间表现比较</w:t>
      </w:r>
    </w:p>
    <w:p w14:paraId="203F8C33">
      <w:pPr>
        <w:rPr>
          <w:rFonts w:hint="eastAsia" w:ascii="宋体" w:hAnsi="宋体" w:eastAsia="宋体" w:cs="宋体"/>
          <w:sz w:val="24"/>
          <w:szCs w:val="24"/>
        </w:rPr>
      </w:pPr>
    </w:p>
    <w:p w14:paraId="19FFBA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（1）马科维茨最优组合</w:t>
      </w:r>
    </w:p>
    <w:p w14:paraId="70C76CDC">
      <w:pPr>
        <w:rPr>
          <w:rFonts w:hint="eastAsia" w:ascii="宋体" w:hAnsi="宋体" w:eastAsia="宋体" w:cs="宋体"/>
          <w:sz w:val="24"/>
          <w:szCs w:val="24"/>
        </w:rPr>
      </w:pPr>
    </w:p>
    <w:p w14:paraId="3CC32D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马科维茨模型以历史收益率和协方差矩阵为基础，通过最大化夏普比率求得最优权重配置。</w:t>
      </w:r>
    </w:p>
    <w:p w14:paraId="382157CD">
      <w:pPr>
        <w:rPr>
          <w:rFonts w:hint="eastAsia" w:ascii="宋体" w:hAnsi="宋体" w:eastAsia="宋体" w:cs="宋体"/>
          <w:sz w:val="24"/>
          <w:szCs w:val="24"/>
        </w:rPr>
      </w:pPr>
    </w:p>
    <w:p w14:paraId="6D318137">
      <w:pPr>
        <w:rPr>
          <w:rFonts w:hint="eastAsia" w:ascii="宋体" w:hAnsi="宋体" w:eastAsia="宋体" w:cs="宋体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sz w:val="24"/>
          <w:szCs w:val="24"/>
        </w:rPr>
        <w:t>最终结果：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E01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5AF6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</w:tcPr>
          <w:p w14:paraId="13C6EBB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数值</w:t>
            </w:r>
          </w:p>
        </w:tc>
      </w:tr>
      <w:tr w14:paraId="669D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770B0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年化收益率</w:t>
            </w:r>
          </w:p>
        </w:tc>
        <w:tc>
          <w:tcPr>
            <w:tcW w:w="4261" w:type="dxa"/>
          </w:tcPr>
          <w:p w14:paraId="15DD632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17.71%</w:t>
            </w:r>
          </w:p>
        </w:tc>
      </w:tr>
      <w:tr w14:paraId="494F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A582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年化波动率</w:t>
            </w:r>
          </w:p>
        </w:tc>
        <w:tc>
          <w:tcPr>
            <w:tcW w:w="4261" w:type="dxa"/>
          </w:tcPr>
          <w:p w14:paraId="52870BFE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18.23%</w:t>
            </w:r>
          </w:p>
        </w:tc>
      </w:tr>
      <w:tr w14:paraId="12F6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0725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夏普比率</w:t>
            </w:r>
          </w:p>
        </w:tc>
        <w:tc>
          <w:tcPr>
            <w:tcW w:w="4261" w:type="dxa"/>
          </w:tcPr>
          <w:p w14:paraId="5E2CBD83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0.8783</w:t>
            </w:r>
          </w:p>
        </w:tc>
      </w:tr>
    </w:tbl>
    <w:p w14:paraId="3B3B5548">
      <w:pPr>
        <w:rPr>
          <w:rFonts w:hint="eastAsia" w:ascii="宋体" w:hAnsi="宋体" w:eastAsia="宋体" w:cs="宋体"/>
          <w:sz w:val="24"/>
          <w:szCs w:val="24"/>
        </w:rPr>
      </w:pPr>
    </w:p>
    <w:p w14:paraId="3F15AB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组合主要集中于：</w:t>
      </w:r>
    </w:p>
    <w:p w14:paraId="669A98EB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电力设备行业：</w:t>
      </w:r>
      <w:r>
        <w:rPr>
          <w:rFonts w:hint="default" w:ascii="Times New Roman" w:hAnsi="Times New Roman" w:eastAsia="宋体" w:cs="Times New Roman"/>
          <w:sz w:val="24"/>
          <w:szCs w:val="24"/>
        </w:rPr>
        <w:t>66.64%</w:t>
      </w:r>
    </w:p>
    <w:p w14:paraId="745B014E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银行行业：</w:t>
      </w:r>
      <w:r>
        <w:rPr>
          <w:rFonts w:hint="default" w:ascii="Times New Roman" w:hAnsi="Times New Roman" w:eastAsia="宋体" w:cs="Times New Roman"/>
          <w:sz w:val="24"/>
          <w:szCs w:val="24"/>
        </w:rPr>
        <w:t>24.96%</w:t>
      </w:r>
    </w:p>
    <w:p w14:paraId="34B14C4E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电子行业：</w:t>
      </w:r>
      <w:r>
        <w:rPr>
          <w:rFonts w:hint="default" w:ascii="Times New Roman" w:hAnsi="Times New Roman" w:eastAsia="宋体" w:cs="Times New Roman"/>
          <w:sz w:val="24"/>
          <w:szCs w:val="24"/>
        </w:rPr>
        <w:t>8.40%</w:t>
      </w:r>
    </w:p>
    <w:p w14:paraId="6AED8E09">
      <w:pPr>
        <w:rPr>
          <w:rFonts w:hint="eastAsia" w:ascii="宋体" w:hAnsi="宋体" w:eastAsia="宋体" w:cs="宋体"/>
          <w:sz w:val="24"/>
          <w:szCs w:val="24"/>
        </w:rPr>
      </w:pPr>
    </w:p>
    <w:p w14:paraId="6CFE95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该组合在控制风险的同时实现了较高收益，明显优于等权组合。 </w:t>
      </w:r>
    </w:p>
    <w:p w14:paraId="48588941">
      <w:pPr>
        <w:rPr>
          <w:rFonts w:hint="eastAsia" w:ascii="宋体" w:hAnsi="宋体" w:eastAsia="宋体" w:cs="宋体"/>
          <w:sz w:val="24"/>
          <w:szCs w:val="24"/>
        </w:rPr>
      </w:pPr>
    </w:p>
    <w:p w14:paraId="373E3F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主动组合</w:t>
      </w:r>
    </w:p>
    <w:p w14:paraId="2A3188B0">
      <w:pPr>
        <w:rPr>
          <w:rFonts w:hint="eastAsia" w:ascii="宋体" w:hAnsi="宋体" w:eastAsia="宋体" w:cs="宋体"/>
          <w:sz w:val="24"/>
          <w:szCs w:val="24"/>
        </w:rPr>
      </w:pPr>
    </w:p>
    <w:p w14:paraId="1EE10B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模型通过估计个股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构建主动组合，再与市场组合进行配置。</w:t>
      </w:r>
    </w:p>
    <w:p w14:paraId="7BA7D848">
      <w:pPr>
        <w:rPr>
          <w:rFonts w:hint="eastAsia" w:ascii="宋体" w:hAnsi="宋体" w:eastAsia="宋体" w:cs="宋体"/>
          <w:sz w:val="24"/>
          <w:szCs w:val="24"/>
        </w:rPr>
      </w:pPr>
    </w:p>
    <w:p w14:paraId="340D0B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结果显示：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9B0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BDBE7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</w:tcPr>
          <w:p w14:paraId="402FF34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数值</w:t>
            </w:r>
          </w:p>
        </w:tc>
      </w:tr>
      <w:tr w14:paraId="6F1A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65833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Alpha</w:t>
            </w:r>
          </w:p>
        </w:tc>
        <w:tc>
          <w:tcPr>
            <w:tcW w:w="4261" w:type="dxa"/>
          </w:tcPr>
          <w:p w14:paraId="0BFDECCC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17.96%</w:t>
            </w:r>
          </w:p>
        </w:tc>
      </w:tr>
      <w:tr w14:paraId="139C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09147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Beta</w:t>
            </w:r>
          </w:p>
        </w:tc>
        <w:tc>
          <w:tcPr>
            <w:tcW w:w="4261" w:type="dxa"/>
          </w:tcPr>
          <w:p w14:paraId="5C73598F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0.8139</w:t>
            </w:r>
          </w:p>
        </w:tc>
      </w:tr>
      <w:tr w14:paraId="2AB86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1017F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残差方差</w:t>
            </w:r>
          </w:p>
        </w:tc>
        <w:tc>
          <w:tcPr>
            <w:tcW w:w="4261" w:type="dxa"/>
          </w:tcPr>
          <w:p w14:paraId="324F7C55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0.0106</w:t>
            </w:r>
          </w:p>
        </w:tc>
      </w:tr>
    </w:tbl>
    <w:p w14:paraId="4016B894">
      <w:pPr>
        <w:rPr>
          <w:rFonts w:hint="eastAsia" w:ascii="宋体" w:hAnsi="宋体" w:eastAsia="宋体" w:cs="宋体"/>
          <w:sz w:val="24"/>
          <w:szCs w:val="24"/>
        </w:rPr>
      </w:pPr>
    </w:p>
    <w:p w14:paraId="7AFF2C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同时模型给出：</w:t>
      </w:r>
    </w:p>
    <w:p w14:paraId="015A6E41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主动组合权重：</w:t>
      </w:r>
      <w:r>
        <w:rPr>
          <w:rFonts w:hint="default" w:ascii="Times New Roman" w:hAnsi="Times New Roman" w:eastAsia="宋体" w:cs="Times New Roman"/>
          <w:sz w:val="24"/>
          <w:szCs w:val="24"/>
        </w:rPr>
        <w:t>447%</w:t>
      </w:r>
    </w:p>
    <w:p w14:paraId="46221402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市场组合权重：</w:t>
      </w:r>
      <w:r>
        <w:rPr>
          <w:rFonts w:hint="default" w:ascii="Times New Roman" w:hAnsi="Times New Roman" w:eastAsia="宋体" w:cs="Times New Roman"/>
          <w:sz w:val="24"/>
          <w:szCs w:val="24"/>
        </w:rPr>
        <w:t>-347%</w:t>
      </w:r>
    </w:p>
    <w:p w14:paraId="677A0759">
      <w:pPr>
        <w:rPr>
          <w:rFonts w:hint="eastAsia" w:ascii="宋体" w:hAnsi="宋体" w:eastAsia="宋体" w:cs="宋体"/>
          <w:sz w:val="24"/>
          <w:szCs w:val="24"/>
        </w:rPr>
      </w:pPr>
    </w:p>
    <w:p w14:paraId="481FF3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即需要大规模加杠杆并卖空市场组合。 </w:t>
      </w:r>
    </w:p>
    <w:p w14:paraId="5D0B5E71">
      <w:pPr>
        <w:rPr>
          <w:rFonts w:hint="eastAsia" w:ascii="宋体" w:hAnsi="宋体" w:eastAsia="宋体" w:cs="宋体"/>
          <w:sz w:val="24"/>
          <w:szCs w:val="24"/>
        </w:rPr>
      </w:pPr>
    </w:p>
    <w:p w14:paraId="6AE5EF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从理论上看，该组合拥有更高的超额收益能力，但依赖杠杆和卖空机制。</w:t>
      </w:r>
    </w:p>
    <w:p w14:paraId="711CD81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A8940B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数据说明：</w:t>
      </w:r>
    </w:p>
    <w:p w14:paraId="0A4617B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两份原始报告采用了不同的无风险利率假设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——</w:t>
      </w:r>
      <w:r>
        <w:rPr>
          <w:rFonts w:hint="default" w:ascii="Times New Roman" w:hAnsi="Times New Roman" w:eastAsia="仿宋" w:cs="Times New Roman"/>
          <w:sz w:val="24"/>
          <w:szCs w:val="24"/>
        </w:rPr>
        <w:t>T-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B</w:t>
      </w:r>
      <w:r>
        <w:rPr>
          <w:rFonts w:hint="eastAsia" w:ascii="仿宋" w:hAnsi="仿宋" w:eastAsia="仿宋" w:cs="仿宋"/>
          <w:sz w:val="24"/>
          <w:szCs w:val="24"/>
        </w:rPr>
        <w:t>模型使用</w:t>
      </w:r>
      <w:r>
        <w:rPr>
          <w:rFonts w:hint="default" w:ascii="Times New Roman" w:hAnsi="Times New Roman" w:eastAsia="仿宋" w:cs="Times New Roman"/>
          <w:sz w:val="24"/>
          <w:szCs w:val="24"/>
        </w:rPr>
        <w:t>2.5%</w:t>
      </w:r>
      <w:r>
        <w:rPr>
          <w:rFonts w:hint="eastAsia" w:ascii="仿宋" w:hAnsi="仿宋" w:eastAsia="仿宋" w:cs="仿宋"/>
          <w:sz w:val="24"/>
          <w:szCs w:val="24"/>
        </w:rPr>
        <w:t>（参考同期存款利率），马科维茨模型使用</w:t>
      </w:r>
      <w:r>
        <w:rPr>
          <w:rFonts w:hint="default" w:ascii="Times New Roman" w:hAnsi="Times New Roman" w:eastAsia="仿宋" w:cs="Times New Roman"/>
          <w:sz w:val="24"/>
          <w:szCs w:val="24"/>
        </w:rPr>
        <w:t>1.7%</w:t>
      </w:r>
      <w:r>
        <w:rPr>
          <w:rFonts w:hint="eastAsia" w:ascii="仿宋" w:hAnsi="仿宋" w:eastAsia="仿宋" w:cs="仿宋"/>
          <w:sz w:val="24"/>
          <w:szCs w:val="24"/>
        </w:rPr>
        <w:t>（参考</w:t>
      </w:r>
      <w:r>
        <w:rPr>
          <w:rFonts w:hint="default" w:ascii="Times New Roman" w:hAnsi="Times New Roman" w:eastAsia="仿宋" w:cs="Times New Roman"/>
          <w:sz w:val="24"/>
          <w:szCs w:val="24"/>
        </w:rPr>
        <w:t>10</w:t>
      </w:r>
      <w:r>
        <w:rPr>
          <w:rFonts w:hint="eastAsia" w:ascii="仿宋" w:hAnsi="仿宋" w:eastAsia="仿宋" w:cs="仿宋"/>
          <w:sz w:val="24"/>
          <w:szCs w:val="24"/>
        </w:rPr>
        <w:t>年期国债收益率）。无风险利率的差异会对</w:t>
      </w:r>
      <w:r>
        <w:rPr>
          <w:rFonts w:hint="default" w:ascii="Times New Roman" w:hAnsi="Times New Roman" w:eastAsia="仿宋" w:cs="Times New Roman"/>
          <w:sz w:val="24"/>
          <w:szCs w:val="24"/>
        </w:rPr>
        <w:t>Alpha</w:t>
      </w:r>
      <w:r>
        <w:rPr>
          <w:rFonts w:hint="eastAsia" w:ascii="仿宋" w:hAnsi="仿宋" w:eastAsia="仿宋" w:cs="仿宋"/>
          <w:sz w:val="24"/>
          <w:szCs w:val="24"/>
        </w:rPr>
        <w:t>和夏普比率的计算产生细微影响，可能导致两个模型的绝对数值不可直接对比，但相对排序和结构性结论不受显著影响。</w:t>
      </w:r>
    </w:p>
    <w:p w14:paraId="19316833">
      <w:pPr>
        <w:rPr>
          <w:rFonts w:hint="eastAsia" w:ascii="仿宋" w:hAnsi="仿宋" w:eastAsia="仿宋" w:cs="仿宋"/>
          <w:sz w:val="24"/>
          <w:szCs w:val="24"/>
        </w:rPr>
      </w:pPr>
    </w:p>
    <w:p w14:paraId="569872F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二、</w:t>
      </w:r>
      <w:r>
        <w:rPr>
          <w:rFonts w:hint="eastAsia" w:ascii="黑体" w:hAnsi="黑体" w:eastAsia="黑体" w:cs="黑体"/>
          <w:sz w:val="24"/>
          <w:szCs w:val="24"/>
        </w:rPr>
        <w:t>样本外表现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理论</w:t>
      </w:r>
      <w:r>
        <w:rPr>
          <w:rFonts w:hint="eastAsia" w:ascii="黑体" w:hAnsi="黑体" w:eastAsia="黑体" w:cs="黑体"/>
          <w:sz w:val="24"/>
          <w:szCs w:val="24"/>
        </w:rPr>
        <w:t>分析</w:t>
      </w:r>
    </w:p>
    <w:p w14:paraId="11DD27AE">
      <w:pPr>
        <w:rPr>
          <w:rFonts w:hint="eastAsia" w:ascii="宋体" w:hAnsi="宋体" w:eastAsia="宋体" w:cs="宋体"/>
          <w:sz w:val="24"/>
          <w:szCs w:val="24"/>
        </w:rPr>
      </w:pPr>
    </w:p>
    <w:p w14:paraId="240604B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由于无样本外检验数据，所以仅</w:t>
      </w:r>
      <w:r>
        <w:rPr>
          <w:rFonts w:hint="eastAsia" w:ascii="宋体" w:hAnsi="宋体" w:eastAsia="宋体" w:cs="宋体"/>
          <w:sz w:val="24"/>
          <w:szCs w:val="24"/>
        </w:rPr>
        <w:t>从金融学理论角度看：</w:t>
      </w:r>
    </w:p>
    <w:p w14:paraId="44B3BA8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452ECE87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马科维茨模型</w:t>
      </w:r>
    </w:p>
    <w:p w14:paraId="5E940866">
      <w:pPr>
        <w:rPr>
          <w:rFonts w:hint="eastAsia" w:ascii="宋体" w:hAnsi="宋体" w:eastAsia="宋体" w:cs="宋体"/>
          <w:sz w:val="24"/>
          <w:szCs w:val="24"/>
        </w:rPr>
      </w:pPr>
    </w:p>
    <w:p w14:paraId="4E1D5B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存在典型的参数估计误差问题。</w:t>
      </w:r>
    </w:p>
    <w:p w14:paraId="28B66F02">
      <w:pPr>
        <w:rPr>
          <w:rFonts w:hint="eastAsia" w:ascii="宋体" w:hAnsi="宋体" w:eastAsia="宋体" w:cs="宋体"/>
          <w:sz w:val="24"/>
          <w:szCs w:val="24"/>
        </w:rPr>
      </w:pPr>
    </w:p>
    <w:p w14:paraId="524DD6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由于均值收益率极难准确预测：</w:t>
      </w:r>
    </w:p>
    <w:p w14:paraId="4823C33E">
      <w:pPr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样本内表现往往较好；</w:t>
      </w:r>
    </w:p>
    <w:p w14:paraId="4DF21E62">
      <w:pPr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样本外容易出现收益下降；</w:t>
      </w:r>
    </w:p>
    <w:p w14:paraId="052C8C93">
      <w:pPr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权重容易受到历史极端收益影响。</w:t>
      </w:r>
    </w:p>
    <w:p w14:paraId="23050FD7">
      <w:pPr>
        <w:rPr>
          <w:rFonts w:hint="eastAsia" w:ascii="宋体" w:hAnsi="宋体" w:eastAsia="宋体" w:cs="宋体"/>
          <w:sz w:val="24"/>
          <w:szCs w:val="24"/>
        </w:rPr>
      </w:pPr>
    </w:p>
    <w:p w14:paraId="12801B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例如宁德时代、赣锋锂业等新能源股票在</w:t>
      </w:r>
      <w:r>
        <w:rPr>
          <w:rFonts w:hint="default" w:ascii="Times New Roman" w:hAnsi="Times New Roman" w:eastAsia="宋体" w:cs="Times New Roman"/>
          <w:sz w:val="24"/>
          <w:szCs w:val="24"/>
        </w:rPr>
        <w:t>2020—2021</w:t>
      </w:r>
      <w:r>
        <w:rPr>
          <w:rFonts w:hint="eastAsia" w:ascii="宋体" w:hAnsi="宋体" w:eastAsia="宋体" w:cs="宋体"/>
          <w:sz w:val="24"/>
          <w:szCs w:val="24"/>
        </w:rPr>
        <w:t xml:space="preserve">年表现极强，因此模型给予大量权重。未来若行业景气度下降，则样本外收益可能明显回落。 </w:t>
      </w:r>
    </w:p>
    <w:p w14:paraId="2DCE1C83">
      <w:pPr>
        <w:rPr>
          <w:rFonts w:hint="eastAsia" w:ascii="宋体" w:hAnsi="宋体" w:eastAsia="宋体" w:cs="宋体"/>
          <w:sz w:val="24"/>
          <w:szCs w:val="24"/>
        </w:rPr>
      </w:pPr>
    </w:p>
    <w:p w14:paraId="11D45E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因此马科维茨模型通常具有“样本内最优、样本外退化”的特征。</w:t>
      </w:r>
    </w:p>
    <w:p w14:paraId="12836214">
      <w:pPr>
        <w:rPr>
          <w:rFonts w:hint="eastAsia" w:ascii="宋体" w:hAnsi="宋体" w:eastAsia="宋体" w:cs="宋体"/>
          <w:sz w:val="24"/>
          <w:szCs w:val="24"/>
        </w:rPr>
      </w:pPr>
    </w:p>
    <w:p w14:paraId="7D69153D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模型</w:t>
      </w:r>
    </w:p>
    <w:p w14:paraId="2AD7AD4B">
      <w:pPr>
        <w:rPr>
          <w:rFonts w:hint="eastAsia" w:ascii="宋体" w:hAnsi="宋体" w:eastAsia="宋体" w:cs="宋体"/>
          <w:sz w:val="24"/>
          <w:szCs w:val="24"/>
        </w:rPr>
      </w:pPr>
    </w:p>
    <w:p w14:paraId="75E55C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模型利用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信息构建组合：</w:t>
      </w:r>
    </w:p>
    <w:p w14:paraId="320C30D3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更强调个股超额收益来源；</w:t>
      </w:r>
    </w:p>
    <w:p w14:paraId="74ABDB85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</w:t>
      </w:r>
      <w:r>
        <w:rPr>
          <w:rFonts w:hint="default" w:ascii="Times New Roman" w:hAnsi="Times New Roman" w:eastAsia="宋体" w:cs="Times New Roman"/>
          <w:sz w:val="24"/>
          <w:szCs w:val="24"/>
        </w:rPr>
        <w:t>CAPM</w:t>
      </w:r>
      <w:r>
        <w:rPr>
          <w:rFonts w:hint="eastAsia" w:ascii="宋体" w:hAnsi="宋体" w:eastAsia="宋体" w:cs="宋体"/>
          <w:sz w:val="24"/>
          <w:szCs w:val="24"/>
        </w:rPr>
        <w:t>框架；</w:t>
      </w:r>
    </w:p>
    <w:p w14:paraId="56E609F9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对收益均值估计敏感度较低；</w:t>
      </w:r>
    </w:p>
    <w:p w14:paraId="0FC16A40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样本外稳定性通常优于纯均值-方差模型。</w:t>
      </w:r>
    </w:p>
    <w:p w14:paraId="67738218">
      <w:pPr>
        <w:rPr>
          <w:rFonts w:hint="eastAsia" w:ascii="宋体" w:hAnsi="宋体" w:eastAsia="宋体" w:cs="宋体"/>
          <w:sz w:val="24"/>
          <w:szCs w:val="24"/>
        </w:rPr>
      </w:pPr>
    </w:p>
    <w:p w14:paraId="5C366D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但如果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来源于偶然事件或行业景气周期，则样本外也会衰减。</w:t>
      </w:r>
    </w:p>
    <w:p w14:paraId="1C8E0F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6D66A766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宁德时代 </w:t>
      </w:r>
      <w:r>
        <w:rPr>
          <w:rFonts w:hint="default" w:ascii="Times New Roman" w:hAnsi="Times New Roman" w:eastAsia="宋体" w:cs="Times New Roman"/>
          <w:sz w:val="24"/>
          <w:szCs w:val="24"/>
        </w:rPr>
        <w:t>Alpha=40.26%</w:t>
      </w:r>
    </w:p>
    <w:p w14:paraId="1E991F72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隆基绿能 </w:t>
      </w:r>
      <w:r>
        <w:rPr>
          <w:rFonts w:hint="default" w:ascii="Times New Roman" w:hAnsi="Times New Roman" w:eastAsia="宋体" w:cs="Times New Roman"/>
          <w:sz w:val="24"/>
          <w:szCs w:val="24"/>
        </w:rPr>
        <w:t>Alpha=15.50%</w:t>
      </w:r>
    </w:p>
    <w:p w14:paraId="6329610D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赣锋锂业 </w:t>
      </w:r>
      <w:r>
        <w:rPr>
          <w:rFonts w:hint="default" w:ascii="Times New Roman" w:hAnsi="Times New Roman" w:eastAsia="宋体" w:cs="Times New Roman"/>
          <w:sz w:val="24"/>
          <w:szCs w:val="24"/>
        </w:rPr>
        <w:t>Alpha=29.06%</w:t>
      </w:r>
    </w:p>
    <w:p w14:paraId="7D819F37">
      <w:pPr>
        <w:rPr>
          <w:rFonts w:hint="eastAsia" w:ascii="宋体" w:hAnsi="宋体" w:eastAsia="宋体" w:cs="宋体"/>
          <w:sz w:val="24"/>
          <w:szCs w:val="24"/>
        </w:rPr>
      </w:pPr>
    </w:p>
    <w:p w14:paraId="5DADDE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很大程度上来源于新能源产业高景气阶段。未来行业回归正常增长后，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 xml:space="preserve">可能显著下降。 </w:t>
      </w:r>
    </w:p>
    <w:p w14:paraId="79A03CD5">
      <w:pPr>
        <w:rPr>
          <w:rFonts w:hint="eastAsia" w:ascii="宋体" w:hAnsi="宋体" w:eastAsia="宋体" w:cs="宋体"/>
          <w:sz w:val="24"/>
          <w:szCs w:val="24"/>
        </w:rPr>
      </w:pPr>
    </w:p>
    <w:p w14:paraId="165A48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模型样本外表现通常优于传统马科维茨模型，但仍存在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衰减风险。</w:t>
      </w:r>
    </w:p>
    <w:p w14:paraId="34C1CF15">
      <w:pPr>
        <w:rPr>
          <w:rFonts w:hint="eastAsia" w:ascii="宋体" w:hAnsi="宋体" w:eastAsia="宋体" w:cs="宋体"/>
          <w:sz w:val="24"/>
          <w:szCs w:val="24"/>
        </w:rPr>
      </w:pPr>
    </w:p>
    <w:p w14:paraId="1D32015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</w:t>
      </w:r>
      <w:r>
        <w:rPr>
          <w:rFonts w:hint="eastAsia" w:ascii="黑体" w:hAnsi="黑体" w:eastAsia="黑体" w:cs="黑体"/>
          <w:sz w:val="24"/>
          <w:szCs w:val="24"/>
        </w:rPr>
        <w:t>行业分散度比较</w:t>
      </w:r>
    </w:p>
    <w:p w14:paraId="4D925ED2">
      <w:pPr>
        <w:rPr>
          <w:rFonts w:hint="eastAsia" w:ascii="宋体" w:hAnsi="宋体" w:eastAsia="宋体" w:cs="宋体"/>
          <w:sz w:val="24"/>
          <w:szCs w:val="24"/>
        </w:rPr>
      </w:pPr>
    </w:p>
    <w:p w14:paraId="356B7F29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马科维茨组合</w:t>
      </w:r>
    </w:p>
    <w:p w14:paraId="5151DB79">
      <w:pPr>
        <w:rPr>
          <w:rFonts w:hint="eastAsia" w:ascii="宋体" w:hAnsi="宋体" w:eastAsia="宋体" w:cs="宋体"/>
          <w:sz w:val="24"/>
          <w:szCs w:val="24"/>
        </w:rPr>
      </w:pPr>
    </w:p>
    <w:p w14:paraId="7F52FE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行业分布：</w:t>
      </w:r>
    </w:p>
    <w:p w14:paraId="1B039F3C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电力设备</w:t>
      </w:r>
      <w:r>
        <w:rPr>
          <w:rFonts w:hint="default" w:ascii="Times New Roman" w:hAnsi="Times New Roman" w:eastAsia="宋体" w:cs="Times New Roman"/>
          <w:sz w:val="24"/>
          <w:szCs w:val="24"/>
        </w:rPr>
        <w:t>66.64%</w:t>
      </w:r>
    </w:p>
    <w:p w14:paraId="59A7A9FB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银行</w:t>
      </w:r>
      <w:r>
        <w:rPr>
          <w:rFonts w:hint="default" w:ascii="Times New Roman" w:hAnsi="Times New Roman" w:eastAsia="宋体" w:cs="Times New Roman"/>
          <w:sz w:val="24"/>
          <w:szCs w:val="24"/>
        </w:rPr>
        <w:t>24.96%</w:t>
      </w:r>
    </w:p>
    <w:p w14:paraId="767AF5AE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电子</w:t>
      </w:r>
      <w:r>
        <w:rPr>
          <w:rFonts w:hint="default" w:ascii="Times New Roman" w:hAnsi="Times New Roman" w:eastAsia="宋体" w:cs="Times New Roman"/>
          <w:sz w:val="24"/>
          <w:szCs w:val="24"/>
        </w:rPr>
        <w:t>8.40%</w:t>
      </w:r>
    </w:p>
    <w:p w14:paraId="1361E5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食品饮料和医药行业被完全剔除。 </w:t>
      </w:r>
    </w:p>
    <w:p w14:paraId="455E55D1">
      <w:pPr>
        <w:rPr>
          <w:rFonts w:hint="eastAsia" w:ascii="宋体" w:hAnsi="宋体" w:eastAsia="宋体" w:cs="宋体"/>
          <w:sz w:val="24"/>
          <w:szCs w:val="24"/>
        </w:rPr>
      </w:pPr>
    </w:p>
    <w:p w14:paraId="650FB4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</w:t>
      </w:r>
    </w:p>
    <w:p w14:paraId="71F5DC29">
      <w:pPr>
        <w:numPr>
          <w:ilvl w:val="0"/>
          <w:numId w:val="5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充分利用高夏普资产</w:t>
      </w:r>
    </w:p>
    <w:p w14:paraId="285ED4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</w:t>
      </w:r>
    </w:p>
    <w:p w14:paraId="0E1B8975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行业集中度偏高</w:t>
      </w:r>
    </w:p>
    <w:p w14:paraId="6CEF47BD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对新能源行业依赖较强</w:t>
      </w:r>
    </w:p>
    <w:p w14:paraId="08AA4E34">
      <w:pPr>
        <w:rPr>
          <w:rFonts w:hint="eastAsia" w:ascii="宋体" w:hAnsi="宋体" w:eastAsia="宋体" w:cs="宋体"/>
          <w:sz w:val="24"/>
          <w:szCs w:val="24"/>
        </w:rPr>
      </w:pPr>
    </w:p>
    <w:p w14:paraId="0E3E4E2F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组合</w:t>
      </w:r>
    </w:p>
    <w:p w14:paraId="60EC3C41">
      <w:pPr>
        <w:rPr>
          <w:rFonts w:hint="eastAsia" w:ascii="宋体" w:hAnsi="宋体" w:eastAsia="宋体" w:cs="宋体"/>
          <w:sz w:val="24"/>
          <w:szCs w:val="24"/>
        </w:rPr>
      </w:pPr>
    </w:p>
    <w:p w14:paraId="2280AE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主要权重集中于工商银行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长江电力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宁德时代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赣锋锂业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隆基绿能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 xml:space="preserve">银行和新能源占据绝对主导地位。 </w:t>
      </w:r>
    </w:p>
    <w:p w14:paraId="63CB7B1F">
      <w:pPr>
        <w:rPr>
          <w:rFonts w:hint="eastAsia" w:ascii="宋体" w:hAnsi="宋体" w:eastAsia="宋体" w:cs="宋体"/>
          <w:sz w:val="24"/>
          <w:szCs w:val="24"/>
        </w:rPr>
      </w:pPr>
    </w:p>
    <w:p w14:paraId="67A883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从行业角度看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T-</w:t>
      </w:r>
      <w:r>
        <w:rPr>
          <w:rFonts w:hint="default" w:ascii="Times New Roman" w:hAnsi="Times New Roman" w:eastAsia="宋体" w:cs="Times New Roman"/>
          <w:sz w:val="24"/>
          <w:szCs w:val="24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组合比马科维茨更加集中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行业集中风险更高。</w:t>
      </w:r>
    </w:p>
    <w:p w14:paraId="60068F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3D5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473AA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2841" w:type="dxa"/>
          </w:tcPr>
          <w:p w14:paraId="3B24F5B2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马科维茨模型</w:t>
            </w:r>
          </w:p>
        </w:tc>
        <w:tc>
          <w:tcPr>
            <w:tcW w:w="2841" w:type="dxa"/>
          </w:tcPr>
          <w:p w14:paraId="7A971E03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T-B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模型</w:t>
            </w:r>
          </w:p>
        </w:tc>
      </w:tr>
      <w:tr w14:paraId="4B0F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809199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行业分散度</w:t>
            </w:r>
          </w:p>
        </w:tc>
        <w:tc>
          <w:tcPr>
            <w:tcW w:w="2841" w:type="dxa"/>
          </w:tcPr>
          <w:p w14:paraId="6C731C2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  <w:tc>
          <w:tcPr>
            <w:tcW w:w="2841" w:type="dxa"/>
          </w:tcPr>
          <w:p w14:paraId="296DF8E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较低</w:t>
            </w:r>
          </w:p>
        </w:tc>
      </w:tr>
      <w:tr w14:paraId="501F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EED036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集中风险</w:t>
            </w:r>
          </w:p>
        </w:tc>
        <w:tc>
          <w:tcPr>
            <w:tcW w:w="2841" w:type="dxa"/>
          </w:tcPr>
          <w:p w14:paraId="2D00B5BA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中等</w:t>
            </w:r>
          </w:p>
        </w:tc>
        <w:tc>
          <w:tcPr>
            <w:tcW w:w="2841" w:type="dxa"/>
          </w:tcPr>
          <w:p w14:paraId="4F396EC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</w:tr>
    </w:tbl>
    <w:p w14:paraId="631039C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8571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因此从分散化角度看，马科维茨组合略优，但其集中来源于优化器的数学结果，而非人为偏好。</w:t>
      </w:r>
    </w:p>
    <w:p w14:paraId="10C63F5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078A6A5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四、</w:t>
      </w:r>
      <w:r>
        <w:rPr>
          <w:rFonts w:hint="eastAsia" w:ascii="黑体" w:hAnsi="黑体" w:eastAsia="黑体" w:cs="黑体"/>
          <w:sz w:val="24"/>
          <w:szCs w:val="24"/>
        </w:rPr>
        <w:t>风险暴露比较</w:t>
      </w:r>
    </w:p>
    <w:p w14:paraId="6F5FD9D0">
      <w:pPr>
        <w:rPr>
          <w:rFonts w:hint="eastAsia" w:ascii="宋体" w:hAnsi="宋体" w:eastAsia="宋体" w:cs="宋体"/>
          <w:sz w:val="24"/>
          <w:szCs w:val="24"/>
        </w:rPr>
      </w:pPr>
    </w:p>
    <w:p w14:paraId="75699CA5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</w:t>
      </w:r>
    </w:p>
    <w:p w14:paraId="592151C1">
      <w:pPr>
        <w:rPr>
          <w:rFonts w:hint="eastAsia" w:ascii="宋体" w:hAnsi="宋体" w:eastAsia="宋体" w:cs="宋体"/>
          <w:sz w:val="24"/>
          <w:szCs w:val="24"/>
        </w:rPr>
      </w:pPr>
    </w:p>
    <w:p w14:paraId="23344A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风险来源：</w:t>
      </w:r>
    </w:p>
    <w:p w14:paraId="678FB9C2">
      <w:pPr>
        <w:numPr>
          <w:ilvl w:val="0"/>
          <w:numId w:val="8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股票波动率</w:t>
      </w:r>
    </w:p>
    <w:p w14:paraId="71D8FB9F">
      <w:pPr>
        <w:numPr>
          <w:ilvl w:val="0"/>
          <w:numId w:val="8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行业风险</w:t>
      </w:r>
    </w:p>
    <w:p w14:paraId="601A866B">
      <w:pPr>
        <w:rPr>
          <w:rFonts w:hint="eastAsia" w:ascii="宋体" w:hAnsi="宋体" w:eastAsia="宋体" w:cs="宋体"/>
          <w:sz w:val="24"/>
          <w:szCs w:val="24"/>
        </w:rPr>
      </w:pPr>
    </w:p>
    <w:p w14:paraId="26699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无杠杆限制下：</w:t>
      </w:r>
    </w:p>
    <w:p w14:paraId="6E5EDA71">
      <w:pPr>
        <w:numPr>
          <w:ilvl w:val="0"/>
          <w:numId w:val="9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总风险可控</w:t>
      </w:r>
    </w:p>
    <w:p w14:paraId="0FD41F58">
      <w:pPr>
        <w:numPr>
          <w:ilvl w:val="0"/>
          <w:numId w:val="9"/>
        </w:numPr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波动率</w:t>
      </w:r>
      <w:r>
        <w:rPr>
          <w:rFonts w:hint="default" w:ascii="Times New Roman" w:hAnsi="Times New Roman" w:eastAsia="宋体" w:cs="Times New Roman"/>
          <w:sz w:val="24"/>
          <w:szCs w:val="24"/>
        </w:rPr>
        <w:t>18.23%</w:t>
      </w:r>
    </w:p>
    <w:p w14:paraId="3CFA86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属于典型中风险组合。 </w:t>
      </w:r>
    </w:p>
    <w:p w14:paraId="36E287FC">
      <w:pPr>
        <w:rPr>
          <w:rFonts w:hint="eastAsia" w:ascii="宋体" w:hAnsi="宋体" w:eastAsia="宋体" w:cs="宋体"/>
          <w:sz w:val="24"/>
          <w:szCs w:val="24"/>
        </w:rPr>
      </w:pPr>
    </w:p>
    <w:p w14:paraId="348AF699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模型</w:t>
      </w:r>
    </w:p>
    <w:p w14:paraId="69E183C2">
      <w:pPr>
        <w:rPr>
          <w:rFonts w:hint="eastAsia" w:ascii="宋体" w:hAnsi="宋体" w:eastAsia="宋体" w:cs="宋体"/>
          <w:sz w:val="24"/>
          <w:szCs w:val="24"/>
        </w:rPr>
      </w:pPr>
    </w:p>
    <w:p w14:paraId="2AE7AA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额外风险来源：</w:t>
      </w:r>
    </w:p>
    <w:p w14:paraId="42BD3660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失效风险</w:t>
      </w:r>
    </w:p>
    <w:p w14:paraId="5EAF3F5C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杠杆风险</w:t>
      </w:r>
    </w:p>
    <w:p w14:paraId="1677C885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卖空风险</w:t>
      </w:r>
    </w:p>
    <w:p w14:paraId="530B63A4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融资成本风险</w:t>
      </w:r>
    </w:p>
    <w:p w14:paraId="202A7E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</w:t>
      </w:r>
      <w:r>
        <w:rPr>
          <w:rFonts w:hint="default" w:ascii="Times New Roman" w:hAnsi="Times New Roman" w:eastAsia="宋体" w:cs="Times New Roman"/>
          <w:sz w:val="24"/>
          <w:szCs w:val="24"/>
        </w:rPr>
        <w:t>Beta</w:t>
      </w:r>
      <w:r>
        <w:rPr>
          <w:rFonts w:hint="eastAsia" w:ascii="宋体" w:hAnsi="宋体" w:eastAsia="宋体" w:cs="宋体"/>
          <w:sz w:val="24"/>
          <w:szCs w:val="24"/>
        </w:rPr>
        <w:t>仅为</w:t>
      </w:r>
      <w:r>
        <w:rPr>
          <w:rFonts w:hint="default" w:ascii="Times New Roman" w:hAnsi="Times New Roman" w:eastAsia="宋体" w:cs="Times New Roman"/>
          <w:sz w:val="24"/>
          <w:szCs w:val="24"/>
        </w:rPr>
        <w:t>0.8139</w:t>
      </w:r>
      <w:r>
        <w:rPr>
          <w:rFonts w:hint="eastAsia" w:ascii="宋体" w:hAnsi="宋体" w:eastAsia="宋体" w:cs="宋体"/>
          <w:sz w:val="24"/>
          <w:szCs w:val="24"/>
        </w:rPr>
        <w:t>，但实际总风险并不低。 特别是</w:t>
      </w:r>
      <w:r>
        <w:rPr>
          <w:rFonts w:hint="default" w:ascii="Times New Roman" w:hAnsi="Times New Roman" w:eastAsia="宋体" w:cs="Times New Roman"/>
          <w:sz w:val="24"/>
          <w:szCs w:val="24"/>
        </w:rPr>
        <w:t>447%</w:t>
      </w:r>
      <w:r>
        <w:rPr>
          <w:rFonts w:hint="eastAsia" w:ascii="宋体" w:hAnsi="宋体" w:eastAsia="宋体" w:cs="宋体"/>
          <w:sz w:val="24"/>
          <w:szCs w:val="24"/>
        </w:rPr>
        <w:t>多头+</w:t>
      </w:r>
      <w:r>
        <w:rPr>
          <w:rFonts w:hint="default" w:ascii="Times New Roman" w:hAnsi="Times New Roman" w:eastAsia="宋体" w:cs="Times New Roman"/>
          <w:sz w:val="24"/>
          <w:szCs w:val="24"/>
        </w:rPr>
        <w:t>347%</w:t>
      </w:r>
      <w:r>
        <w:rPr>
          <w:rFonts w:hint="eastAsia" w:ascii="宋体" w:hAnsi="宋体" w:eastAsia="宋体" w:cs="宋体"/>
          <w:sz w:val="24"/>
          <w:szCs w:val="24"/>
        </w:rPr>
        <w:t>空头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属于典型的机构量化策略结构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普通投资者难以实现。</w:t>
      </w:r>
    </w:p>
    <w:p w14:paraId="7480D8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4B1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580DD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风险维度</w:t>
            </w:r>
          </w:p>
        </w:tc>
        <w:tc>
          <w:tcPr>
            <w:tcW w:w="2841" w:type="dxa"/>
          </w:tcPr>
          <w:p w14:paraId="013C7C5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马科维茨模型</w:t>
            </w:r>
          </w:p>
        </w:tc>
        <w:tc>
          <w:tcPr>
            <w:tcW w:w="2841" w:type="dxa"/>
          </w:tcPr>
          <w:p w14:paraId="0C44697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T-B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模型</w:t>
            </w:r>
          </w:p>
        </w:tc>
      </w:tr>
      <w:tr w14:paraId="5BEE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CB718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市场风险</w:t>
            </w:r>
          </w:p>
        </w:tc>
        <w:tc>
          <w:tcPr>
            <w:tcW w:w="2841" w:type="dxa"/>
          </w:tcPr>
          <w:p w14:paraId="5C9572D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中等</w:t>
            </w:r>
          </w:p>
        </w:tc>
        <w:tc>
          <w:tcPr>
            <w:tcW w:w="2841" w:type="dxa"/>
          </w:tcPr>
          <w:p w14:paraId="1DDEB26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较低</w:t>
            </w:r>
          </w:p>
        </w:tc>
      </w:tr>
      <w:tr w14:paraId="2DB25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D52B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杠杆风险</w:t>
            </w:r>
          </w:p>
        </w:tc>
        <w:tc>
          <w:tcPr>
            <w:tcW w:w="2841" w:type="dxa"/>
          </w:tcPr>
          <w:p w14:paraId="1A69FD7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2841" w:type="dxa"/>
          </w:tcPr>
          <w:p w14:paraId="4C1F21D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很高</w:t>
            </w:r>
          </w:p>
        </w:tc>
      </w:tr>
      <w:tr w14:paraId="114E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4FD6F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流动性风险</w:t>
            </w:r>
          </w:p>
        </w:tc>
        <w:tc>
          <w:tcPr>
            <w:tcW w:w="2841" w:type="dxa"/>
          </w:tcPr>
          <w:p w14:paraId="2E533FB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  <w:tc>
          <w:tcPr>
            <w:tcW w:w="2841" w:type="dxa"/>
          </w:tcPr>
          <w:p w14:paraId="2865602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</w:tr>
      <w:tr w14:paraId="0F8E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40490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实施难度</w:t>
            </w:r>
          </w:p>
        </w:tc>
        <w:tc>
          <w:tcPr>
            <w:tcW w:w="2841" w:type="dxa"/>
          </w:tcPr>
          <w:p w14:paraId="15318F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  <w:tc>
          <w:tcPr>
            <w:tcW w:w="2841" w:type="dxa"/>
          </w:tcPr>
          <w:p w14:paraId="27E87FB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</w:tbl>
    <w:p w14:paraId="21F7E0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F3A4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T-B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组合的实际综合风险高于表面数据所示</w:t>
      </w:r>
    </w:p>
    <w:p w14:paraId="74700F44">
      <w:pPr>
        <w:rPr>
          <w:rFonts w:hint="eastAsia" w:ascii="宋体" w:hAnsi="宋体" w:eastAsia="宋体" w:cs="宋体"/>
          <w:sz w:val="24"/>
          <w:szCs w:val="24"/>
        </w:rPr>
      </w:pPr>
    </w:p>
    <w:p w14:paraId="0A90F09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五、</w:t>
      </w:r>
      <w:r>
        <w:rPr>
          <w:rFonts w:hint="eastAsia" w:ascii="黑体" w:hAnsi="黑体" w:eastAsia="黑体" w:cs="黑体"/>
          <w:sz w:val="24"/>
          <w:szCs w:val="24"/>
        </w:rPr>
        <w:t>换手率比较</w:t>
      </w:r>
    </w:p>
    <w:p w14:paraId="616DAA12">
      <w:pPr>
        <w:rPr>
          <w:rFonts w:hint="eastAsia" w:ascii="宋体" w:hAnsi="宋体" w:eastAsia="宋体" w:cs="宋体"/>
          <w:sz w:val="24"/>
          <w:szCs w:val="24"/>
        </w:rPr>
      </w:pPr>
    </w:p>
    <w:p w14:paraId="135A70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虽然报告未直接给出换手率数据，但从模型特征可以推断：</w:t>
      </w:r>
    </w:p>
    <w:p w14:paraId="24A9A262">
      <w:pPr>
        <w:rPr>
          <w:rFonts w:hint="eastAsia" w:ascii="宋体" w:hAnsi="宋体" w:eastAsia="宋体" w:cs="宋体"/>
          <w:sz w:val="24"/>
          <w:szCs w:val="24"/>
        </w:rPr>
      </w:pPr>
    </w:p>
    <w:p w14:paraId="455D90E8">
      <w:pPr>
        <w:numPr>
          <w:ilvl w:val="0"/>
          <w:numId w:val="1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</w:t>
      </w:r>
    </w:p>
    <w:p w14:paraId="56841106">
      <w:pPr>
        <w:rPr>
          <w:rFonts w:hint="eastAsia" w:ascii="宋体" w:hAnsi="宋体" w:eastAsia="宋体" w:cs="宋体"/>
          <w:sz w:val="24"/>
          <w:szCs w:val="24"/>
        </w:rPr>
      </w:pPr>
    </w:p>
    <w:p w14:paraId="19F2F3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权重主要由收益率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协方差矩阵决定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参数变化较慢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换手率相对较低。</w:t>
      </w:r>
    </w:p>
    <w:p w14:paraId="537221A6">
      <w:pPr>
        <w:rPr>
          <w:rFonts w:hint="eastAsia" w:ascii="宋体" w:hAnsi="宋体" w:eastAsia="宋体" w:cs="宋体"/>
          <w:sz w:val="24"/>
          <w:szCs w:val="24"/>
        </w:rPr>
      </w:pPr>
    </w:p>
    <w:p w14:paraId="4CA5E41C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模型</w:t>
      </w:r>
    </w:p>
    <w:p w14:paraId="2A53D663">
      <w:pPr>
        <w:rPr>
          <w:rFonts w:hint="eastAsia" w:ascii="宋体" w:hAnsi="宋体" w:eastAsia="宋体" w:cs="宋体"/>
          <w:sz w:val="24"/>
          <w:szCs w:val="24"/>
        </w:rPr>
      </w:pPr>
    </w:p>
    <w:p w14:paraId="2233F7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需要不断重新估计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财报变化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行业景气变化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市场风格切换都会导致权重大幅调整。</w:t>
      </w:r>
    </w:p>
    <w:p w14:paraId="366DF288">
      <w:pPr>
        <w:rPr>
          <w:rFonts w:hint="eastAsia" w:ascii="宋体" w:hAnsi="宋体" w:eastAsia="宋体" w:cs="宋体"/>
          <w:sz w:val="24"/>
          <w:szCs w:val="24"/>
        </w:rPr>
      </w:pPr>
    </w:p>
    <w:p w14:paraId="64D0BE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模型通常具有更高换手率和更高交易成本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实际投资中可能削弱理论收益。</w:t>
      </w:r>
    </w:p>
    <w:p w14:paraId="3D825A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3B742D4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六、</w:t>
      </w:r>
      <w:r>
        <w:rPr>
          <w:rFonts w:hint="eastAsia" w:ascii="黑体" w:hAnsi="黑体" w:eastAsia="黑体" w:cs="黑体"/>
          <w:sz w:val="24"/>
          <w:szCs w:val="24"/>
        </w:rPr>
        <w:t>为什么T-B模型理论上更优？</w:t>
      </w:r>
    </w:p>
    <w:p w14:paraId="2AB1B87F">
      <w:pPr>
        <w:rPr>
          <w:rFonts w:hint="eastAsia" w:ascii="黑体" w:hAnsi="黑体" w:eastAsia="黑体" w:cs="黑体"/>
          <w:sz w:val="24"/>
          <w:szCs w:val="24"/>
        </w:rPr>
      </w:pPr>
    </w:p>
    <w:p w14:paraId="7BCDE9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原因主要有三点：</w:t>
      </w:r>
    </w:p>
    <w:p w14:paraId="771C3E6B">
      <w:pPr>
        <w:rPr>
          <w:rFonts w:hint="eastAsia" w:ascii="宋体" w:hAnsi="宋体" w:eastAsia="宋体" w:cs="宋体"/>
          <w:sz w:val="24"/>
          <w:szCs w:val="24"/>
        </w:rPr>
      </w:pPr>
    </w:p>
    <w:p w14:paraId="5E38180C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利用了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信息</w:t>
      </w:r>
    </w:p>
    <w:p w14:paraId="5D15BF85">
      <w:pPr>
        <w:rPr>
          <w:rFonts w:hint="eastAsia" w:ascii="宋体" w:hAnsi="宋体" w:eastAsia="宋体" w:cs="宋体"/>
          <w:sz w:val="24"/>
          <w:szCs w:val="24"/>
        </w:rPr>
      </w:pPr>
    </w:p>
    <w:p w14:paraId="1E10E6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马科维茨只看收益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风险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进一步识别哪部分收益来自市场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哪部分收益来自选股能力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 xml:space="preserve">因此信息利用更充分。 </w:t>
      </w:r>
    </w:p>
    <w:p w14:paraId="26161EEC">
      <w:pPr>
        <w:rPr>
          <w:rFonts w:hint="eastAsia" w:ascii="宋体" w:hAnsi="宋体" w:eastAsia="宋体" w:cs="宋体"/>
          <w:sz w:val="24"/>
          <w:szCs w:val="24"/>
        </w:rPr>
      </w:pPr>
    </w:p>
    <w:p w14:paraId="2FF17951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系统风险与非系统风险分离</w:t>
      </w:r>
    </w:p>
    <w:p w14:paraId="253AE6D7">
      <w:pPr>
        <w:rPr>
          <w:rFonts w:hint="eastAsia" w:ascii="宋体" w:hAnsi="宋体" w:eastAsia="宋体" w:cs="宋体"/>
          <w:sz w:val="24"/>
          <w:szCs w:val="24"/>
        </w:rPr>
      </w:pPr>
    </w:p>
    <w:p w14:paraId="67232C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建立在单指数模型基础上：</w:t>
      </w:r>
    </w:p>
    <w:p w14:paraId="4AA6F3A4">
      <w:pPr>
        <w:numPr>
          <w:ilvl w:val="0"/>
          <w:numId w:val="1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Beta</w:t>
      </w:r>
      <w:r>
        <w:rPr>
          <w:rFonts w:hint="eastAsia" w:ascii="宋体" w:hAnsi="宋体" w:eastAsia="宋体" w:cs="宋体"/>
          <w:sz w:val="24"/>
          <w:szCs w:val="24"/>
        </w:rPr>
        <w:t>管理系统风险</w:t>
      </w:r>
    </w:p>
    <w:p w14:paraId="2E1BF9C9">
      <w:pPr>
        <w:numPr>
          <w:ilvl w:val="0"/>
          <w:numId w:val="1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捕获超额收益</w:t>
      </w:r>
    </w:p>
    <w:p w14:paraId="773A7184">
      <w:pPr>
        <w:rPr>
          <w:rFonts w:hint="eastAsia" w:ascii="宋体" w:hAnsi="宋体" w:eastAsia="宋体" w:cs="宋体"/>
          <w:sz w:val="24"/>
          <w:szCs w:val="24"/>
        </w:rPr>
      </w:pPr>
    </w:p>
    <w:p w14:paraId="5C4126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逻辑更加符合现代主动投资框架。</w:t>
      </w:r>
    </w:p>
    <w:p w14:paraId="0EB235A7">
      <w:pPr>
        <w:rPr>
          <w:rFonts w:hint="eastAsia" w:ascii="宋体" w:hAnsi="宋体" w:eastAsia="宋体" w:cs="宋体"/>
          <w:sz w:val="24"/>
          <w:szCs w:val="24"/>
        </w:rPr>
      </w:pPr>
    </w:p>
    <w:p w14:paraId="1B6B5477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允许市场中性配置</w:t>
      </w:r>
    </w:p>
    <w:p w14:paraId="10D65942">
      <w:pPr>
        <w:rPr>
          <w:rFonts w:hint="eastAsia" w:ascii="宋体" w:hAnsi="宋体" w:eastAsia="宋体" w:cs="宋体"/>
          <w:sz w:val="24"/>
          <w:szCs w:val="24"/>
        </w:rPr>
      </w:pPr>
    </w:p>
    <w:p w14:paraId="2F023B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通过做多优质股票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做空市场指数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获得纯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这是许多对冲基金采用的核心思路。</w:t>
      </w:r>
    </w:p>
    <w:p w14:paraId="539BB6DA">
      <w:pPr>
        <w:rPr>
          <w:rFonts w:hint="eastAsia" w:ascii="宋体" w:hAnsi="宋体" w:eastAsia="宋体" w:cs="宋体"/>
          <w:sz w:val="24"/>
          <w:szCs w:val="24"/>
        </w:rPr>
      </w:pPr>
    </w:p>
    <w:p w14:paraId="70DBE32F">
      <w:pPr>
        <w:numPr>
          <w:ilvl w:val="0"/>
          <w:numId w:val="14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模型局限性</w:t>
      </w:r>
    </w:p>
    <w:p w14:paraId="4893E4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F0FF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本文两种模型均基于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2020—2025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年的历史样本数据构建，未进行独立的样本外检验，因此无法直接验证模型在未来市场环境中的表现。</w:t>
      </w:r>
    </w:p>
    <w:p w14:paraId="420EA2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52F3E0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此外，本文还存在以下局限性：</w:t>
      </w:r>
    </w:p>
    <w:p w14:paraId="66800C6E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6B0387D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（1）未考虑交易成本和税费影响；</w:t>
      </w:r>
    </w:p>
    <w:p w14:paraId="2D0C3C7C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3C5CED8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（2）未考虑组合动态再平衡成本；</w:t>
      </w:r>
    </w:p>
    <w:p w14:paraId="61BDC96A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F715392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（3）未考虑流动性约束和融资融券限制；</w:t>
      </w:r>
    </w:p>
    <w:p w14:paraId="05BB6F13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7A7FEE3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（4）未考虑市场风格轮动和宏观经济环境变化。</w:t>
      </w:r>
    </w:p>
    <w:p w14:paraId="56711CE8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79C25728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因此，研究结果更多反映模型在历史样本期间的配置效果，而非未来收益的保证。</w:t>
      </w:r>
    </w:p>
    <w:p w14:paraId="2C779FB7">
      <w:pPr>
        <w:rPr>
          <w:rFonts w:hint="eastAsia" w:ascii="宋体" w:hAnsi="宋体" w:eastAsia="宋体" w:cs="宋体"/>
          <w:sz w:val="24"/>
          <w:szCs w:val="24"/>
        </w:rPr>
      </w:pPr>
    </w:p>
    <w:p w14:paraId="4687A8A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八、</w:t>
      </w:r>
      <w:r>
        <w:rPr>
          <w:rFonts w:hint="eastAsia" w:ascii="黑体" w:hAnsi="黑体" w:eastAsia="黑体" w:cs="黑体"/>
          <w:sz w:val="24"/>
          <w:szCs w:val="24"/>
        </w:rPr>
        <w:t>最终投资建议</w:t>
      </w:r>
    </w:p>
    <w:p w14:paraId="7972B64B">
      <w:pPr>
        <w:rPr>
          <w:rFonts w:hint="eastAsia" w:ascii="宋体" w:hAnsi="宋体" w:eastAsia="宋体" w:cs="宋体"/>
          <w:sz w:val="24"/>
          <w:szCs w:val="24"/>
        </w:rPr>
      </w:pPr>
    </w:p>
    <w:p w14:paraId="34F9C1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综合考虑样本内收益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样本外稳定性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行业分散度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风险暴露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换手率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实际可操作性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的因素。</w:t>
      </w:r>
    </w:p>
    <w:p w14:paraId="28DB93DE">
      <w:pPr>
        <w:rPr>
          <w:rFonts w:hint="eastAsia" w:ascii="宋体" w:hAnsi="宋体" w:eastAsia="宋体" w:cs="宋体"/>
          <w:sz w:val="24"/>
          <w:szCs w:val="24"/>
        </w:rPr>
      </w:pPr>
    </w:p>
    <w:p w14:paraId="10DACF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结论如下：</w:t>
      </w:r>
    </w:p>
    <w:p w14:paraId="273534D3">
      <w:pPr>
        <w:rPr>
          <w:rFonts w:hint="eastAsia" w:ascii="宋体" w:hAnsi="宋体" w:eastAsia="宋体" w:cs="宋体"/>
          <w:sz w:val="24"/>
          <w:szCs w:val="24"/>
        </w:rPr>
      </w:pPr>
    </w:p>
    <w:p w14:paraId="7ACAB16C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对普通投资者</w:t>
      </w:r>
    </w:p>
    <w:p w14:paraId="772BD9D3">
      <w:pPr>
        <w:rPr>
          <w:rFonts w:hint="eastAsia" w:ascii="宋体" w:hAnsi="宋体" w:eastAsia="宋体" w:cs="宋体"/>
          <w:sz w:val="24"/>
          <w:szCs w:val="24"/>
        </w:rPr>
      </w:pPr>
    </w:p>
    <w:p w14:paraId="14665B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对于风险承受能力中等且无法进行杠杆和卖空操作的普通投资者，建议</w:t>
      </w:r>
      <w:r>
        <w:rPr>
          <w:rFonts w:hint="eastAsia" w:ascii="宋体" w:hAnsi="宋体" w:eastAsia="宋体" w:cs="宋体"/>
          <w:sz w:val="24"/>
          <w:szCs w:val="24"/>
        </w:rPr>
        <w:t>优先选择马科维茨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最优</w:t>
      </w:r>
      <w:r>
        <w:rPr>
          <w:rFonts w:hint="eastAsia" w:ascii="宋体" w:hAnsi="宋体" w:eastAsia="宋体" w:cs="宋体"/>
          <w:sz w:val="24"/>
          <w:szCs w:val="24"/>
        </w:rPr>
        <w:t>组合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进行资产配置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21692A8">
      <w:pPr>
        <w:rPr>
          <w:rFonts w:hint="eastAsia" w:ascii="宋体" w:hAnsi="宋体" w:eastAsia="宋体" w:cs="宋体"/>
          <w:sz w:val="24"/>
          <w:szCs w:val="24"/>
        </w:rPr>
      </w:pPr>
    </w:p>
    <w:p w14:paraId="593017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原因：</w:t>
      </w:r>
    </w:p>
    <w:p w14:paraId="7E434DD6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不需要杠杆</w:t>
      </w:r>
    </w:p>
    <w:p w14:paraId="4305EFDA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不需要卖空</w:t>
      </w:r>
    </w:p>
    <w:p w14:paraId="00C2227F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风险可控</w:t>
      </w:r>
    </w:p>
    <w:p w14:paraId="32D74B15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实施简单</w:t>
      </w:r>
    </w:p>
    <w:p w14:paraId="7F1E44A3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交易成本低</w:t>
      </w:r>
    </w:p>
    <w:p w14:paraId="302667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更符合现实投资环境。</w:t>
      </w:r>
    </w:p>
    <w:p w14:paraId="6209E5B3">
      <w:pPr>
        <w:rPr>
          <w:rFonts w:hint="eastAsia" w:ascii="宋体" w:hAnsi="宋体" w:eastAsia="宋体" w:cs="宋体"/>
          <w:sz w:val="24"/>
          <w:szCs w:val="24"/>
        </w:rPr>
      </w:pPr>
    </w:p>
    <w:p w14:paraId="18936A9F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建议配置方案：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269"/>
      </w:tblGrid>
      <w:tr w14:paraId="2911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84B640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股票</w:t>
            </w:r>
          </w:p>
        </w:tc>
        <w:tc>
          <w:tcPr>
            <w:tcW w:w="4419" w:type="dxa"/>
          </w:tcPr>
          <w:p w14:paraId="45DBAA6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权重</w:t>
            </w:r>
          </w:p>
        </w:tc>
      </w:tr>
      <w:tr w14:paraId="2A60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6848A0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宁德时代</w:t>
            </w:r>
          </w:p>
        </w:tc>
        <w:tc>
          <w:tcPr>
            <w:tcW w:w="4419" w:type="dxa"/>
          </w:tcPr>
          <w:p w14:paraId="56BA330C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25.0%</w:t>
            </w:r>
          </w:p>
        </w:tc>
      </w:tr>
      <w:tr w14:paraId="45DD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32981B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赣锋锂业</w:t>
            </w:r>
          </w:p>
        </w:tc>
        <w:tc>
          <w:tcPr>
            <w:tcW w:w="4419" w:type="dxa"/>
          </w:tcPr>
          <w:p w14:paraId="79152CCE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15.0%</w:t>
            </w:r>
          </w:p>
        </w:tc>
      </w:tr>
      <w:tr w14:paraId="590F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26FA9E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隆基绿能</w:t>
            </w:r>
          </w:p>
        </w:tc>
        <w:tc>
          <w:tcPr>
            <w:tcW w:w="4419" w:type="dxa"/>
          </w:tcPr>
          <w:p w14:paraId="673BA09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15.0%</w:t>
            </w:r>
          </w:p>
        </w:tc>
      </w:tr>
      <w:tr w14:paraId="17C4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919814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长江电力</w:t>
            </w:r>
          </w:p>
        </w:tc>
        <w:tc>
          <w:tcPr>
            <w:tcW w:w="4419" w:type="dxa"/>
          </w:tcPr>
          <w:p w14:paraId="2251370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11.6%</w:t>
            </w:r>
          </w:p>
        </w:tc>
      </w:tr>
      <w:tr w14:paraId="45EB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A4CD26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工商银行</w:t>
            </w:r>
          </w:p>
        </w:tc>
        <w:tc>
          <w:tcPr>
            <w:tcW w:w="4419" w:type="dxa"/>
          </w:tcPr>
          <w:p w14:paraId="1AB6C914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13.0%</w:t>
            </w:r>
          </w:p>
        </w:tc>
      </w:tr>
      <w:tr w14:paraId="6AC0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977FD4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招商银行</w:t>
            </w:r>
          </w:p>
        </w:tc>
        <w:tc>
          <w:tcPr>
            <w:tcW w:w="4419" w:type="dxa"/>
          </w:tcPr>
          <w:p w14:paraId="1408AAC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12.0%</w:t>
            </w:r>
          </w:p>
        </w:tc>
      </w:tr>
      <w:tr w14:paraId="6DC5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7F4A18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长电科技</w:t>
            </w:r>
          </w:p>
        </w:tc>
        <w:tc>
          <w:tcPr>
            <w:tcW w:w="4419" w:type="dxa"/>
          </w:tcPr>
          <w:p w14:paraId="231A8E9B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8.4%</w:t>
            </w:r>
          </w:p>
        </w:tc>
      </w:tr>
    </w:tbl>
    <w:p w14:paraId="01A617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66DA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需要注意的是，该组合对新能源行业配置比例较高，投资者应根据市场环境变化定期再平衡，并关注行业景气度变化对组合收益的影响。</w:t>
      </w:r>
    </w:p>
    <w:p w14:paraId="623085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BC804C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对机构投资者或量化基金</w:t>
      </w:r>
    </w:p>
    <w:p w14:paraId="18AECEEB">
      <w:pPr>
        <w:rPr>
          <w:rFonts w:hint="eastAsia" w:ascii="宋体" w:hAnsi="宋体" w:eastAsia="宋体" w:cs="宋体"/>
          <w:sz w:val="24"/>
          <w:szCs w:val="24"/>
        </w:rPr>
      </w:pPr>
    </w:p>
    <w:p w14:paraId="7DABC5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可采用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模型思想。</w:t>
      </w:r>
    </w:p>
    <w:p w14:paraId="0F955F76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1DEB99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但建议限制杠杆倍数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设置行业权重上限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szCs w:val="24"/>
        </w:rPr>
        <w:t>定期检验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持续性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避免出现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失效导致组合崩溃。</w:t>
      </w:r>
    </w:p>
    <w:p w14:paraId="3CD48138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3E3A7A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最终结论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4E1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50AC8E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维度</w:t>
            </w:r>
          </w:p>
        </w:tc>
        <w:tc>
          <w:tcPr>
            <w:tcW w:w="2130" w:type="dxa"/>
          </w:tcPr>
          <w:p w14:paraId="63099ACE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马科维茨</w:t>
            </w:r>
          </w:p>
        </w:tc>
        <w:tc>
          <w:tcPr>
            <w:tcW w:w="2131" w:type="dxa"/>
          </w:tcPr>
          <w:p w14:paraId="4265FB9E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T-B</w:t>
            </w:r>
          </w:p>
        </w:tc>
        <w:tc>
          <w:tcPr>
            <w:tcW w:w="2131" w:type="dxa"/>
          </w:tcPr>
          <w:p w14:paraId="77A23AD5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优势方</w:t>
            </w:r>
          </w:p>
        </w:tc>
      </w:tr>
      <w:tr w14:paraId="7D18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E16C42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样本内收益</w:t>
            </w:r>
          </w:p>
        </w:tc>
        <w:tc>
          <w:tcPr>
            <w:tcW w:w="2130" w:type="dxa"/>
          </w:tcPr>
          <w:p w14:paraId="5FBE984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  <w:tc>
          <w:tcPr>
            <w:tcW w:w="2131" w:type="dxa"/>
          </w:tcPr>
          <w:p w14:paraId="049B20D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更高</w:t>
            </w:r>
          </w:p>
        </w:tc>
        <w:tc>
          <w:tcPr>
            <w:tcW w:w="2131" w:type="dxa"/>
          </w:tcPr>
          <w:p w14:paraId="2A99BF01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T-B</w:t>
            </w:r>
          </w:p>
        </w:tc>
      </w:tr>
      <w:tr w14:paraId="04E1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49A60A9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样本外稳定性（理论）</w:t>
            </w:r>
          </w:p>
        </w:tc>
        <w:tc>
          <w:tcPr>
            <w:tcW w:w="2130" w:type="dxa"/>
          </w:tcPr>
          <w:p w14:paraId="1F1B5936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一般</w:t>
            </w:r>
          </w:p>
        </w:tc>
        <w:tc>
          <w:tcPr>
            <w:tcW w:w="2131" w:type="dxa"/>
          </w:tcPr>
          <w:p w14:paraId="1A97B81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较好</w:t>
            </w:r>
          </w:p>
        </w:tc>
        <w:tc>
          <w:tcPr>
            <w:tcW w:w="2131" w:type="dxa"/>
          </w:tcPr>
          <w:p w14:paraId="385921D0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T-B</w:t>
            </w:r>
          </w:p>
        </w:tc>
      </w:tr>
      <w:tr w14:paraId="30EF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82DED8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行业分散度</w:t>
            </w:r>
          </w:p>
        </w:tc>
        <w:tc>
          <w:tcPr>
            <w:tcW w:w="2130" w:type="dxa"/>
          </w:tcPr>
          <w:p w14:paraId="3AE0E155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较好</w:t>
            </w:r>
          </w:p>
        </w:tc>
        <w:tc>
          <w:tcPr>
            <w:tcW w:w="2131" w:type="dxa"/>
          </w:tcPr>
          <w:p w14:paraId="185E0F7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较低</w:t>
            </w:r>
          </w:p>
        </w:tc>
        <w:tc>
          <w:tcPr>
            <w:tcW w:w="2131" w:type="dxa"/>
          </w:tcPr>
          <w:p w14:paraId="3224FBDF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马科维茨</w:t>
            </w:r>
          </w:p>
        </w:tc>
      </w:tr>
      <w:tr w14:paraId="5968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A1BB4F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换手率（理论）</w:t>
            </w:r>
          </w:p>
        </w:tc>
        <w:tc>
          <w:tcPr>
            <w:tcW w:w="2130" w:type="dxa"/>
          </w:tcPr>
          <w:p w14:paraId="0711138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较低</w:t>
            </w:r>
          </w:p>
        </w:tc>
        <w:tc>
          <w:tcPr>
            <w:tcW w:w="2131" w:type="dxa"/>
          </w:tcPr>
          <w:p w14:paraId="073370A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  <w:tc>
          <w:tcPr>
            <w:tcW w:w="2131" w:type="dxa"/>
          </w:tcPr>
          <w:p w14:paraId="723E36AA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马科维茨</w:t>
            </w:r>
          </w:p>
        </w:tc>
      </w:tr>
      <w:tr w14:paraId="7E2D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E70479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杠杆风险</w:t>
            </w:r>
          </w:p>
        </w:tc>
        <w:tc>
          <w:tcPr>
            <w:tcW w:w="2130" w:type="dxa"/>
          </w:tcPr>
          <w:p w14:paraId="46BD589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2131" w:type="dxa"/>
          </w:tcPr>
          <w:p w14:paraId="45B636E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很高</w:t>
            </w:r>
          </w:p>
        </w:tc>
        <w:tc>
          <w:tcPr>
            <w:tcW w:w="2131" w:type="dxa"/>
          </w:tcPr>
          <w:p w14:paraId="04E3D35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马科维茨</w:t>
            </w:r>
          </w:p>
        </w:tc>
      </w:tr>
      <w:tr w14:paraId="7203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230D66C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实施难度</w:t>
            </w:r>
          </w:p>
        </w:tc>
        <w:tc>
          <w:tcPr>
            <w:tcW w:w="2130" w:type="dxa"/>
          </w:tcPr>
          <w:p w14:paraId="33EA187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  <w:tc>
          <w:tcPr>
            <w:tcW w:w="2131" w:type="dxa"/>
          </w:tcPr>
          <w:p w14:paraId="6894CF2D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  <w:tc>
          <w:tcPr>
            <w:tcW w:w="2131" w:type="dxa"/>
          </w:tcPr>
          <w:p w14:paraId="4E2B8F6A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马科维茨</w:t>
            </w:r>
          </w:p>
        </w:tc>
      </w:tr>
    </w:tbl>
    <w:p w14:paraId="5C2EA609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01053B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从理论收益能力来看，</w:t>
      </w: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组合更优，因为其充分利用了个股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并引入市场对冲机制；但从样本外稳定性和现实可操作性来看，马科维茨最优组合更具优势。对于大多数投资者而言，推荐采用马科维茨组合或在其基础上引入适度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筛选，而非直接使用</w:t>
      </w:r>
      <w:r>
        <w:rPr>
          <w:rFonts w:hint="default" w:ascii="Times New Roman" w:hAnsi="Times New Roman" w:eastAsia="宋体" w:cs="Times New Roman"/>
          <w:sz w:val="24"/>
          <w:szCs w:val="24"/>
        </w:rPr>
        <w:t>447%</w:t>
      </w:r>
      <w:r>
        <w:rPr>
          <w:rFonts w:hint="eastAsia" w:ascii="宋体" w:hAnsi="宋体" w:eastAsia="宋体" w:cs="宋体"/>
          <w:sz w:val="24"/>
          <w:szCs w:val="24"/>
        </w:rPr>
        <w:t>杠杆和</w:t>
      </w:r>
      <w:r>
        <w:rPr>
          <w:rFonts w:hint="default" w:ascii="Times New Roman" w:hAnsi="Times New Roman" w:eastAsia="宋体" w:cs="Times New Roman"/>
          <w:sz w:val="24"/>
          <w:szCs w:val="24"/>
        </w:rPr>
        <w:t>347%</w:t>
      </w:r>
      <w:r>
        <w:rPr>
          <w:rFonts w:hint="eastAsia" w:ascii="宋体" w:hAnsi="宋体" w:eastAsia="宋体" w:cs="宋体"/>
          <w:sz w:val="24"/>
          <w:szCs w:val="24"/>
        </w:rPr>
        <w:t>卖空的</w:t>
      </w: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极端配置方案。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CEC2B"/>
    <w:multiLevelType w:val="singleLevel"/>
    <w:tmpl w:val="8E7CEC2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9125000"/>
    <w:multiLevelType w:val="singleLevel"/>
    <w:tmpl w:val="99125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7F8E8A8"/>
    <w:multiLevelType w:val="singleLevel"/>
    <w:tmpl w:val="A7F8E8A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DCDC982"/>
    <w:multiLevelType w:val="singleLevel"/>
    <w:tmpl w:val="ADCDC9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1F83D4F"/>
    <w:multiLevelType w:val="singleLevel"/>
    <w:tmpl w:val="B1F83D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6688A22"/>
    <w:multiLevelType w:val="singleLevel"/>
    <w:tmpl w:val="B6688A2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C050E56C"/>
    <w:multiLevelType w:val="singleLevel"/>
    <w:tmpl w:val="C050E5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3777300"/>
    <w:multiLevelType w:val="singleLevel"/>
    <w:tmpl w:val="D377730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E9AF8807"/>
    <w:multiLevelType w:val="singleLevel"/>
    <w:tmpl w:val="E9AF8807"/>
    <w:lvl w:ilvl="0" w:tentative="0">
      <w:start w:val="7"/>
      <w:numFmt w:val="chineseCounting"/>
      <w:suff w:val="nothing"/>
      <w:lvlText w:val="%1、"/>
      <w:lvlJc w:val="left"/>
      <w:rPr>
        <w:rFonts w:hint="eastAsia" w:ascii="黑体" w:hAnsi="黑体" w:eastAsia="黑体" w:cs="黑体"/>
        <w:sz w:val="24"/>
        <w:szCs w:val="24"/>
      </w:rPr>
    </w:lvl>
  </w:abstractNum>
  <w:abstractNum w:abstractNumId="9">
    <w:nsid w:val="08AD5877"/>
    <w:multiLevelType w:val="singleLevel"/>
    <w:tmpl w:val="08AD587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376A1178"/>
    <w:multiLevelType w:val="singleLevel"/>
    <w:tmpl w:val="376A117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5A45FDC7"/>
    <w:multiLevelType w:val="singleLevel"/>
    <w:tmpl w:val="5A45FD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D705E47"/>
    <w:multiLevelType w:val="singleLevel"/>
    <w:tmpl w:val="5D705E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6978D96B"/>
    <w:multiLevelType w:val="singleLevel"/>
    <w:tmpl w:val="6978D96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79D31E21"/>
    <w:multiLevelType w:val="singleLevel"/>
    <w:tmpl w:val="79D31E2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7A9625F2"/>
    <w:multiLevelType w:val="singleLevel"/>
    <w:tmpl w:val="7A9625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6"/>
  </w:num>
  <w:num w:numId="5">
    <w:abstractNumId w:val="5"/>
  </w:num>
  <w:num w:numId="6">
    <w:abstractNumId w:val="10"/>
  </w:num>
  <w:num w:numId="7">
    <w:abstractNumId w:val="4"/>
  </w:num>
  <w:num w:numId="8">
    <w:abstractNumId w:val="9"/>
  </w:num>
  <w:num w:numId="9">
    <w:abstractNumId w:val="0"/>
  </w:num>
  <w:num w:numId="10">
    <w:abstractNumId w:val="14"/>
  </w:num>
  <w:num w:numId="11">
    <w:abstractNumId w:val="11"/>
  </w:num>
  <w:num w:numId="12">
    <w:abstractNumId w:val="3"/>
  </w:num>
  <w:num w:numId="13">
    <w:abstractNumId w:val="2"/>
  </w:num>
  <w:num w:numId="14">
    <w:abstractNumId w:val="8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B09D4"/>
    <w:rsid w:val="0FEA5A8B"/>
    <w:rsid w:val="10A330F5"/>
    <w:rsid w:val="126458B4"/>
    <w:rsid w:val="14A4434E"/>
    <w:rsid w:val="2DC35AEA"/>
    <w:rsid w:val="4695393B"/>
    <w:rsid w:val="509E227E"/>
    <w:rsid w:val="50A03474"/>
    <w:rsid w:val="75155C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">
    <w:name w:val="Light Shading Accent 1"/>
    <w:basedOn w:val="3"/>
    <w:qFormat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2182</Words>
  <Characters>2513</Characters>
  <Lines>0</Lines>
  <Paragraphs>0</Paragraphs>
  <TotalTime>16</TotalTime>
  <ScaleCrop>false</ScaleCrop>
  <LinksUpToDate>false</LinksUpToDate>
  <CharactersWithSpaces>2525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2026-06-10T19:53:00Z</dcterms:created>
  <dc:creator>iPhone</dc:creator>
  <cp:lastModifiedBy>怡</cp:lastModifiedBy>
  <dcterms:modified xsi:type="dcterms:W3CDTF">2026-06-11T06:25:50Z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513D4D22759641EB4E50296AE5E1F2A7_31</vt:lpwstr>
  </property>
  <property fmtid="{D5CDD505-2E9C-101B-9397-08002B2CF9AE}" pid="4" name="KSOTemplateDocerSaveRecord">
    <vt:lpwstr>eyJoZGlkIjoiMDljYzUzMWQ4OWI0YzBkYjYzMDRhZTY5ZjZkYmFmYTgiLCJ1c2VySWQiOiIxMzI3MzYwNDMwIn0=</vt:lpwstr>
  </property>
</Properties>
</file>