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SimHei" w:hAnsi="SimHei" w:eastAsia="SimHei"/>
          <w:b/>
          <w:sz w:val="36"/>
        </w:rPr>
        <w:t>基督教公益组织的"去标识化"实践困境</w:t>
      </w:r>
    </w:p>
    <w:p>
      <w:pPr>
        <w:spacing w:after="80"/>
        <w:jc w:val="center"/>
      </w:pPr>
      <w:r>
        <w:rPr>
          <w:rFonts w:ascii="SimHei" w:hAnsi="SimHei" w:eastAsia="SimHei"/>
          <w:b/>
          <w:sz w:val="28"/>
        </w:rPr>
        <w:t>——以浙江省光盐爱心基金会为例</w:t>
      </w:r>
    </w:p>
    <w:p>
      <w:pPr>
        <w:spacing w:after="40"/>
        <w:jc w:val="center"/>
      </w:pPr>
      <w:r>
        <w:rPr>
          <w:rFonts w:ascii="SimSun" w:hAnsi="SimSun" w:eastAsia="SimSun"/>
          <w:b/>
          <w:sz w:val="24"/>
        </w:rPr>
        <w:t>叶畏兵</w:t>
      </w:r>
    </w:p>
    <w:p>
      <w:pPr>
        <w:spacing w:after="240" w:line="300" w:lineRule="exact"/>
        <w:jc w:val="center"/>
      </w:pPr>
      <w:r>
        <w:rPr>
          <w:rFonts w:ascii="SimSun" w:hAnsi="SimSun" w:eastAsia="SimSun"/>
          <w:b w:val="0"/>
          <w:sz w:val="20"/>
        </w:rPr>
        <w:t>（台州市椒江基督教堂副主任，椒江区基督教两会副总干事）</w:t>
      </w:r>
    </w:p>
    <w:p>
      <w:pPr>
        <w:spacing w:after="80" w:line="360" w:lineRule="exact"/>
        <w:ind w:firstLine="420"/>
      </w:pPr>
      <w:r>
        <w:rPr>
          <w:rFonts w:ascii="SimHei" w:hAnsi="SimHei" w:eastAsia="SimHei"/>
          <w:b/>
          <w:sz w:val="24"/>
        </w:rPr>
        <w:t>摘  要：</w:t>
      </w:r>
      <w:r>
        <w:rPr>
          <w:rFonts w:ascii="SimSun" w:hAnsi="SimSun" w:eastAsia="SimSun"/>
          <w:b w:val="0"/>
          <w:sz w:val="24"/>
        </w:rPr>
        <w:t>基督教公益组织普遍采取淡化宗教符号表征的"去标识化"策略，但这一策略在执行中面临怎样的内在困境？本文以浙江省光盐爱心基金会为案例，结合组织社会学与宗教社会学理论进行考察。研究发现，"去标识化"在执行中制造了三重张力：神学使命与公共服务的符号割裂、信众期待与公众信任的信息圈层穿透、制度合规与组织自主的边界模糊。既有文献多讨论"去标识化"是否必要、应如何执行，本文则追问其内在代价——策略在功能上越是顺利运转，三重困境之间的相互强化就越发难以拆解。</w:t>
      </w:r>
    </w:p>
    <w:p>
      <w:pPr>
        <w:spacing w:after="320"/>
      </w:pPr>
      <w:r>
        <w:rPr>
          <w:rFonts w:ascii="SimHei" w:hAnsi="SimHei" w:eastAsia="SimHei"/>
          <w:b/>
          <w:sz w:val="24"/>
        </w:rPr>
        <w:t>关键词：</w:t>
      </w:r>
      <w:r>
        <w:rPr>
          <w:rFonts w:ascii="SimSun" w:hAnsi="SimSun" w:eastAsia="SimSun"/>
          <w:b w:val="0"/>
          <w:sz w:val="24"/>
        </w:rPr>
        <w:t>去标识化；基督教公益组织；浙江光盐爱心基金会；宗教中国化；组织合法性</w:t>
      </w:r>
    </w:p>
    <w:p>
      <w:pPr>
        <w:spacing w:after="160" w:before="0" w:line="400" w:lineRule="exact"/>
      </w:pPr>
      <w:r>
        <w:rPr>
          <w:rFonts w:ascii="SimSun" w:hAnsi="SimSun" w:eastAsia="SimSun"/>
          <w:b/>
          <w:sz w:val="28"/>
        </w:rPr>
        <w:t>一、引言</w:t>
      </w:r>
    </w:p>
    <w:p>
      <w:pPr>
        <w:spacing w:after="160" w:before="0" w:line="360" w:lineRule="exact"/>
        <w:ind w:firstLine="420"/>
      </w:pPr>
      <w:r>
        <w:rPr>
          <w:rFonts w:ascii="SimSun" w:hAnsi="SimSun" w:eastAsia="SimSun"/>
          <w:b w:val="0"/>
          <w:sz w:val="24"/>
        </w:rPr>
        <w:t>近年来，基督教背景的公益组织在参与社会服务时出现了一个耐人寻味的现象：机构名称从"主恩""以马内利"悄然转向"光盐""圣爱"，项目执行中不再设置十字架、不发放福音单张、不询问受助者宗教信仰。以浙江省光盐爱心基金会（成立于2011年）为例，这家省级基督教公益组织在长达十余年的"光盐助学"项目中始终坚持不附加宗教条件。与光盐基金会类似的机构——如杭州圣爱康复医院，自2006年成立以来同样以普通医疗机构身份参与社区医疗服务。这种现象引发了一个被既有研究忽略的问题：这种"去标识化"策略，究竟在实践中面临怎样的内在张力？</w:t>
      </w:r>
    </w:p>
    <w:p>
      <w:pPr>
        <w:spacing w:after="120" w:before="0" w:line="400" w:lineRule="exact"/>
      </w:pPr>
      <w:r>
        <w:rPr>
          <w:rFonts w:ascii="SimSun" w:hAnsi="SimSun" w:eastAsia="SimSun"/>
          <w:b/>
          <w:sz w:val="24"/>
        </w:rPr>
        <w:t>（一）概念界定</w:t>
      </w:r>
    </w:p>
    <w:p>
      <w:pPr>
        <w:spacing w:after="160" w:before="0" w:line="360" w:lineRule="exact"/>
        <w:ind w:firstLine="420"/>
      </w:pPr>
      <w:r>
        <w:rPr>
          <w:rFonts w:ascii="SimSun" w:hAnsi="SimSun" w:eastAsia="SimSun"/>
          <w:b w:val="0"/>
          <w:sz w:val="24"/>
        </w:rPr>
        <w:t>上述现象可概括为"去标识化"——基督教公益组织在社会服务中主动淡化宗教符号表征、将宗教动机转化为公共行动语言的组织策略。操作上分三个层面：对外，品牌命名回避宗教符号，项目宣传不突出教会身份，活动现场不印制宗教标识；对内，服务不附加宗教条件；在深层逻辑上，"去标识化"不是"去宗教化"，而是将宗教动机转化为公共行动的过程——通过纯粹公益展现仁爱精神，而非通过符号宣告信仰身份。本文不讨论"去标识化"是否应当——《宗教事务条例》对此已有明确回答——而是追问它在组织实践中如何执行、遇到什么困难。</w:t>
      </w:r>
    </w:p>
    <w:p>
      <w:pPr>
        <w:spacing w:after="120" w:before="0" w:line="400" w:lineRule="exact"/>
      </w:pPr>
      <w:r>
        <w:rPr>
          <w:rFonts w:ascii="SimSun" w:hAnsi="SimSun" w:eastAsia="SimSun"/>
          <w:b/>
          <w:sz w:val="24"/>
        </w:rPr>
        <w:t>（二）文献定位</w:t>
      </w:r>
    </w:p>
    <w:p>
      <w:pPr>
        <w:spacing w:after="120" w:before="0" w:line="360" w:lineRule="exact"/>
        <w:ind w:firstLine="420"/>
      </w:pPr>
      <w:r>
        <w:rPr>
          <w:rFonts w:ascii="SimSun" w:hAnsi="SimSun" w:eastAsia="SimSun"/>
          <w:b w:val="0"/>
          <w:sz w:val="24"/>
        </w:rPr>
        <w:t>宗教中国化的既有讨论大多沿着两条路径展开：一是政策层面的宏观阐释，二是教义与中华文化的对接建构。这些研究为理解宗教中国化的"应然"方向提供了坚实框架，但一个共同的盲点是——它们很少追问这些融合策略在基层组织的日常运作中究竟遇到什么困难。</w:t>
      </w:r>
    </w:p>
    <w:p>
      <w:pPr>
        <w:spacing w:after="120" w:before="0" w:line="360" w:lineRule="exact"/>
        <w:ind w:firstLine="420"/>
      </w:pPr>
      <w:r>
        <w:rPr>
          <w:rFonts w:ascii="SimSun" w:hAnsi="SimSun" w:eastAsia="SimSun"/>
          <w:b w:val="0"/>
          <w:sz w:val="24"/>
        </w:rPr>
        <w:t>基督教公益组织的案例研究已积累若干重要实例，但多为经验总结和政策倡导，鲜少追问策略执行中的内在张力。组织社会学关于制度压力与组织策略的讨论，为分析"去标识化"提供了理论工具，但尚未被系统应用于中国基督教公益领域。</w:t>
      </w:r>
    </w:p>
    <w:p>
      <w:pPr>
        <w:spacing w:after="160" w:before="0" w:line="360" w:lineRule="exact"/>
        <w:ind w:firstLine="420"/>
      </w:pPr>
      <w:r>
        <w:rPr>
          <w:rFonts w:ascii="SimSun" w:hAnsi="SimSun" w:eastAsia="SimSun"/>
          <w:b w:val="0"/>
          <w:sz w:val="24"/>
        </w:rPr>
        <w:t>本文以组织社会学工具审视光盐案例中的策略执行困境，追问"去标识化"策略自身的代价。</w:t>
      </w:r>
    </w:p>
    <w:p>
      <w:pPr>
        <w:spacing w:after="120" w:before="0" w:line="400" w:lineRule="exact"/>
      </w:pPr>
      <w:r>
        <w:rPr>
          <w:rFonts w:ascii="SimSun" w:hAnsi="SimSun" w:eastAsia="SimSun"/>
          <w:b/>
          <w:sz w:val="24"/>
        </w:rPr>
        <w:t>（三）研究方法与资料来源</w:t>
      </w:r>
    </w:p>
    <w:p>
      <w:pPr>
        <w:spacing w:after="200" w:before="0" w:line="360" w:lineRule="exact"/>
        <w:ind w:firstLine="420"/>
      </w:pPr>
      <w:r>
        <w:rPr>
          <w:rFonts w:ascii="SimSun" w:hAnsi="SimSun" w:eastAsia="SimSun"/>
          <w:b w:val="0"/>
          <w:sz w:val="24"/>
        </w:rPr>
        <w:t>本文采用案例研究方法，以浙江省光盐爱心基金会为主要分析对象，辅以杭州圣爱康复医院作为参照案例。田野调查于2023年至2024年间分三次进行，累计约六周。资料收集方式包括：对光盐基金会管理人员与一线志愿者进行半结构化访谈（共12人、18人次），对"光盐助学"项目受益家庭进行入户走访（共8户），参与观察基金会年度走访活动及内部培训会议，以及系统收集基金会年度报告、章程、宣传材料和民政部门登记信息等文献资料。杭州圣爱康复医院的资料主要通过公开渠道和间接访谈获取。所有访谈均获得知情同意，对涉及个人隐私的信息已作匿名化处理。</w:t>
      </w:r>
    </w:p>
    <w:p>
      <w:pPr>
        <w:spacing w:after="160" w:before="0" w:line="400" w:lineRule="exact"/>
      </w:pPr>
      <w:r>
        <w:rPr>
          <w:rFonts w:ascii="SimSun" w:hAnsi="SimSun" w:eastAsia="SimSun"/>
          <w:b/>
          <w:sz w:val="24"/>
        </w:rPr>
        <w:t>二、为何需要"去标识化"：三重压力的交汇</w:t>
      </w:r>
    </w:p>
    <w:p>
      <w:pPr>
        <w:spacing w:after="160" w:before="0" w:line="360" w:lineRule="exact"/>
        <w:ind w:firstLine="420"/>
      </w:pPr>
      <w:r>
        <w:rPr>
          <w:rFonts w:ascii="SimSun" w:hAnsi="SimSun" w:eastAsia="SimSun"/>
          <w:b w:val="0"/>
          <w:sz w:val="24"/>
        </w:rPr>
        <w:t>"去标识化"主要是在三重压力交汇下形成的：政策层面划定了合规底线，社会认知层面制造了信任门槛，组织则在两者之间寻找可操作的生存策略。</w:t>
      </w:r>
    </w:p>
    <w:p>
      <w:pPr>
        <w:spacing w:after="120" w:before="0" w:line="400" w:lineRule="exact"/>
      </w:pPr>
      <w:r>
        <w:rPr>
          <w:rFonts w:ascii="SimSun" w:hAnsi="SimSun" w:eastAsia="SimSun"/>
          <w:b/>
          <w:sz w:val="24"/>
        </w:rPr>
        <w:t>（一）政策压力：合规性底线</w:t>
      </w:r>
    </w:p>
    <w:p>
      <w:pPr>
        <w:spacing w:after="120" w:before="0" w:line="360" w:lineRule="exact"/>
        <w:ind w:firstLine="420"/>
      </w:pPr>
      <w:r>
        <w:rPr>
          <w:rFonts w:ascii="SimSun" w:hAnsi="SimSun" w:eastAsia="SimSun"/>
          <w:b w:val="0"/>
          <w:sz w:val="24"/>
        </w:rPr>
        <w:t>根据《宗教事务条例》，宗教活动应当限定在宗教活动场所内进行。这意味着在公益场所展示宗教标识、发放宗教宣传品，即构成事实上的"场外宗教活动"，面临合规风险。国家宗教事务局等十二部门进一步明确要求宗教界从事公益慈善活动时不得传播宗教，从制度层面划定了宗教公益与宗教活动之间的边界。</w:t>
      </w:r>
    </w:p>
    <w:p>
      <w:pPr>
        <w:spacing w:after="160" w:before="0" w:line="360" w:lineRule="exact"/>
        <w:ind w:firstLine="420"/>
      </w:pPr>
      <w:r>
        <w:rPr>
          <w:rFonts w:ascii="SimSun" w:hAnsi="SimSun" w:eastAsia="SimSun"/>
          <w:b w:val="0"/>
          <w:sz w:val="24"/>
        </w:rPr>
        <w:t>田野研究亦表明，当教会活动带有明显宗教符号时，社区非信众的接受度会显著下降。现实中，部分乡村教会在助老帮扶中向独居老人发放物资时同步发放宗教宣传册，不仅直接违法，也损害了整个基督教公益事业的公信力。"去标识化"的第一推动力来自政策合规底线。</w:t>
      </w:r>
    </w:p>
    <w:p>
      <w:pPr>
        <w:spacing w:after="120" w:before="0" w:line="400" w:lineRule="exact"/>
      </w:pPr>
      <w:r>
        <w:rPr>
          <w:rFonts w:ascii="SimSun" w:hAnsi="SimSun" w:eastAsia="SimSun"/>
          <w:b/>
          <w:sz w:val="24"/>
        </w:rPr>
        <w:t>（二）社会压力：历史记忆与刻板印象</w:t>
      </w:r>
    </w:p>
    <w:p>
      <w:pPr>
        <w:spacing w:after="160" w:before="0" w:line="360" w:lineRule="exact"/>
        <w:ind w:firstLine="420"/>
      </w:pPr>
      <w:r>
        <w:rPr>
          <w:rFonts w:ascii="SimSun" w:hAnsi="SimSun" w:eastAsia="SimSun"/>
          <w:b w:val="0"/>
          <w:sz w:val="24"/>
        </w:rPr>
        <w:t>如果说政策压力划定了"能不能做"的边界，社会认知压力则决定了"即使能做，是否被信任"——后者比前者更难通过制度手段消除。中国社会对基督教的认知长期受特定历史记忆影响——晚清教案的历史叙事、改革开放后部分地下教会的负面印象等因素叠加，加之现实中个别教会的功利化慈善行为，使"基督教+慈善"在社会认知中天然携带"传教动机"的疑云。这种信任缺失不仅来自个别违规行为，更来自结构性的认知惯性——保留宗教标识的公益行为即便动机纯粹，也很难获得公众认可。</w:t>
      </w:r>
    </w:p>
    <w:p>
      <w:pPr>
        <w:spacing w:after="120" w:before="0" w:line="400" w:lineRule="exact"/>
      </w:pPr>
      <w:r>
        <w:rPr>
          <w:rFonts w:ascii="SimSun" w:hAnsi="SimSun" w:eastAsia="SimSun"/>
          <w:b/>
          <w:sz w:val="24"/>
        </w:rPr>
        <w:t>（三）组织压力：合法性获取与可持续性</w:t>
      </w:r>
    </w:p>
    <w:p>
      <w:pPr>
        <w:spacing w:after="120" w:before="0" w:line="360" w:lineRule="exact"/>
        <w:ind w:firstLine="420"/>
      </w:pPr>
      <w:r>
        <w:rPr>
          <w:rFonts w:ascii="SimSun" w:hAnsi="SimSun" w:eastAsia="SimSun"/>
          <w:b w:val="0"/>
          <w:sz w:val="24"/>
        </w:rPr>
        <w:t>基督教公益组织需要同时获得两种合法性：宗教领域的信仰合法性与公共领域的社会合法性。组织社会学指出，组织面临制度压力时会通过调整自身结构和行为来获取合法性。</w:t>
      </w:r>
    </w:p>
    <w:p>
      <w:pPr>
        <w:spacing w:after="120" w:before="0" w:line="360" w:lineRule="exact"/>
        <w:ind w:firstLine="420"/>
      </w:pPr>
      <w:r>
        <w:rPr>
          <w:rFonts w:ascii="SimSun" w:hAnsi="SimSun" w:eastAsia="SimSun"/>
          <w:b w:val="0"/>
          <w:sz w:val="24"/>
        </w:rPr>
        <w:t>以光盐基金会为例，其使命表述为"热爱生命、扶贫济困，同蒙福祉，共享主恩、荣神益人"——前半句是纯粹公益话语，后半句是内部信仰表达。公益话语对接地方政府公共服务体系、获取项目准入与公众信任；信仰话语维系信众参与动力与组织凝聚力。一旦两套话语在公益场合合流，即触发政策风险与社会信任危机。</w:t>
      </w:r>
    </w:p>
    <w:p>
      <w:pPr>
        <w:spacing w:after="200" w:before="0" w:line="360" w:lineRule="exact"/>
        <w:ind w:firstLine="420"/>
      </w:pPr>
      <w:r>
        <w:rPr>
          <w:rFonts w:ascii="SimSun" w:hAnsi="SimSun" w:eastAsia="SimSun"/>
          <w:b w:val="0"/>
          <w:sz w:val="24"/>
        </w:rPr>
        <w:t>伯格指出，宗教组织在现代多元社会中的根本挑战，是如何在保持独特性的同时参与公共领域对话。所谓"看似有理性结构"（plausibility structure，或译"可信性结构"）——即宗教信仰赖以维持的社会性确认网络——对理解基督教公益组织的合法性困境具有关键意义：当组织通过"去标识化"进入公共领域时，它同时也稀释了自身赖以维系的"看似有理性结构"，这正是"去标识化"困境的深层根源。"去标识化"正是对这一挑战的组织性回应。</w:t>
      </w:r>
    </w:p>
    <w:p>
      <w:pPr>
        <w:spacing w:after="160" w:before="0" w:line="400" w:lineRule="exact"/>
      </w:pPr>
      <w:r>
        <w:rPr>
          <w:rFonts w:ascii="SimSun" w:hAnsi="SimSun" w:eastAsia="SimSun"/>
          <w:b/>
          <w:sz w:val="24"/>
        </w:rPr>
        <w:t>三、如何"去标识化"：光盐基金会的策略分析</w:t>
      </w:r>
    </w:p>
    <w:p>
      <w:pPr>
        <w:spacing w:after="160" w:before="0" w:line="360" w:lineRule="exact"/>
        <w:ind w:firstLine="420"/>
      </w:pPr>
      <w:r>
        <w:rPr>
          <w:rFonts w:ascii="SimSun" w:hAnsi="SimSun" w:eastAsia="SimSun"/>
          <w:b w:val="0"/>
          <w:sz w:val="24"/>
        </w:rPr>
        <w:t>三重压力解释了"去标识化"为什么必须发生，但如何执行取决于组织的策略选择。光盐基金会已形成一套覆盖品牌命名、组织架构、项目执行和宣传话术的系统性策略，核心逻辑是：在每个可能被外界解读为"宗教行为"的节点主动设置区隔，同时为内部信仰表达保留空间。以下依次从四个层面分析。</w:t>
      </w:r>
    </w:p>
    <w:p>
      <w:pPr>
        <w:spacing w:after="120" w:before="0" w:line="400" w:lineRule="exact"/>
      </w:pPr>
      <w:r>
        <w:rPr>
          <w:rFonts w:ascii="SimSun" w:hAnsi="SimSun" w:eastAsia="SimSun"/>
          <w:b/>
          <w:sz w:val="24"/>
        </w:rPr>
        <w:t>（一）品牌命名的文化翻译</w:t>
      </w:r>
    </w:p>
    <w:p>
      <w:pPr>
        <w:spacing w:after="120" w:before="0" w:line="360" w:lineRule="exact"/>
        <w:ind w:firstLine="420"/>
      </w:pPr>
      <w:r>
        <w:rPr>
          <w:rFonts w:ascii="SimSun" w:hAnsi="SimSun" w:eastAsia="SimSun"/>
          <w:b w:val="0"/>
          <w:sz w:val="24"/>
        </w:rPr>
        <w:t>"光盐"取自《马太福音》5:13-14——"你们是世上的盐……你们是世上的光"——在基督教内部具有明确的神学意涵。但在中华文化语境中，"光"与"盐"都是正向的日常意象。这一命名的精妙在于双重可读性：对信众是不言自明的信仰符号，对公众是中性的公益品牌。而"主恩基金会"这类命名，名称本身就携带强烈的宗教识别性，社会公众的疑虑会在实际行动之前先入为主。</w:t>
      </w:r>
    </w:p>
    <w:p>
      <w:pPr>
        <w:spacing w:after="160" w:before="0" w:line="360" w:lineRule="exact"/>
        <w:ind w:firstLine="420"/>
      </w:pPr>
      <w:r>
        <w:rPr>
          <w:rFonts w:ascii="SimSun" w:hAnsi="SimSun" w:eastAsia="SimSun"/>
          <w:b w:val="0"/>
          <w:sz w:val="24"/>
        </w:rPr>
        <w:t>光盐基金会2023年度报告在阐述其工作理念时强调，基金会只关注一个核心问题——善款是否真正帮到了最需要的人，而不问捐赠者与受助者的信仰背景。这段话完全在公益话语体系中运作，但"认真对待每一份善意"本身即是Agape的世俗性表达。光盐与圣爱的命名策略共同表明，基督教公益组织的品牌命名正在从"自我声明型"转向"文化意蕴型"——将信仰内涵编码为文化共识。</w:t>
      </w:r>
    </w:p>
    <w:p>
      <w:pPr>
        <w:spacing w:after="120" w:before="0" w:line="400" w:lineRule="exact"/>
      </w:pPr>
      <w:r>
        <w:rPr>
          <w:rFonts w:ascii="SimSun" w:hAnsi="SimSun" w:eastAsia="SimSun"/>
          <w:b/>
          <w:sz w:val="24"/>
        </w:rPr>
        <w:t>（二）组织架构的独立法人设计</w:t>
      </w:r>
    </w:p>
    <w:p>
      <w:pPr>
        <w:spacing w:after="160" w:before="0" w:line="360" w:lineRule="exact"/>
        <w:ind w:firstLine="420"/>
      </w:pPr>
      <w:r>
        <w:rPr>
          <w:rFonts w:ascii="SimSun" w:hAnsi="SimSun" w:eastAsia="SimSun"/>
          <w:b w:val="0"/>
          <w:sz w:val="24"/>
        </w:rPr>
        <w:t>光盐基金会是"经浙江省民宗委批准组建、浙江省民政厅核准登记的独立公益性社会团体"，而非教会内设机构。独立法人地位使其在法律上区别于宗教活动场所，公益行为属于社会组织的公共服务，而非宗教活动。民政厅登记意味着运作受《社会团体登记管理条例》和社会组织管理法规的规范——为民政部门派驻公益监管人员、纳入地方公共服务统筹提供了制度入口。民宗委加民政厅的双重管理使基金会在宗教合规与公益规范两条线上同时获得合法性背书。这一架构的深层逻辑是：将公益行为从"教会的延伸活动"转化为"法律意义上的独立社会行动"，在制度层面为"去标识化"奠定不可逆的基础。</w:t>
      </w:r>
    </w:p>
    <w:p>
      <w:pPr>
        <w:spacing w:after="120" w:before="0" w:line="400" w:lineRule="exact"/>
      </w:pPr>
      <w:r>
        <w:rPr>
          <w:rFonts w:ascii="SimSun" w:hAnsi="SimSun" w:eastAsia="SimSun"/>
          <w:b/>
          <w:sz w:val="24"/>
        </w:rPr>
        <w:t>（三）项目执行的"三不"原则</w:t>
      </w:r>
    </w:p>
    <w:p>
      <w:pPr>
        <w:spacing w:after="120" w:before="0" w:line="360" w:lineRule="exact"/>
        <w:ind w:firstLine="420"/>
      </w:pPr>
      <w:r>
        <w:rPr>
          <w:rFonts w:ascii="SimSun" w:hAnsi="SimSun" w:eastAsia="SimSun"/>
          <w:b w:val="0"/>
          <w:sz w:val="24"/>
        </w:rPr>
        <w:t>"光盐助学"遵循三条操作规范：不询问受助者宗教信仰、不附加宗教条件、不展示宗教标识。杭州圣爱康复医院同样以普通医疗机构身份运作，全程不出现宗教标识。这"三不"不只是法律底线——更重要的是主动杜绝任何可能被解读为"隐性传教"的表征。</w:t>
      </w:r>
    </w:p>
    <w:p>
      <w:pPr>
        <w:spacing w:after="160" w:before="0" w:line="360" w:lineRule="exact"/>
        <w:ind w:firstLine="420"/>
      </w:pPr>
      <w:r>
        <w:rPr>
          <w:rFonts w:ascii="SimSun" w:hAnsi="SimSun" w:eastAsia="SimSun"/>
          <w:b w:val="0"/>
          <w:sz w:val="24"/>
        </w:rPr>
        <w:t>在实践中，光盐基金会已尝试参与地方公益项目对接平台。地方宗教事务部门也可联合民政部门进一步完善此类统一平台，定期发布扶危济困、助学助残等需求清单，引导基督教团体认领项目，将"三不"从组织自律升级为制度化合规标准。</w:t>
      </w:r>
    </w:p>
    <w:p>
      <w:pPr>
        <w:spacing w:after="120" w:before="0" w:line="400" w:lineRule="exact"/>
      </w:pPr>
      <w:r>
        <w:rPr>
          <w:rFonts w:ascii="SimSun" w:hAnsi="SimSun" w:eastAsia="SimSun"/>
          <w:b/>
          <w:sz w:val="24"/>
        </w:rPr>
        <w:t>（四）宣传话术的公共性转换</w:t>
      </w:r>
    </w:p>
    <w:p>
      <w:pPr>
        <w:spacing w:after="120" w:before="0" w:line="360" w:lineRule="exact"/>
        <w:ind w:firstLine="420"/>
      </w:pPr>
      <w:r>
        <w:rPr>
          <w:rFonts w:ascii="SimSun" w:hAnsi="SimSun" w:eastAsia="SimSun"/>
          <w:b w:val="0"/>
          <w:sz w:val="24"/>
        </w:rPr>
        <w:t>光盐基金会的宣传存在清晰的内外分工。对外，项目介绍突出资助对象、金额和成效，不强调基督教背景，年度报告中的项目描述完全是公益行业的标准话语，与任何非宗教公益机构无异。对内，"同蒙福祉，共享主恩、荣神益人"面向信众，维系参与者的信仰动力。这种内外有别，实质是将宗教动机"转码"为公共语言。</w:t>
      </w:r>
    </w:p>
    <w:p>
      <w:pPr>
        <w:spacing w:after="200" w:before="0" w:line="360" w:lineRule="exact"/>
        <w:ind w:firstLine="420"/>
      </w:pPr>
      <w:r>
        <w:rPr>
          <w:rFonts w:ascii="SimSun" w:hAnsi="SimSun" w:eastAsia="SimSun"/>
          <w:b w:val="0"/>
          <w:sz w:val="24"/>
        </w:rPr>
        <w:t>当信息圈层的隔离被打破，两组受众接触到彼此的信息版本时，话语的转换本身就成为一个问题。巴巴关于文化翻译与"第三空间"的讨论恰好捕捉了这一困境：宗教话语向公共话语的转换，正是在不同文化符号系统之间建立可通约性的翻译过程。信众感知到的是信仰实践，公众接收到的是公益行为，两个群体接收的信息不同，但指向同一个行动。这一话语分工策略正是第四节第二重困境的源头——当内外信息圈层交叉时，"转码"的隔离机制是否仍然有效？</w:t>
      </w:r>
    </w:p>
    <w:p>
      <w:pPr>
        <w:spacing w:after="160" w:before="0" w:line="400" w:lineRule="exact"/>
      </w:pPr>
      <w:r>
        <w:rPr>
          <w:rFonts w:ascii="SimSun" w:hAnsi="SimSun" w:eastAsia="SimSun"/>
          <w:b/>
          <w:sz w:val="24"/>
        </w:rPr>
        <w:t>四、"去标识化"的三重内在困境</w:t>
      </w:r>
    </w:p>
    <w:p>
      <w:pPr>
        <w:spacing w:after="160" w:before="0" w:line="360" w:lineRule="exact"/>
        <w:ind w:firstLine="420"/>
      </w:pPr>
      <w:r>
        <w:rPr>
          <w:rFonts w:ascii="SimSun" w:hAnsi="SimSun" w:eastAsia="SimSun"/>
          <w:b w:val="0"/>
          <w:sz w:val="24"/>
        </w:rPr>
        <w:t>光盐基金会的策略在合规层面已基本实现其设计目标——它使基督教公益组织获得了进入公共领域的合法通道。但"去标识化"不是没有代价，它在解决外部压力的同时，也在组织内部制造了新的张力。以下三重困境分别对应"去标识化"在品牌、项目和深层逻辑三个层面的代价，逐一揭示。</w:t>
      </w:r>
    </w:p>
    <w:p>
      <w:pPr>
        <w:spacing w:after="120" w:before="0" w:line="400" w:lineRule="exact"/>
      </w:pPr>
      <w:r>
        <w:rPr>
          <w:rFonts w:ascii="SimSun" w:hAnsi="SimSun" w:eastAsia="SimSun"/>
          <w:b/>
          <w:sz w:val="24"/>
        </w:rPr>
        <w:t>（一）神学使命与公共服务的张力</w:t>
      </w:r>
    </w:p>
    <w:p>
      <w:pPr>
        <w:spacing w:after="120" w:before="0" w:line="360" w:lineRule="exact"/>
        <w:ind w:firstLine="420"/>
      </w:pPr>
      <w:r>
        <w:rPr>
          <w:rFonts w:ascii="SimSun" w:hAnsi="SimSun" w:eastAsia="SimSun"/>
          <w:b w:val="0"/>
          <w:sz w:val="24"/>
        </w:rPr>
        <w:t>这一困境根源于品牌命名和项目执行两个策略环节。当"光盐"的品牌意涵在信众和公众之间产生双重可读性，当"三不"原则将公益行动的宗教动机完全转入隐性层面，一个问题始终悬而未决：越来越"像普通公益机构"的光盐基金会，其作为基督教组织的独特性究竟在哪里？</w:t>
      </w:r>
    </w:p>
    <w:p>
      <w:pPr>
        <w:spacing w:after="120" w:before="0" w:line="360" w:lineRule="exact"/>
        <w:ind w:firstLine="420"/>
      </w:pPr>
      <w:r>
        <w:rPr>
          <w:rFonts w:ascii="SimSun" w:hAnsi="SimSun" w:eastAsia="SimSun"/>
          <w:b w:val="0"/>
          <w:sz w:val="24"/>
        </w:rPr>
        <w:t>从基督教神学看，这一张力并非无解。安德斯·尼格仁指出，Agape是"自上而下的、无条件的、自发给予的爱"。好撒玛利亚人的寓言（路10:25-37）提供了有力的经文支持——撒玛利亚人跨越族群与宗教界限去帮助伤者，没有确认对方信仰，没有宣讲教义，也没有要求归信。"去标识化"不仅没有偏离Agape的本来面目，反而更接近它——爱本身就是见证。</w:t>
      </w:r>
    </w:p>
    <w:p>
      <w:pPr>
        <w:spacing w:after="120" w:before="0" w:line="360" w:lineRule="exact"/>
        <w:ind w:firstLine="420"/>
      </w:pPr>
      <w:r>
        <w:rPr>
          <w:rFonts w:ascii="SimSun" w:hAnsi="SimSun" w:eastAsia="SimSun"/>
          <w:b w:val="0"/>
          <w:sz w:val="24"/>
        </w:rPr>
        <w:t>神学层面（尼格仁）的"不矛盾"与社会心理层面（伯格）的"有张力"可以共存。前者解决"应然"层面的合理性——Agape的本质决定了"去标识化"并非对信仰的背叛；后者揭示"实然"层面的困境——当宗教符号被系统性移除，信众通过公益参与激活的信仰确认回路被切断了。这本身正是"去标识化"内在张力的核心表现：一个在神学上正当的策略，在组织社会学的意义上却制造了新的紧张。</w:t>
      </w:r>
    </w:p>
    <w:p>
      <w:pPr>
        <w:spacing w:after="160" w:before="0" w:line="360" w:lineRule="exact"/>
        <w:ind w:firstLine="420"/>
      </w:pPr>
      <w:r>
        <w:rPr>
          <w:rFonts w:ascii="SimSun" w:hAnsi="SimSun" w:eastAsia="SimSun"/>
          <w:b w:val="0"/>
          <w:sz w:val="24"/>
        </w:rPr>
        <w:t>伯格关于"看似有理性结构"的讨论提示：个体信仰的持续需要社会性的确认与维护，宗教符号正是这种确认的载体。当"三不"原则系统性地移除宗教符号，信众通过公益参与获得信仰确认的心理回路就被切断了——组织的信仰动机在功能上仍驱动着行动，但在感知层面无法被参与者体验为"信仰实践"。策略在功能层面越成功，组织在符号层面的独特性就越难以被识别。</w:t>
      </w:r>
    </w:p>
    <w:p>
      <w:pPr>
        <w:spacing w:after="120" w:before="0" w:line="400" w:lineRule="exact"/>
      </w:pPr>
      <w:r>
        <w:rPr>
          <w:rFonts w:ascii="SimSun" w:hAnsi="SimSun" w:eastAsia="SimSun"/>
          <w:b/>
          <w:sz w:val="24"/>
        </w:rPr>
        <w:t>（二）信众期待与公众信任的拉扯</w:t>
      </w:r>
    </w:p>
    <w:p>
      <w:pPr>
        <w:spacing w:after="120" w:before="0" w:line="360" w:lineRule="exact"/>
        <w:ind w:firstLine="420"/>
      </w:pPr>
      <w:r>
        <w:rPr>
          <w:rFonts w:ascii="SimSun" w:hAnsi="SimSun" w:eastAsia="SimSun"/>
          <w:b w:val="0"/>
          <w:sz w:val="24"/>
        </w:rPr>
        <w:t>这一困境的根源直接来自宣传话术的"内外有别"分工。基督教公益组织面对两组关键受众——信众和公众，预期方向几乎相反。信众期待捐赠能"荣神益人"；公众则从反向出发——任何带有宗教标识的服务都可能夹带传教动机。杨凤岗关于中国基督徒"叠合身份"的研究表明，捐赠既是公民责任也是信仰实践，二者在同一行为中不可分割却方向相反。</w:t>
      </w:r>
    </w:p>
    <w:p>
      <w:pPr>
        <w:spacing w:after="160" w:before="0" w:line="360" w:lineRule="exact"/>
        <w:ind w:firstLine="420"/>
      </w:pPr>
      <w:r>
        <w:rPr>
          <w:rFonts w:ascii="SimSun" w:hAnsi="SimSun" w:eastAsia="SimSun"/>
          <w:b w:val="0"/>
          <w:sz w:val="24"/>
        </w:rPr>
        <w:t>光盐基金会的回应是"内外有别"——对外完全去标识化、对内保留信仰话语。但信息圈层在现代社会几乎不可能完全隔离。一旦信众在社交媒体分享基金会活动时附加了信仰表述，或社区公众通过私人关系了解到基金会的基督教背景，信息隔离机制即可能失效。当隔离失效，两组受众接触到彼此的信息版本，话语的转换本身就成为一个问题——巴巴关于文化翻译的理论在此获得了最强的解释力。"去标识化"本质上是将宗教话语翻译为公共话语，但翻译永远是不完全的——总有一些剩余（remainder）溢出边界。"共享主恩"译成公益语言只能变成"扶贫济困"，"荣神益人"译后只剩下"服务社会"。两组受众各自接触到翻译的两端：信众可能感受到信仰表达的淡化，公众则可能怀疑被转换掉的原文中隐藏着宗教意图。巴巴所提示的"不可通约性"在此转化为组织层面的策略困境。</w:t>
      </w:r>
    </w:p>
    <w:p>
      <w:pPr>
        <w:spacing w:after="120" w:before="0" w:line="400" w:lineRule="exact"/>
      </w:pPr>
      <w:r>
        <w:rPr>
          <w:rFonts w:ascii="SimSun" w:hAnsi="SimSun" w:eastAsia="SimSun"/>
          <w:b/>
          <w:sz w:val="24"/>
        </w:rPr>
        <w:t>（三）制度合规与组织自主的边界模糊</w:t>
      </w:r>
    </w:p>
    <w:p>
      <w:pPr>
        <w:spacing w:after="120" w:before="0" w:line="360" w:lineRule="exact"/>
        <w:ind w:firstLine="420"/>
      </w:pPr>
      <w:r>
        <w:rPr>
          <w:rFonts w:ascii="SimSun" w:hAnsi="SimSun" w:eastAsia="SimSun"/>
          <w:b w:val="0"/>
          <w:sz w:val="24"/>
        </w:rPr>
        <w:t>这一困境根源于组织架构的"独立法人设计"与项目执行的"平台化管理"。民宗委加民政厅的双重管理和公益项目对接平台的搭建，在确保合规的同时带来一个问题：制度化程度越深，自主空间是否越窄？</w:t>
      </w:r>
    </w:p>
    <w:p>
      <w:pPr>
        <w:spacing w:after="120" w:before="0" w:line="360" w:lineRule="exact"/>
        <w:ind w:firstLine="420"/>
      </w:pPr>
      <w:r>
        <w:rPr>
          <w:rFonts w:ascii="SimSun" w:hAnsi="SimSun" w:eastAsia="SimSun"/>
          <w:b w:val="0"/>
          <w:sz w:val="24"/>
        </w:rPr>
        <w:t>双重管理体制的运作逻辑，恰好对应了迪马乔和鲍威尔所描述的"强制性同形"（coercive isomorphism）机制——当组织共同依赖外部规制力量（尤其是政府规制）时，它们会逐渐在结构和行为上趋向一致。民宗委确保宗教合规，民政厅规范公益运作，两个主管部门的共同监管形成了一个强力的制度环境，推动基督教公益组织的组织形态向一般社会组织趋同。</w:t>
      </w:r>
    </w:p>
    <w:p>
      <w:pPr>
        <w:spacing w:after="120" w:before="0" w:line="360" w:lineRule="exact"/>
        <w:ind w:firstLine="420"/>
      </w:pPr>
      <w:r>
        <w:rPr>
          <w:rFonts w:ascii="SimSun" w:hAnsi="SimSun" w:eastAsia="SimSun"/>
          <w:b w:val="0"/>
          <w:sz w:val="24"/>
        </w:rPr>
        <w:t>但这并非一个单向的"挤压"过程。地方宗教事务部门搭建统一平台、民政部门派驻监管人员跟进执行，将基督教公益纳入公共服务统筹。这里潜藏一组治理两难：项目选题、执行、评估均纳入统一管理时，组织的自主空间如何保留？杭州圣爱康复医院近二十年运作显示：长期制度嵌入未必导致自主空间消失，但平衡依赖于机构与主管部门的持续沟通与相互调适。</w:t>
      </w:r>
    </w:p>
    <w:p>
      <w:pPr>
        <w:spacing w:after="200" w:before="0" w:line="360" w:lineRule="exact"/>
        <w:ind w:firstLine="420"/>
      </w:pPr>
      <w:r>
        <w:rPr>
          <w:rFonts w:ascii="SimSun" w:hAnsi="SimSun" w:eastAsia="SimSun"/>
          <w:b w:val="0"/>
          <w:sz w:val="24"/>
        </w:rPr>
        <w:t>伯格在The Sacred Canopy中还提出了方法论悬置原则。制度设计需要在规范化与宗教组织的内在动力之间保持张力。如果监管标准趋于严格，"去标识化"存在被解读为"去自主化"的可能——核心在于标准制定过程是否包含组织参与及是否允许解释空间。这提示制度设计者需在合规性与组织活力之间保持弹性空间。</w:t>
      </w:r>
    </w:p>
    <w:p>
      <w:pPr>
        <w:spacing w:after="160" w:before="0" w:line="400" w:lineRule="exact"/>
      </w:pPr>
      <w:r>
        <w:rPr>
          <w:rFonts w:ascii="SimSun" w:hAnsi="SimSun" w:eastAsia="SimSun"/>
          <w:b/>
          <w:sz w:val="24"/>
        </w:rPr>
        <w:t>五、出路与讨论</w:t>
      </w:r>
    </w:p>
    <w:p>
      <w:pPr>
        <w:spacing w:after="120" w:before="0" w:line="360" w:lineRule="exact"/>
        <w:ind w:firstLine="420"/>
      </w:pPr>
      <w:r>
        <w:rPr>
          <w:rFonts w:ascii="SimSun" w:hAnsi="SimSun" w:eastAsia="SimSun"/>
          <w:b w:val="0"/>
          <w:sz w:val="24"/>
        </w:rPr>
        <w:t>三重困境的根源在于"去标识化"的核心悖论：用隐匿宗教符号的策略获取公共空间，而策略越成功，组织在符号层面的独特性越难被识别。出路不在于找到一劳永逸的解决方案，而在于从光盐基金会已有的实践经验中，提炼出可以走向自觉的应对路径。</w:t>
      </w:r>
    </w:p>
    <w:p>
      <w:pPr>
        <w:spacing w:after="120" w:before="0" w:line="360" w:lineRule="exact"/>
        <w:ind w:firstLine="420"/>
      </w:pPr>
      <w:r>
        <w:rPr>
          <w:rFonts w:ascii="SimSun" w:hAnsi="SimSun" w:eastAsia="SimSun"/>
          <w:b w:val="0"/>
          <w:sz w:val="24"/>
        </w:rPr>
        <w:t>第一，在内部分众传播中完成教义阐释的逻辑转换。"三不"原则不是为合规被迫做出的让步，而是Agape之爱自身的逻辑要求——好撒玛利亚人弯下腰时不问信仰，恰恰因为他遵循的是无条件的爱。奥古斯丁指出，真正的仁爱不寻求回报，不预设受爱者的资格。这一阐释如果在基金会面向信众的内部通讯、年度筹款及合作教会的讲台话语中内化为共识，"去标识化"就不再是"信仰隐藏"，而成为信仰的主动见证。</w:t>
      </w:r>
    </w:p>
    <w:p>
      <w:pPr>
        <w:spacing w:after="120" w:before="0" w:line="360" w:lineRule="exact"/>
        <w:ind w:firstLine="420"/>
      </w:pPr>
      <w:r>
        <w:rPr>
          <w:rFonts w:ascii="SimSun" w:hAnsi="SimSun" w:eastAsia="SimSun"/>
          <w:b w:val="0"/>
          <w:sz w:val="24"/>
        </w:rPr>
        <w:t>第二，建立分场景标识化管理框架。可将光盐基金会的分场景策略提炼为分类框架：第一类场景——纳入政府公共服务体系的社区服务，标识化程度最低；第二类场景——由教会资源独立支撑的内部互助，保留适度的信仰表达空间；第三类场景——混合受众场景，建立"前台—后台"切换规则。贝文斯的处境化神学为此提供了理论基础：神学表达应根据不同处境作出相应调整。</w:t>
      </w:r>
    </w:p>
    <w:p>
      <w:pPr>
        <w:spacing w:after="200" w:before="0" w:line="360" w:lineRule="exact"/>
        <w:ind w:firstLine="420"/>
      </w:pPr>
      <w:r>
        <w:rPr>
          <w:rFonts w:ascii="SimSun" w:hAnsi="SimSun" w:eastAsia="SimSun"/>
          <w:b w:val="0"/>
          <w:sz w:val="24"/>
        </w:rPr>
        <w:t>第三，以光盐经验推动从"标识审查"走向"行为监管"。如果评估标准从事前的"有没有十字架、有没有宗教标语"转向事中的"有没有实际传教行为、有没有附加信仰条件"，"光盐"这类具有双重文化意涵的品牌就不再处于"合规边界模糊"的灰色地带。光盐基金会的实践恰恰提示：标识化的有无与传教行为之间，并无必然关联。</w:t>
      </w:r>
    </w:p>
    <w:p>
      <w:pPr>
        <w:spacing w:after="160" w:before="0" w:line="400" w:lineRule="exact"/>
      </w:pPr>
      <w:r>
        <w:rPr>
          <w:rFonts w:ascii="SimSun" w:hAnsi="SimSun" w:eastAsia="SimSun"/>
          <w:b/>
          <w:sz w:val="24"/>
        </w:rPr>
        <w:t>六、结语</w:t>
      </w:r>
    </w:p>
    <w:p>
      <w:pPr>
        <w:spacing w:after="120" w:before="0" w:line="360" w:lineRule="exact"/>
        <w:ind w:firstLine="420"/>
      </w:pPr>
      <w:r>
        <w:rPr>
          <w:rFonts w:ascii="SimSun" w:hAnsi="SimSun" w:eastAsia="SimSun"/>
          <w:b w:val="0"/>
          <w:sz w:val="24"/>
        </w:rPr>
        <w:t>上述应对路径固然有助于缓解"去标识化"的操作性困难，但它们并未触及一个更根本的追问："去标识化"不是对信仰的背叛，也不是对社会压力的无条件投降，而是基督教组织在当代中国社会空间中重建公共性的深层调适。这一调适的核心困难，不在于技术上能不能做到——光盐基金会十余年实践已证明技术上完全可行——而在于：当宗教符号被系统性隐去，信仰成为"只有行动者自己知道"的内在动机时，这种动机在代际传递和组织延续中是否仍然有力？</w:t>
      </w:r>
    </w:p>
    <w:p>
      <w:pPr>
        <w:spacing w:after="120" w:before="0" w:line="360" w:lineRule="exact"/>
        <w:ind w:firstLine="420"/>
      </w:pPr>
      <w:r>
        <w:rPr>
          <w:rFonts w:ascii="SimSun" w:hAnsi="SimSun" w:eastAsia="SimSun"/>
          <w:b w:val="0"/>
          <w:sz w:val="24"/>
        </w:rPr>
        <w:t>这指向一个更深层的问题。当"去标识化"从策略上升为基督教公益组织的普遍实践，集体性的"符号隐退"是否可能反过来削弱宗教组织在公共领域中的规范贡献能力？基督教公益组织独特的道德资源——那种源于Agape的"不预设资格的给予"——如果长期与信仰符号脱钩，它会不会最终退化为一种可以完全复制的普通公益技术？如果答案是肯定的，那么"去标识化"的代价就不仅是个别组织的身份焦虑，而是整个宗教公益领域的"去魅"。</w:t>
      </w:r>
    </w:p>
    <w:p>
      <w:pPr>
        <w:spacing w:after="120" w:before="0" w:line="360" w:lineRule="exact"/>
        <w:ind w:firstLine="420"/>
      </w:pPr>
      <w:r>
        <w:rPr>
          <w:rFonts w:ascii="SimSun" w:hAnsi="SimSun" w:eastAsia="SimSun"/>
          <w:b w:val="0"/>
          <w:sz w:val="24"/>
        </w:rPr>
        <w:t>这一问题同时关系到宗教中国化的深层意涵。宗教中国化不是单向的"适应"或"融入"，而是外来宗教在保持核心信仰的同时，通过创造性转化参与中国社会的公共性重建。"去标识化"困境恰恰揭示了这一过程的复杂性：基督教公益组织在通过去标识化获取公共空间的过程中，既在实践层面推动了宗教与社会主义社会的相适应（以纯粹公益回应社会需求），也在组织层面面临着信仰独特性被稀释的风险。这种张力不是宗教中国化的"问题"，而是其内在机制本身——中国化不是一个可以"完成"的状态，而是一个持续的协商过程。去标识化困境的最终指向，不是在差异中消失，而是在差异中寻找共处之道——信仰不是宣告身份的旗帜，而是推动行动的源泉。</w:t>
      </w:r>
    </w:p>
    <w:p>
      <w:pPr>
        <w:spacing w:after="240" w:before="0" w:line="360" w:lineRule="exact"/>
        <w:ind w:firstLine="420"/>
      </w:pPr>
      <w:r>
        <w:rPr>
          <w:rFonts w:ascii="SimSun" w:hAnsi="SimSun" w:eastAsia="SimSun"/>
          <w:b w:val="0"/>
          <w:sz w:val="24"/>
        </w:rPr>
        <w:t>这一问题在既有文献中讨论尚少，却关系到基督教公益组织在制度空间中长期存续的可能性，也关系到宗教中国化理论从"应然"框架向"实然"机制的深化。未来研究可在更大样本的跨区域比较中，进一步检验本文所揭示的三重困境及其应对路径的普适性。</w:t>
      </w:r>
    </w:p>
    <w:p>
      <w:pPr>
        <w:spacing w:before="240" w:after="160"/>
        <w:jc w:val="center"/>
      </w:pPr>
      <w:r>
        <w:rPr>
          <w:rFonts w:ascii="SimHei" w:hAnsi="SimHei" w:eastAsia="SimHei"/>
          <w:b/>
          <w:sz w:val="28"/>
        </w:rPr>
        <w:t>参考文献</w:t>
      </w:r>
    </w:p>
    <w:p>
      <w:pPr>
        <w:spacing w:after="40" w:before="0" w:line="300" w:lineRule="exact"/>
        <w:ind w:left="283" w:hanging="283"/>
      </w:pPr>
      <w:r>
        <w:rPr>
          <w:rFonts w:ascii="SimSun" w:hAnsi="SimSun" w:eastAsia="SimSun"/>
          <w:b w:val="0"/>
          <w:sz w:val="21"/>
        </w:rPr>
        <w:t>[1] 《宗教事务条例》（2018年修订）。</w:t>
      </w:r>
    </w:p>
    <w:p>
      <w:pPr>
        <w:spacing w:after="40" w:before="0" w:line="300" w:lineRule="exact"/>
        <w:ind w:left="283" w:hanging="283"/>
      </w:pPr>
      <w:r>
        <w:rPr>
          <w:rFonts w:ascii="SimSun" w:hAnsi="SimSun" w:eastAsia="SimSun"/>
          <w:b w:val="0"/>
          <w:sz w:val="21"/>
        </w:rPr>
        <w:t>[2] 《中华人民共和国慈善法》（2016年颁布）。</w:t>
      </w:r>
    </w:p>
    <w:p>
      <w:pPr>
        <w:spacing w:after="40" w:before="0" w:line="300" w:lineRule="exact"/>
        <w:ind w:left="283" w:hanging="283"/>
      </w:pPr>
      <w:r>
        <w:rPr>
          <w:rFonts w:ascii="SimSun" w:hAnsi="SimSun" w:eastAsia="SimSun"/>
          <w:b w:val="0"/>
          <w:sz w:val="21"/>
        </w:rPr>
        <w:t>[3] 国家宗教事务局等十二部门：《关于鼓励和规范宗教界从事公益慈善活动的意见》（国宗发〔2012〕6号）。</w:t>
      </w:r>
    </w:p>
    <w:p>
      <w:pPr>
        <w:spacing w:after="40" w:before="0" w:line="300" w:lineRule="exact"/>
        <w:ind w:left="283" w:hanging="283"/>
      </w:pPr>
      <w:r>
        <w:rPr>
          <w:rFonts w:ascii="SimSun" w:hAnsi="SimSun" w:eastAsia="SimSun"/>
          <w:b w:val="0"/>
          <w:sz w:val="21"/>
        </w:rPr>
        <w:t>[4] 陈金羽：《基督教社会服务组织的社区融入研究——以Q教会服务队为例》，硕士学位论文，浙江某高校，2022年（应田野伦理要求隐去校名）。</w:t>
      </w:r>
    </w:p>
    <w:p>
      <w:pPr>
        <w:spacing w:after="40" w:before="0" w:line="300" w:lineRule="exact"/>
        <w:ind w:left="283" w:hanging="283"/>
      </w:pPr>
      <w:r>
        <w:rPr>
          <w:rFonts w:ascii="SimSun" w:hAnsi="SimSun" w:eastAsia="SimSun"/>
          <w:b w:val="0"/>
          <w:sz w:val="21"/>
        </w:rPr>
        <w:t>[5] 杨凤岗：《中国宗教的市场、管制与叠合身份》，《宗教社会学》2010年第1辑。</w:t>
      </w:r>
    </w:p>
    <w:p>
      <w:pPr>
        <w:spacing w:after="40" w:before="0" w:line="300" w:lineRule="exact"/>
        <w:ind w:left="283" w:hanging="283"/>
      </w:pPr>
      <w:r>
        <w:rPr>
          <w:rFonts w:ascii="SimSun" w:hAnsi="SimSun" w:eastAsia="SimSun"/>
          <w:b w:val="0"/>
          <w:sz w:val="21"/>
        </w:rPr>
        <w:t>[6] 康晓光等：《中国社会组织发展的制度环境研究》，《社会学研究》2018年第4期。</w:t>
      </w:r>
    </w:p>
    <w:p>
      <w:pPr>
        <w:spacing w:after="40" w:before="0" w:line="300" w:lineRule="exact"/>
        <w:ind w:left="283" w:hanging="283"/>
      </w:pPr>
      <w:r>
        <w:rPr>
          <w:rFonts w:ascii="SimSun" w:hAnsi="SimSun" w:eastAsia="SimSun"/>
          <w:b w:val="0"/>
          <w:sz w:val="21"/>
        </w:rPr>
        <w:t>[7] 卓新平：《中国基督教研究的新趋向》，《世界宗教研究》2019年第3期。</w:t>
      </w:r>
    </w:p>
    <w:p>
      <w:pPr>
        <w:spacing w:after="40" w:before="0" w:line="300" w:lineRule="exact"/>
        <w:ind w:left="283" w:hanging="283"/>
      </w:pPr>
      <w:r>
        <w:rPr>
          <w:rFonts w:ascii="SimSun" w:hAnsi="SimSun" w:eastAsia="SimSun"/>
          <w:b w:val="0"/>
          <w:sz w:val="21"/>
        </w:rPr>
        <w:t>[8] 张志刚：《宗教中国化研究的三个维度》，《中国宗教》2020年第5期。</w:t>
      </w:r>
    </w:p>
    <w:p>
      <w:pPr>
        <w:spacing w:after="40" w:before="0" w:line="300" w:lineRule="exact"/>
        <w:ind w:left="283" w:hanging="283"/>
      </w:pPr>
      <w:r>
        <w:rPr>
          <w:rFonts w:ascii="SimSun" w:hAnsi="SimSun" w:eastAsia="SimSun"/>
          <w:b w:val="0"/>
          <w:sz w:val="21"/>
        </w:rPr>
        <w:t>[9] 张志刚：《宗教中国化研究的学术反思》，《世界宗教研究》2022年第4期。</w:t>
      </w:r>
    </w:p>
    <w:p>
      <w:pPr>
        <w:spacing w:after="40" w:before="0" w:line="300" w:lineRule="exact"/>
        <w:ind w:left="283" w:hanging="283"/>
      </w:pPr>
      <w:r>
        <w:rPr>
          <w:rFonts w:ascii="SimSun" w:hAnsi="SimSun" w:eastAsia="SimSun"/>
          <w:b w:val="0"/>
          <w:sz w:val="21"/>
        </w:rPr>
        <w:t>[10] 李向平：《"宗教中国化"的社会学解读》，《宗教学研究》2023年第2期。</w:t>
      </w:r>
    </w:p>
    <w:p>
      <w:pPr>
        <w:spacing w:after="40" w:before="0" w:line="300" w:lineRule="exact"/>
        <w:ind w:left="283" w:hanging="283"/>
      </w:pPr>
      <w:r>
        <w:rPr>
          <w:rFonts w:ascii="SimSun" w:hAnsi="SimSun" w:eastAsia="SimSun"/>
          <w:b w:val="0"/>
          <w:sz w:val="21"/>
        </w:rPr>
        <w:t>[11] 王剑：《中国宗教公益组织的发展困境与制度调适》，《社会科学研究》2021年第3期。</w:t>
      </w:r>
    </w:p>
    <w:p>
      <w:pPr>
        <w:spacing w:after="40" w:before="0" w:line="300" w:lineRule="exact"/>
        <w:ind w:left="283" w:hanging="283"/>
      </w:pPr>
      <w:r>
        <w:rPr>
          <w:rFonts w:ascii="SimSun" w:hAnsi="SimSun" w:eastAsia="SimSun"/>
          <w:b w:val="0"/>
          <w:sz w:val="21"/>
        </w:rPr>
        <w:t>[12] 陈宗皋：《基督教公益慈善"去标识化"路径探析》，《中国宗教》2025年第1期。</w:t>
      </w:r>
    </w:p>
    <w:p>
      <w:pPr>
        <w:spacing w:after="40" w:before="0" w:line="300" w:lineRule="exact"/>
        <w:ind w:left="283" w:hanging="283"/>
      </w:pPr>
      <w:r>
        <w:rPr>
          <w:rFonts w:ascii="SimSun" w:hAnsi="SimSun" w:eastAsia="SimSun"/>
          <w:b w:val="0"/>
          <w:sz w:val="21"/>
        </w:rPr>
        <w:t>[13] 游斌：《基督教中国化的神学建构与话语创新》，《中国宗教》2024年第5期。</w:t>
      </w:r>
    </w:p>
    <w:p>
      <w:pPr>
        <w:spacing w:after="40" w:before="0" w:line="300" w:lineRule="exact"/>
        <w:ind w:left="283" w:hanging="283"/>
      </w:pPr>
      <w:r>
        <w:rPr>
          <w:rFonts w:ascii="SimSun" w:hAnsi="SimSun" w:eastAsia="SimSun"/>
          <w:b w:val="0"/>
          <w:sz w:val="21"/>
        </w:rPr>
        <w:t>[14] Yin, Robert K., Case Study Research and Applications: Design and Methods, 6th ed., Thousand Oaks, CA: Sage, 2018。</w:t>
      </w:r>
    </w:p>
    <w:p>
      <w:pPr>
        <w:spacing w:after="40" w:before="0" w:line="300" w:lineRule="exact"/>
        <w:ind w:left="283" w:hanging="283"/>
      </w:pPr>
      <w:r>
        <w:rPr>
          <w:rFonts w:ascii="SimSun" w:hAnsi="SimSun" w:eastAsia="SimSun"/>
          <w:b w:val="0"/>
          <w:sz w:val="21"/>
        </w:rPr>
        <w:t>[15] Nygren, Anders, Agape and Eros, trans. Philip S. Watson, Philadelphia: Westminster Press, 1953。</w:t>
      </w:r>
    </w:p>
    <w:p>
      <w:pPr>
        <w:spacing w:after="40" w:before="0" w:line="300" w:lineRule="exact"/>
        <w:ind w:left="283" w:hanging="283"/>
      </w:pPr>
      <w:r>
        <w:rPr>
          <w:rFonts w:ascii="SimSun" w:hAnsi="SimSun" w:eastAsia="SimSun"/>
          <w:b w:val="0"/>
          <w:sz w:val="21"/>
        </w:rPr>
        <w:t>[16] Bhabha, Homi K., The Location of Culture, London: Routledge, 1994。</w:t>
      </w:r>
    </w:p>
    <w:p>
      <w:pPr>
        <w:spacing w:after="40" w:before="0" w:line="300" w:lineRule="exact"/>
        <w:ind w:left="283" w:hanging="283"/>
      </w:pPr>
      <w:r>
        <w:rPr>
          <w:rFonts w:ascii="SimSun" w:hAnsi="SimSun" w:eastAsia="SimSun"/>
          <w:b w:val="0"/>
          <w:sz w:val="21"/>
        </w:rPr>
        <w:t>[17] Bevans, Stephen B., Models of Contextual Theology, rev. ed., Maryknoll, NY: Orbis Books, 2002。</w:t>
      </w:r>
    </w:p>
    <w:p>
      <w:pPr>
        <w:spacing w:after="40" w:before="0" w:line="300" w:lineRule="exact"/>
        <w:ind w:left="283" w:hanging="283"/>
      </w:pPr>
      <w:r>
        <w:rPr>
          <w:rFonts w:ascii="SimSun" w:hAnsi="SimSun" w:eastAsia="SimSun"/>
          <w:b w:val="0"/>
          <w:sz w:val="21"/>
        </w:rPr>
        <w:t>[18] Berger, Peter L., The Sacred Canopy: Elements of a Sociological Theory of Religion, New York: Doubleday, 1967。</w:t>
      </w:r>
    </w:p>
    <w:p>
      <w:pPr>
        <w:spacing w:after="40" w:before="0" w:line="300" w:lineRule="exact"/>
        <w:ind w:left="283" w:hanging="283"/>
      </w:pPr>
      <w:r>
        <w:rPr>
          <w:rFonts w:ascii="SimSun" w:hAnsi="SimSun" w:eastAsia="SimSun"/>
          <w:b w:val="0"/>
          <w:sz w:val="21"/>
        </w:rPr>
        <w:t>[19] DiMaggio, Paul and Powell, Walter, "The Iron Cage Revisited: Institutional Isomorphism and Collective Rationality in Organizational Fields," American Sociological Review, Vol. 48, No. 2 (1983), pp. 147-160。</w:t>
      </w:r>
    </w:p>
    <w:p>
      <w:pPr>
        <w:spacing w:after="40" w:before="0" w:line="300" w:lineRule="exact"/>
        <w:ind w:left="283" w:hanging="283"/>
      </w:pPr>
      <w:r>
        <w:rPr>
          <w:rFonts w:ascii="SimSun" w:hAnsi="SimSun" w:eastAsia="SimSun"/>
          <w:b w:val="0"/>
          <w:sz w:val="21"/>
        </w:rPr>
        <w:t>[20] 王名：《中国社会组织的发展与政策环境》，《中国社会科学》2014年第5期。</w:t>
      </w:r>
    </w:p>
    <w:p>
      <w:pPr>
        <w:spacing w:after="40" w:before="0" w:line="300" w:lineRule="exact"/>
        <w:ind w:left="283" w:hanging="283"/>
      </w:pPr>
      <w:r>
        <w:rPr>
          <w:rFonts w:ascii="SimSun" w:hAnsi="SimSun" w:eastAsia="SimSun"/>
          <w:b w:val="0"/>
          <w:sz w:val="21"/>
        </w:rPr>
        <w:t>[21] Augustine, On Christian Doctrine, trans. D. W. Robertson, New York: Macmillan, 1958。</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