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仿宋" w:hAnsi="仿宋"/>
          <w:b/>
          <w:sz w:val="32"/>
        </w:rPr>
        <w:t>佛教十善与儒家五常融合的三维机制——基于诠释学与规训理论的考察</w:t>
      </w:r>
    </w:p>
    <w:p>
      <w:pPr>
        <w:jc w:val="center"/>
      </w:pPr>
      <w:r>
        <w:t>释果顺</w:t>
      </w:r>
    </w:p>
    <w:p>
      <w:pPr>
        <w:jc w:val="center"/>
      </w:pPr>
      <w:r>
        <w:t>（浙江省双通班 杭州 310000）</w:t>
      </w:r>
    </w:p>
    <w:p/>
    <w:p>
      <w:pPr>
        <w:jc w:val="center"/>
      </w:pPr>
      <w:r>
        <w:rPr>
          <w:rFonts w:ascii="仿宋" w:hAnsi="仿宋"/>
          <w:b/>
          <w:sz w:val="32"/>
        </w:rPr>
        <w:t>摘  要</w:t>
      </w:r>
    </w:p>
    <w:p>
      <w:r>
        <w:t>佛教"十善业道"与儒家"五常"的伦理融合，是佛教中国化进程中最具理论深度的议题之一。现有研究多停留在名相格义的表层比附，缺乏对融合内在机制的系统剖析。本文引入伽达默尔的哲学诠释学与福柯的规训理论，构建"义理同构—心性贯通—行为规训"三维分析框架，揭示佛儒伦理融合从本体论会通、心理动机转化到基层实践下沉的完整逻辑链条。研究发现：契嵩《辅教编》通过"视域融合"的诠释策略，实现了十善与五常在心性本体层面的概念置换；佛性与良知的交融推动了道德动机从外在业报慑服向内在自觉的转向；功过格制度则将抽象伦理转化为可量化的"道德资本"，构成基层社会微观权力规训的物质载体。本文对这一融合机制的解剖，旨在为理解佛教伦理本土化的内在理路提供新的分析视角。</w:t>
      </w:r>
    </w:p>
    <w:p>
      <w:r>
        <w:rPr>
          <w:b/>
        </w:rPr>
        <w:t>关键词：</w:t>
      </w:r>
      <w:r>
        <w:t>佛教中国化；十善业道；儒家五常；异质同构；诠释学；规训理论</w:t>
      </w:r>
    </w:p>
    <w:p/>
    <w:p>
      <w:pPr>
        <w:jc w:val="center"/>
      </w:pPr>
      <w:r>
        <w:rPr>
          <w:rFonts w:ascii="仿宋" w:hAnsi="仿宋"/>
          <w:b/>
          <w:sz w:val="32"/>
        </w:rPr>
        <w:t>引  言</w:t>
      </w:r>
    </w:p>
    <w:p>
      <w:r>
        <w:t>佛教自传入中土以来，其伦理模式与儒家核心价值观之间的交涉、调适与融合，构成了佛教中国化历史进程的一条主线。在长期的学术积累中，学界对这一议题的探讨已从早期的教义比较逐步深入到社会史、法制史等多维视角。汤用彤、陈寅恪等前辈学者奠定了佛学本土化的史料基础，方立天、赖永海等学者则进一步揭示了佛儒在心性论层面的深层贯通。近年来，王月清提出了"异质同构"的分析模型，圣凯从范式转换的角度指出中国佛教伦理由"戒律规训"向"心性自觉"的位移，这些研究为本文的展开提供了重要的理论启发。</w:t>
      </w:r>
    </w:p>
    <w:p>
      <w:r>
        <w:t>然而，既有研究仍存在若干不足：其一，多数讨论聚焦于"五戒"与"五常"的静态格义比附，对内涵更为绵密的"十善业道"及其与儒家伦理的微观交涉缺乏系统性分析；其二，从理论思辨到基层实践的实证逻辑链条尚不够厚实，精英阶层的义理融通与民间的微观治理往往被割裂处理；其三，对融合机制的内在理路——即佛儒两家究竟"如何"实现深度对接——仍缺少具有理论穿透力的分析框架。</w:t>
      </w:r>
    </w:p>
    <w:p>
      <w:r>
        <w:t>针对上述问题，本文尝试突破传统思想史的叙述惯性，引入伽达默尔的哲学诠释学与福柯的规训理论，构建一个涵盖"形上义理—心理动机—社会实践"的三维分析框架。所谓"义理同构"，指佛儒两家在本体论层面通过概念置换与意义重构实现的理论对接；"心性贯通"指道德动机从外在业报慑服向内在良知自觉的转向；"行为规训"则指伦理规范通过功过格等微观载体在基层社会的制度化下沉。这三个维度并非彼此孤立的层面，而是构成了一个从"理论建构"到"心理内化"再到"实践操作"的完整逻辑链条。通过对这一机制的系统解剖，本文旨在揭示佛儒伦理融合的内在理路，并为理解佛教中国化的深层逻辑提供新的分析视角。</w:t>
      </w:r>
    </w:p>
    <w:p>
      <w:pPr>
        <w:jc w:val="center"/>
      </w:pPr>
      <w:r>
        <w:rPr>
          <w:rFonts w:ascii="仿宋" w:hAnsi="仿宋"/>
          <w:b/>
          <w:sz w:val="32"/>
        </w:rPr>
        <w:t>一、义理同构机制：本体论维度的概念置换与映射</w:t>
      </w:r>
    </w:p>
    <w:p>
      <w:r>
        <w:t>佛儒两家在伦理层面的深度对接，首先建立在本体论层面的概念置换与意义重构之上。佛教"十善业道"与儒家"五常"分别奠基于"缘起性空"与"天人合一"两套异质的话语体系，其终极关怀——前者指向出世解脱，后者指向入世治平——存在不可化约的差异。然而，正是这种异质性，反而激发了双方在形而上层面的创造性诠释，最终在"心性本体"这一枢纽处实现了理论的圆融。</w:t>
      </w:r>
    </w:p>
    <w:p>
      <w:r>
        <w:t>从伽达默尔的哲学诠释学视角来看，中国佛教对儒家"五常"的吸纳，并非被动的文化妥协，而是一次经典的"视域融合"（Fusion of Horizons）。印度佛教的"十善"带着自身的历史理解进入中国，必然与以"五常"为核心的本土伦理语境发生碰撞。以北宋契嵩为代表的学僧，立足于宋代儒学复兴的语境（即"当下的视域"），对佛教十善进行了创造性的解释，使得十善（不杀生、不偷盗等）与五常（仁、义等）在更高级的心性本体论上达成了一致。这种融合既扩展了佛教伦理的社会适用性，也丰富了儒家五常的形而上意蕴，最终形成了一种具有"效果历史"（Wirkungsgeschichte）的中国化佛教伦理形态。</w:t>
      </w:r>
    </w:p>
    <w:p>
      <w:pPr>
        <w:jc w:val="center"/>
      </w:pPr>
      <w:r>
        <w:rPr>
          <w:rFonts w:ascii="仿宋" w:hAnsi="仿宋"/>
          <w:b/>
          <w:sz w:val="32"/>
        </w:rPr>
        <w:t>（一）契嵩《辅教编》的诠释策略</w:t>
      </w:r>
    </w:p>
    <w:p>
      <w:r>
        <w:t>契嵩是宋代佛儒会通史上最具代表性的人物。面对以韩愈、欧阳修为代表的儒家士大夫的"辟佛"声浪，契嵩并未作悬空之辩，而是直接在规范伦理的表层建构上，将佛教的"十善五戒"与儒家"五常"进行了极其严密的结构性对勘。其于《原教》篇中明断："夫不杀，仁也；不妄言，信也；不盗，义也；不邪淫，礼也；不饮酒，智也。"</w:t>
      </w:r>
    </w:p>
    <w:p>
      <w:r>
        <w:t>此命题表面上延续了魏晋时期"五戒配五常"的格义传统，但细读其论证逻辑，可见其深层突破。契嵩并未停留于名相类比，而是进一步追问："何以言之？"随后给出心性论层面的证成："仁者，爱之极也。佛之慈悲，岂非爱之极乎？义者，宜之极也。佛之戒律，岂非宜之极乎？"此处，契嵩将儒家的德目（仁、义、礼、智、信）重新诠释为"极"——即道德实践的终极形态，而佛教的慈悲与戒律正是这种"极"的宗教表达。</w:t>
      </w:r>
    </w:p>
    <w:p>
      <w:r>
        <w:t>这一诠释策略的精妙之处在于：契嵩不是简单地说"A等于B"，而是说"A和B都指向同一个终极价值C"。佛教的"不杀"以因果报应为威慑机制，儒家的"仁"以良知自觉为内在动力，二者的实践路径不同，但在"禁止伤害生命"这一行为底线上的指向是一致的。因此，契嵩的命题不是概念等同，而是价值同构。</w:t>
      </w:r>
    </w:p>
    <w:p>
      <w:r>
        <w:t>在此基础上，契嵩通过文本细读，创造性地将佛教出世的"防非止恶"，嵌置于儒门"百行之先"的孝道框架中予以重新诠释。他在《孝论》中破天荒地提出"夫孝也者，大戒之所先也"，巧妙借由儒家《孝经》"身体发肤，受之父母，不敢毁伤"之旨，论证佛教"不杀生"之身业与"不瞋恚"之意业，不仅是对生生之德的慈悲，更是为了全其法身、不辱先人。借此，佛教的清规戒律被成功升华并辩护为"大孝"与"大仁"的极致表现，完成了第一层的概念映射。</w:t>
      </w:r>
    </w:p>
    <w:p>
      <w:pPr>
        <w:jc w:val="center"/>
      </w:pPr>
      <w:r>
        <w:rPr>
          <w:rFonts w:ascii="仿宋" w:hAnsi="仿宋"/>
          <w:b/>
          <w:sz w:val="32"/>
        </w:rPr>
        <w:t>（二）从"业报"到"心性"的本体论重置</w:t>
      </w:r>
    </w:p>
    <w:p>
      <w:r>
        <w:t>在契嵩概念对勘的底层，实则是佛教对其核心哲学底盘的深刻置换。早期的印度佛教建立在"无我"（Anātman）与"性空"的本体之上，这极易招致宋明理学"虚无""寂灭"的诟病。为了与儒家的"天理"与"至善"本体完成同构，佛教伦理机制主动剥离了外在的、带有宿命色彩的"业报轮回"说，转而高扬"如来藏"系统下强调"至善真如"的真心本体论。</w:t>
      </w:r>
    </w:p>
    <w:p>
      <w:r>
        <w:t>契嵩巧妙借助《孟子》的"尽心知性"与《中庸》的"率性之谓道"，论证了佛教的"明心见性"与儒家的"存心养性"在终极归趣上的高度冥合。这一哲学底盘的置换，使得十善与五常的结合不再是外在道德条目的机械拼凑，而是"业报法则"与"宇宙天理"在人类内在至善本源上的必然外显，从而为异质伦理的融摄赋予了坚不可摧的形上合法性。</w:t>
      </w:r>
    </w:p>
    <w:p>
      <w:r>
        <w:t>需要强调的是，这种本体论重置并非佛教单方面的"儒化"，而是一种双向的理论共振。宋代理学本身也在回应佛教心性论的挑战中完成了对五常的形而上重构——朱熹以"性即理"之定论，将五常直接提振为宇宙之绝对精神。儒释两家在这一层面形成了互为参照、互相激发的理论对话，共同推动了中国传统伦理学的深化。</w:t>
      </w:r>
    </w:p>
    <w:p>
      <w:pPr>
        <w:jc w:val="center"/>
      </w:pPr>
      <w:r>
        <w:rPr>
          <w:rFonts w:ascii="仿宋" w:hAnsi="仿宋"/>
          <w:b/>
          <w:sz w:val="32"/>
        </w:rPr>
        <w:t>二、心性贯通机制：内向超越的心理动机与道德自觉</w:t>
      </w:r>
    </w:p>
    <w:p>
      <w:r>
        <w:t>然而，若仅停留于本体论层面的客观置换，此种伦理融合仍缺乏驱动主体践行的内在动能。因此，融合进程推进至第二重维度时，关键在于促成心理动机的深刻转轨——即将底层民众原本对佛教地狱果报的外在恐惧，逐步转化为儒家心性之学所强调的内在道德自觉。</w:t>
      </w:r>
    </w:p>
    <w:p>
      <w:pPr>
        <w:jc w:val="center"/>
      </w:pPr>
      <w:r>
        <w:rPr>
          <w:rFonts w:ascii="仿宋" w:hAnsi="仿宋"/>
          <w:b/>
          <w:sz w:val="32"/>
        </w:rPr>
        <w:t>（一）"佛性"与"良知"的心理学交融</w:t>
      </w:r>
    </w:p>
    <w:p>
      <w:r>
        <w:t>回顾传统运作机制，佛教提倡的十善业道，很大程度上依赖三世因果、六道轮回等超验层面的慑服力，以达到约束信众的目的；而儒家五常则更多依赖君子为仁由己的内在良知发现。原本这是两条差异显著的心理动机路径，但至明清时期，随着阳明心学逐渐兴盛，两者之间发生了一种深刻的化合反应。</w:t>
      </w:r>
    </w:p>
    <w:p>
      <w:r>
        <w:t>以王阳明推行的《南赣乡约》为例，其虽主张"致良知"，但推敲其底层逻辑，其实已在深层吸收了十善中检摄意业——即审视起心动念——的心性微观理路。至此阶段，佛教语境中的佛性（觉悟本体）与儒家所讲的良知（道德本体），在具体的修持心理上已基本合二为一。这种融合的意义在于：它使得佛教的伦理实践不再仅仅依赖对来世果报的畏惧，而是建立在当下良知的自觉发现之上，从而实现了从"他律慑服"向"自律规训"的根本转向。</w:t>
      </w:r>
    </w:p>
    <w:p>
      <w:pPr>
        <w:jc w:val="center"/>
      </w:pPr>
      <w:r>
        <w:rPr>
          <w:rFonts w:ascii="仿宋" w:hAnsi="仿宋"/>
          <w:b/>
          <w:sz w:val="32"/>
        </w:rPr>
        <w:t>（二）以"十善"微观修持荡涤儒家"格物"之功</w:t>
      </w:r>
    </w:p>
    <w:p>
      <w:r>
        <w:t>循此心性贯通思路进一步考察，明末高僧蕅益智旭在《四书蕅益解》中的处理堪称极为极致。在该著作中，智旭直接借用了佛教唯识学微观心性理路，对儒家《大学》中的"格物致知"进行了心理学层面的重构，此在当时颇具颠覆性。依其解释，儒家所言之"物"已非指外部客观存在的物理实体，而是人心中生发的物欲。</w:t>
      </w:r>
    </w:p>
    <w:p>
      <w:r>
        <w:t>经过此一心理机制的巧妙置换，诸多理论问题得以具体化。儒家正心诚意立意固然宏大，但就个人修持而言，略显抽象。而一旦纳入此框架，儒家心性修养即从佛教唯识学借鉴了一套严密且具有高度可操作性的防非止恶技术作为支撑。具体而言，唯识学中的"思心所"（意向性动机）分析、"转识成智"的修行次第，以及阿赖耶识中染污种子的对治方法，为儒家"慎独"功夫提供了精密的心理操作指南。儒释两家在向内用力这一具体修持路径上实现了真正贯通，原本出世求解脱与入世守伦常之间的心理学壁垒由此被悄然消解。</w:t>
      </w:r>
    </w:p>
    <w:p>
      <w:pPr>
        <w:jc w:val="center"/>
      </w:pPr>
      <w:r>
        <w:rPr>
          <w:rFonts w:ascii="仿宋" w:hAnsi="仿宋"/>
          <w:b/>
          <w:sz w:val="32"/>
        </w:rPr>
        <w:t>三、行为规训机制：伦理实践的量化与社会控制</w:t>
      </w:r>
    </w:p>
    <w:p>
      <w:r>
        <w:t>除了形而上的义理同构与内向超越的心性贯通，十善与五常的融合同样建立在精密的社会心理机制之上。当佛儒融合向基层民俗社会下沉时，原本高悬于殿堂的道德训诫被彻底世俗化，转化为类似商业簿记形态的微观量化指标。</w:t>
      </w:r>
    </w:p>
    <w:p>
      <w:pPr>
        <w:jc w:val="center"/>
      </w:pPr>
      <w:r>
        <w:rPr>
          <w:rFonts w:ascii="仿宋" w:hAnsi="仿宋"/>
          <w:b/>
          <w:sz w:val="32"/>
        </w:rPr>
        <w:t>（一）伦理指标的量化折算与"计件式"管理</w:t>
      </w:r>
    </w:p>
    <w:p>
      <w:r>
        <w:t>在云栖袾宏编撰的《自知录》及袁黄的《了凡四训》中，异质规范的对应关系被进行了极其细密的折算。这一机制的精妙之处在于，它将儒家抽象的"仁义礼智信"作为价值导向，却用佛教的"十善"条目作为具体的计分规则。例如，在映射"仁"与"不杀生"时，《自知录》明确规定："救免一人死，准百善""救有力报人之畜命，一命一善"；而在映射"义"与"不偷盗"时，则规定"拾遗还主，值百钱一善"。反之，"起一贪念，准一过""排陷一人，准百过"。</w:t>
      </w:r>
    </w:p>
    <w:p>
      <w:r>
        <w:t>借由这种将佛教"身、口、意"三业与儒家日用伦常高度绑定的记账式考核，十善与五常的融会彻底摆脱了玄远的哲理思辨，坐实为乡土社会可逐日登记、具象可视的微观基准。对于底层乡民与新兴商人阶层而言，这套积分制构建了一条通过"改过迁善"来干预乃至操控现世命运的切实路径，精准填补了传统中国"皇权不下县"所衍生的基层法度真空与秩序盲区。</w:t>
      </w:r>
    </w:p>
    <w:p>
      <w:pPr>
        <w:jc w:val="center"/>
      </w:pPr>
      <w:r>
        <w:rPr>
          <w:rFonts w:ascii="仿宋" w:hAnsi="仿宋"/>
          <w:b/>
          <w:sz w:val="32"/>
        </w:rPr>
        <w:t>（二）福柯"自我技术"视域下的道德规训</w:t>
      </w:r>
    </w:p>
    <w:p>
      <w:r>
        <w:t>从福柯（Michel Foucault）的理论视角审视，功过格之所以能成为融合的载体并在民间大行其道，是因为它成功地将抽象的道德说教转化为一种"可量化、可操作的道德资本"。此种机制与福柯所揭示的"自我技术"（Technologies of the Self）形成了深刻的理论呼应。福柯指出，古代主体通过书写、记账、自我审视等技术将自身建构为道德主体；功过格正是这样一种"自我技术"的物质化载体。</w:t>
      </w:r>
    </w:p>
    <w:p>
      <w:r>
        <w:t>循福柯之理路进一步分析，功过格的"自我技术"体现在三个维度：其一，书写技术——通过每日记录功过，个体将抽象伦理内化为可观察的自我监督行为；其二，量化技术——将道德行为折算为积分，使"善"与"过"成为可计算、可比较的客观指标；其三，反思技术——通过定期回顾功过账目，个体实现从"他律慑服"向"自律规训"的内在转化。这一微观权力技术的分析，揭示了佛儒伦理融合在操作层面的深层机制。</w:t>
      </w:r>
    </w:p>
    <w:p>
      <w:r>
        <w:t>这种机制巧妙契合了韦伯意义上的"工具理性"：通过将十善的因果报应与五常的社会伦理进行积分式的绑定，功过格在民众心理上建立了一套即时反馈的"奖惩强化系统"。这种世俗化、功利化却又行之有效的心理暗示机制，构成了佛儒伦理在基层社会实现控制与教化的重要隐秘力量。</w:t>
      </w:r>
    </w:p>
    <w:p>
      <w:pPr>
        <w:jc w:val="center"/>
      </w:pPr>
      <w:r>
        <w:rPr>
          <w:rFonts w:ascii="仿宋" w:hAnsi="仿宋"/>
          <w:b/>
          <w:sz w:val="32"/>
        </w:rPr>
        <w:t>（三）张力审视：道德量化的功利主义异化</w:t>
      </w:r>
    </w:p>
    <w:p>
      <w:r>
        <w:t>然而，将这套微观规训机制置于解剖台上进行深度审视，亦可察觉其潜藏的深刻异化危机。当神圣的伦理信条被拆解为可供加减运算的功过积分时，道德实践便不可避免地滑向了锱铢必较的功利主义算计。正如晚明大儒刘宗周所强烈批判的那样，此种规制使得行善持戒蜕变为"如市道交"的商业交易。在此语境中，十善的持守不再关乎心性解脱，五常的践行亦脱离了"为仁由己"的本体自觉；一切"行善"皆被世俗化为祈求福报、规避灾劫的现世投资工具。</w:t>
      </w:r>
    </w:p>
    <w:p>
      <w:r>
        <w:t>此种内在的理论张力，生动且残酷地折射出传统高阶伦理在向世俗基层下沉过程中所付出的"功利化"代价。然而，也应看到，这种功利主义并非全然消极——对于尚未具备高度道德自觉的普通民众而言，"积善余庆"的因果信念恰恰提供了最直接的道德驱动力。问题的关键不在于是否功利，而在于如何从功利的起点出发，逐步导向超越功利的道德自觉。这一历史经验对当代公民道德建设仍具启示意义。</w:t>
      </w:r>
    </w:p>
    <w:p>
      <w:pPr>
        <w:jc w:val="center"/>
      </w:pPr>
      <w:r>
        <w:rPr>
          <w:rFonts w:ascii="仿宋" w:hAnsi="仿宋"/>
          <w:b/>
          <w:sz w:val="32"/>
        </w:rPr>
        <w:t>结  语</w:t>
      </w:r>
    </w:p>
    <w:p>
      <w:r>
        <w:t>本文通过引入伽达默尔的哲学诠释学与福柯的规训理论，构建了"义理同构—心性贯通—行为规训"三维分析框架，对佛教"十善业道"与儒家"五常"融合的内在机制进行了系统解剖。研究发现：</w:t>
      </w:r>
    </w:p>
    <w:p>
      <w:r>
        <w:t>其一，在义理同构层面，契嵩《辅教编》通过"视域融合"的诠释策略，实现了十善与五常在心性本体层面的概念置换。契嵩的贡献不在于简单地将佛教戒律与儒家德目一一对应，而在于揭示二者在终极价值取向上的"同构性"——即"不杀"与"仁"、"不盗"与"义"虽实践路径不同，但共同指向"禁止伤害、维系秩序"的道德底线。这一诠释进路，为佛儒伦理的深层对话奠定了坚实的学理基础。</w:t>
      </w:r>
    </w:p>
    <w:p>
      <w:r>
        <w:t>其二，在心性贯通层面，佛性与良知的交融推动了道德动机从外在业报慑服向内在自觉的转向。蕅益智旭以唯识学重构"格物致知"，将儒家心性修养从抽象的义理思辨转化为可操作的微观修持技术，消解了出世求解脱与入世守伦常之间的心理学壁垒。</w:t>
      </w:r>
    </w:p>
    <w:p>
      <w:r>
        <w:t>其三，在行为规训层面，功过格制度将抽象伦理转化为可量化的"道德资本"，构成基层社会微观权力规训的物质载体。然而，道德量化也潜藏着功利主义异化的风险，刘宗周的批判提醒我们，高阶伦理在向世俗下沉过程中，需要警惕"行善"蜕变为"投资"的理论张力。</w:t>
      </w:r>
    </w:p>
    <w:p>
      <w:r>
        <w:t>这三个维度构成了一个从理论建构到心理内化再到实践操作的完整逻辑链条。通过对这一融合机制的解剖，本文旨在为理解佛教中国化的深层逻辑提供新的分析视角，同时也为当代佛教伦理的现代转化提供了历史参照。</w:t>
      </w:r>
    </w:p>
    <w:p>
      <w:r>
        <w:t>需要指出的是，本文在史料采择上仍偏重规范性文本（经论、高僧文集、正统注疏），对承载底层信仰实践的描述性文本（地方碑刻、民间宝卷、宗祠族谱等）挖掘不足。此外，现代转化论述中实证数据的支撑尚显薄弱，部分结论较多停留在理论建构层面。未来研究可引入历史人类学与数字人文方法，结合田野调查与NLP技术，对佛儒伦理在当代的活态践行进行更精细的描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仿宋" w:hAnsi="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