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调查问卷数据总表</w:t>
      </w:r>
    </w:p>
    <w:bookmarkStart w:id="9" w:name="调查问卷数据总表100份"/>
    <w:p>
      <w:pPr>
        <w:pStyle w:val="Heading1"/>
      </w:pPr>
      <w:r>
        <w:rPr>
          <w:rFonts w:hint="eastAsia"/>
        </w:rPr>
        <w:t xml:space="preserve">调查问卷数据总表（100份）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t xml:space="preserve">Q16</w:t>
            </w:r>
          </w:p>
        </w:tc>
        <w:tc>
          <w:tcPr/>
          <w:p>
            <w:pPr>
              <w:pStyle w:val="Compact"/>
            </w:pPr>
            <w:r>
              <w:t xml:space="preserve">Q17</w:t>
            </w:r>
          </w:p>
        </w:tc>
        <w:tc>
          <w:tcPr/>
          <w:p>
            <w:pPr>
              <w:pStyle w:val="Compact"/>
            </w:pPr>
            <w:r>
              <w:t xml:space="preserve">Q18</w:t>
            </w:r>
          </w:p>
        </w:tc>
        <w:tc>
          <w:tcPr/>
          <w:p>
            <w:pPr>
              <w:pStyle w:val="Compact"/>
            </w:pPr>
            <w:r>
              <w:t xml:space="preserve">Q19</w:t>
            </w:r>
          </w:p>
        </w:tc>
        <w:tc>
          <w:tcPr/>
          <w:p>
            <w:pPr>
              <w:pStyle w:val="Compact"/>
            </w:pPr>
            <w:r>
              <w:t xml:space="preserve">Q20</w:t>
            </w:r>
          </w:p>
        </w:tc>
        <w:tc>
          <w:tcPr/>
          <w:p>
            <w:pPr>
              <w:pStyle w:val="Compact"/>
            </w:pPr>
            <w:r>
              <w:t xml:space="preserve">Q21</w:t>
            </w:r>
          </w:p>
        </w:tc>
        <w:tc>
          <w:tcPr/>
          <w:p>
            <w:pPr>
              <w:pStyle w:val="Compact"/>
            </w:pPr>
            <w:r>
              <w:t xml:space="preserve">Q22</w:t>
            </w:r>
          </w:p>
        </w:tc>
        <w:tc>
          <w:tcPr/>
          <w:p>
            <w:pPr>
              <w:pStyle w:val="Compact"/>
            </w:pPr>
            <w:r>
              <w:t xml:space="preserve">Q23</w:t>
            </w:r>
          </w:p>
        </w:tc>
        <w:tc>
          <w:tcPr/>
          <w:p>
            <w:pPr>
              <w:pStyle w:val="Compact"/>
            </w:pPr>
            <w:r>
              <w:t xml:space="preserve">Q24</w:t>
            </w:r>
          </w:p>
        </w:tc>
        <w:tc>
          <w:tcPr/>
          <w:p>
            <w:pPr>
              <w:pStyle w:val="Compact"/>
            </w:pPr>
            <w:r>
              <w:t xml:space="preserve">Q25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尼众教育资源明显不足、培养目标与社会需求脱节、戒律教育松弛流于形式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具有国际视野复合型僧才、其他、爱国爱教合格僧才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戒律教育系统化规范化、社会服务与实践能力培养、爱国主义教育深化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师资队伍专业化建设、爱国主义教育深化、院校管理现代化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佛学与文化课程比例失衡、管理制度不健全、学修脱节理论与修行未结合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僧俗结合师资建设模式、传统丛林与现代教育融合、培养爱国爱教年轻僧才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学修脱节理论与修行未结合、师资力量薄弱、佛学与文化课程比例失衡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尼众教育资源专项扶持、传统文化与现代知识素养充实、院校管理现代化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戒律教育系统化规范化、其他、院校管理现代化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师资力量薄弱、其他、佛学与文化课程比例失衡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尼众教育资源专项扶持、其他、传统文化与现代知识素养充实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其他、爱国爱教合格僧才、精通佛学经典传承法脉宗教师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东北地区(辽吉黑)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其他、培养目标与社会需求脱节、师资力量薄弱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佛学与文学并重课程设计、其他、僧俗结合师资建设模式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尼众教育资源明显不足、师资力量薄弱、戒律教育松弛流于形式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院校管理现代化、传统文化与现代知识素养充实、师资队伍专业化建设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尼众教育资源明显不足、佛学与文化课程比例失衡、管理制度不健全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其他、传统文化与现代知识素养充实、师资队伍专业化建设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具备社会服务能力实践型僧才、能时代化阐释学术型僧才、能管理寺院组织型僧才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港澳台及海外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佛学与文学并重课程设计、僧俗结合师资建设模式、传统丛林与现代教育融合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学修脱节理论与修行未结合、师资力量薄弱、佛学与文化课程比例失衡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佛学与文学并重课程设计、学修一体化培养模式、僧俗结合师资建设模式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戒律教育系统化规范化、社会服务与实践能力培养、其他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以戒为师戒律教育体系、佛学与文学并重课程设计、学修一体化培养模式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爱国主义教育深化、戒律教育系统化规范化、其他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佛学与文化课程比例失衡、培养目标与社会需求脱节、其他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传统文化与现代知识素养充实、其他、社会服务与实践能力培养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培养目标与社会需求脱节、师资力量薄弱、其他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管理制度不健全、培养目标与社会需求脱节、尼众教育资源明显不足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以戒为师戒律教育体系、僧俗结合师资建设模式、学修一体化培养模式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社会服务与实践能力培养、戒律教育系统化规范化、院校管理现代化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培养目标与社会需求脱节、戒律教育松弛流于形式、管理制度不健全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培养爱国爱教年轻僧才、其他、以戒为师戒律教育体系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僧俗结合师资建设模式、佛学与文学并重课程设计、以戒为师戒律教育体系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尼众教育资源专项扶持、爱国主义教育深化、其他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佛学与文化课程比例失衡、学修脱节理论与修行未结合、其他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其他、佛教实践服务社会利益人群、爱国爱教与社会主义相适应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具有国际视野复合型僧才、能时代化阐释学术型僧才、爱国爱教合格僧才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师资力量薄弱、学修脱节理论与修行未结合、管理制度不健全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学修一体化培养模式、传统丛林与现代教育融合、恢复二部僧戒戒律传承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其他、爱国主义教育深化、戒律教育系统化规范化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具备社会服务能力实践型僧才、具有国际视野复合型僧才、爱国爱教合格僧才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师资力量薄弱、其他、戒律教育松弛流于形式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传统丛林与现代教育融合、培养爱国爱教年轻僧才、恢复二部僧戒戒律传承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师资力量薄弱、佛学与文化课程比例失衡、管理制度不健全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恢复二部僧戒戒律传承、学修一体化培养模式、培养爱国爱教年轻僧才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精通佛学经典传承法脉宗教师、能管理寺院组织型僧才、能时代化阐释学术型僧才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佛学与文学并重课程设计、其他、僧俗结合师资建设模式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爱国主义教育深化、师资队伍专业化建设、传统文化与现代知识素养充实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尼众教育资源明显不足、戒律教育松弛流于形式、管理制度不健全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传统丛林与现代教育融合、培养爱国爱教年轻僧才、僧俗结合师资建设模式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院校管理现代化、尼众教育资源专项扶持、爱国主义教育深化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佛学与文学并重课程设计、传统丛林与现代教育融合、僧俗结合师资建设模式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传统文化与现代知识素养充实、尼众教育资源专项扶持、戒律教育系统化规范化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具有国际视野复合型僧才、爱国爱教合格僧才、精通佛学经典传承法脉宗教师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管理制度不健全、学修脱节理论与修行未结合、其他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佛学与文学并重课程设计、其他、以戒为师戒律教育体系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院校管理现代化、社会服务与实践能力培养、其他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戒律教育松弛流于形式、其他、尼众教育资源明显不足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港澳台及海外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其他、师资力量薄弱、戒律教育松弛流于形式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僧俗结合师资建设模式、培养爱国爱教年轻僧才、其他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社会服务与实践能力培养、尼众教育资源专项扶持、师资队伍专业化建设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具备社会服务能力实践型僧才、爱国爱教合格僧才、具有国际视野复合型僧才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培养爱国爱教年轻僧才、以戒为师戒律教育体系、佛学与文学并重课程设计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院校管理现代化、爱国主义教育深化、传统文化与现代知识素养充实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能时代化阐释学术型僧才、具有国际视野复合型僧才、其他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培养爱国爱教年轻僧才、僧俗结合师资建设模式、恢复二部僧戒戒律传承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戒律教育系统化规范化、其他、院校管理现代化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建议增加信息技术和新媒体应用方面的课程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教义阐释与传统文化融合、佛教实践服务社会利益人群、僧才培养体系规范化现代化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尼众教育资源专项扶持、社会服务与实践能力培养、戒律教育系统化规范化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师资力量薄弱、管理制度不健全、学修脱节理论与修行未结合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以戒为师戒律教育体系、其他、恢复二部僧戒戒律传承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其他、爱国主义教育深化、戒律教育系统化规范化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爱国爱教与社会主义相适应、佛教实践服务社会利益人群、僧团制度与社会规范适应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管理制度不健全、学修脱节理论与修行未结合、佛学与文化课程比例失衡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戒律教育系统化规范化、师资队伍专业化建设、传统文化与现代知识素养充实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僧俗结合师资建设模式、学修一体化培养模式、培养爱国爱教年轻僧才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具有国际视野复合型僧才、其他、爱国爱教合格僧才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师资力量薄弱、其他、戒律教育松弛流于形式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培养爱国爱教年轻僧才、以戒为师戒律教育体系、学修一体化培养模式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其他、尼众教育资源专项扶持、院校管理现代化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具有国际视野复合型僧才、能时代化阐释学术型僧才、其他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其他、僧俗结合师资建设模式、传统丛林与现代教育融合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佛学与文化课程比例失衡、尼众教育资源明显不足、培养目标与社会需求脱节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传统丛林与现代教育融合、学修一体化培养模式、僧俗结合师资建设模式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传统文化与现代知识素养充实、其他、尼众教育资源专项扶持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管理制度不健全、佛学与文化课程比例失衡、戒律教育松弛流于形式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以戒为师戒律教育体系、恢复二部僧戒戒律传承、僧俗结合师资建设模式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僧团制度与社会规范适应、佛教实践服务社会利益人群、教义阐释与传统文化融合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尼众教育资源明显不足、学修脱节理论与修行未结合、师资力量薄弱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佛学与文学并重课程设计、学修一体化培养模式、传统丛林与现代教育融合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爱国主义教育深化、传统文化与现代知识素养充实、其他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培养目标与社会需求脱节、其他、管理制度不健全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恢复二部僧戒戒律传承、学修一体化培养模式、以戒为师戒律教育体系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戒律教育系统化规范化、爱国主义教育深化、尼众教育资源专项扶持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爱国爱教合格僧才、具备社会服务能力实践型僧才、精通佛学经典传承法脉宗教师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培养目标与社会需求脱节、其他、学修脱节理论与修行未结合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能时代化阐释学术型僧才、爱国爱教合格僧才、具有国际视野复合型僧才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学修一体化培养模式、传统丛林与现代教育融合、其他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戒律教育系统化规范化、师资队伍专业化建设、院校管理现代化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爱国爱教与社会主义相适应、僧团制度与社会规范适应、佛教实践服务社会利益人群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恢复二部僧戒戒律传承、培养爱国爱教年轻僧才、僧俗结合师资建设模式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具备社会服务能力实践型僧才、能时代化阐释学术型僧才、其他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学修脱节理论与修行未结合、管理制度不健全、师资力量薄弱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学修一体化培养模式、培养爱国爱教年轻僧才、以戒为师戒律教育体系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精通佛学经典传承法脉宗教师、爱国爱教合格僧才、其他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其他、培养目标与社会需求脱节、学修脱节理论与修行未结合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传统文化与现代知识素养充实、师资队伍专业化建设、爱国主义教育深化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师资力量薄弱、尼众教育资源明显不足、学修脱节理论与修行未结合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能管理寺院组织型僧才、具有国际视野复合型僧才、精通佛学经典传承法脉宗教师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戒律教育松弛流于形式、其他、管理制度不健全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其他、爱国主义教育深化、院校管理现代化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爱国爱教合格僧才、精通佛学经典传承法脉宗教师、其他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培养目标与社会需求脱节、佛学与文化课程比例失衡、尼众教育资源明显不足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学修一体化培养模式、僧俗结合师资建设模式、其他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传统文化与现代知识素养充实、其他、师资队伍专业化建设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东北地区(辽吉黑)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戒律教育松弛流于形式、其他、佛学与文化课程比例失衡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其他、学修脱节理论与修行未结合、佛学与文化课程比例失衡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恢复二部僧戒戒律传承、培养爱国爱教年轻僧才、佛学与文学并重课程设计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管理制度不健全、其他、师资力量薄弱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培养爱国爱教年轻僧才、佛学与文学并重课程设计、以戒为师戒律教育体系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学修一体化培养模式、培养爱国爱教年轻僧才、其他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戒律教育松弛流于形式、师资力量薄弱、培养目标与社会需求脱节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其他、佛学与文学并重课程设计、传统丛林与现代教育融合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精通佛学经典传承法脉宗教师、能时代化阐释学术型僧才、爱国爱教合格僧才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佛学与文化课程比例失衡、学修脱节理论与修行未结合、其他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学修一体化培养模式、以戒为师戒律教育体系、佛学与文学并重课程设计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爱国主义教育深化、其他、传统文化与现代知识素养充实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学修脱节理论与修行未结合、管理制度不健全、佛学与文化课程比例失衡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精通佛学经典传承法脉宗教师、具备社会服务能力实践型僧才、能管理寺院组织型僧才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以戒为师戒律教育体系、传统丛林与现代教育融合、僧俗结合师资建设模式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爱国主义教育深化、师资队伍专业化建设、其他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爱国爱教合格僧才、具有国际视野复合型僧才、能时代化阐释学术型僧才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尼众教育资源明显不足、其他、培养目标与社会需求脱节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僧俗结合师资建设模式、学修一体化培养模式、培养爱国爱教年轻僧才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精通佛学经典传承法脉宗教师、能时代化阐释学术型僧才、爱国爱教合格僧才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僧团制度与社会规范适应、其他、爱国爱教与社会主义相适应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戒律教育松弛流于形式、学修脱节理论与修行未结合、管理制度不健全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其他、僧俗结合师资建设模式、培养爱国爱教年轻僧才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尼众教育资源专项扶持、社会服务与实践能力培养、戒律教育系统化规范化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其他、僧俗结合师资建设模式、佛学与文学并重课程设计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培养爱国爱教年轻僧才、佛学与文学并重课程设计、学修一体化培养模式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其他、师资队伍专业化建设、戒律教育系统化规范化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港澳台及海外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戒律教育松弛流于形式、学修脱节理论与修行未结合、师资力量薄弱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以戒为师戒律教育体系、学修一体化培养模式、恢复二部僧戒戒律传承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建议增加信息技术和新媒体应用方面的课程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爱国爱教与社会主义相适应、其他、僧团制度与社会规范适应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学修一体化培养模式、僧俗结合师资建设模式、其他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师资队伍专业化建设、社会服务与实践能力培养、院校管理现代化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培养目标与社会需求脱节、学修脱节理论与修行未结合、尼众教育资源明显不足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师资队伍专业化建设、其他、戒律教育系统化规范化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戒律教育松弛流于形式、学修脱节理论与修行未结合、管理制度不健全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培养爱国爱教年轻僧才、学修一体化培养模式、以戒为师戒律教育体系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尼众教育资源专项扶持、社会服务与实践能力培养、师资队伍专业化建设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具备社会服务能力实践型僧才、爱国爱教合格僧才、其他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尼众教育资源明显不足、其他、戒律教育松弛流于形式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能时代化阐释学术型僧才、爱国爱教合格僧才、具有国际视野复合型僧才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教义阐释与传统文化融合、佛教实践服务社会利益人群、僧才培养体系规范化现代化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佛学与文学并重课程设计、恢复二部僧戒戒律传承、培养爱国爱教年轻僧才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爱国主义教育深化、其他、尼众教育资源专项扶持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具备社会服务能力实践型僧才、具有国际视野复合型僧才、其他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学修脱节理论与修行未结合、管理制度不健全、佛学与文化课程比例失衡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培养爱国爱教年轻僧才、学修一体化培养模式、恢复二部僧戒戒律传承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爱国爱教合格僧才、其他、具备社会服务能力实践型僧才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学修一体化培养模式、培养爱国爱教年轻僧才、传统丛林与现代教育融合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尼众教育资源明显不足、管理制度不健全、其他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以戒为师戒律教育体系、佛学与文学并重课程设计、培养爱国爱教年轻僧才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戒律教育系统化规范化、尼众教育资源专项扶持、爱国主义教育深化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学修脱节理论与修行未结合、戒律教育松弛流于形式、培养目标与社会需求脱节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培养目标与社会需求脱节、戒律教育松弛流于形式、其他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恢复二部僧戒戒律传承、其他、以戒为师戒律教育体系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传统文化与现代知识素养充实、爱国主义教育深化、其他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爱国爱教合格僧才、能管理寺院组织型僧才、精通佛学经典传承法脉宗教师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尼众教育资源明显不足、培养目标与社会需求脱节、学修脱节理论与修行未结合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学修一体化培养模式、其他、传统丛林与现代教育融合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传统文化与现代知识素养充实、尼众教育资源专项扶持、爱国主义教育深化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社会服务与实践能力培养、戒律教育系统化规范化、爱国主义教育深化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其他、能管理寺院组织型僧才、精通佛学经典传承法脉宗教师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管理制度不健全、其他、尼众教育资源明显不足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学修一体化培养模式、其他、佛学与文学并重课程设计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爱国爱教与社会主义相适应、其他、僧团制度与社会规范适应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戒律教育系统化规范化、社会服务与实践能力培养、传统文化与现代知识素养充实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佛学与文化课程比例失衡、师资力量薄弱、培养目标与社会需求脱节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以戒为师戒律教育体系、恢复二部僧戒戒律传承、其他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传统文化与现代知识素养充实、尼众教育资源专项扶持、社会服务与实践能力培养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具备社会服务能力实践型僧才、其他、精通佛学经典传承法脉宗教师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僧团制度与社会规范适应、其他、教义阐释与传统文化融合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爱国主义教育深化、尼众教育资源专项扶持、社会服务与实践能力培养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精通佛学经典传承法脉宗教师、能时代化阐释学术型僧才、具有国际视野复合型僧才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尼众教育资源明显不足、学修脱节理论与修行未结合、佛学与文化课程比例失衡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学修一体化培养模式、恢复二部僧戒戒律传承、其他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戒律教育系统化规范化、师资队伍专业化建设、传统文化与现代知识素养充实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精通佛学经典传承法脉宗教师、能管理寺院组织型僧才、具有国际视野复合型僧才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尼众教育资源明显不足、佛学与文化课程比例失衡、师资力量薄弱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僧俗结合师资建设模式、学修一体化培养模式、恢复二部僧戒戒律传承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精通佛学经典传承法脉宗教师、能管理寺院组织型僧才、其他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佛学与文化课程比例失衡、师资力量薄弱、学修脱节理论与修行未结合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传统文化与现代知识素养充实、爱国主义教育深化、社会服务与实践能力培养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院校管理现代化、爱国主义教育深化、社会服务与实践能力培养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学修脱节理论与修行未结合、其他、培养目标与社会需求脱节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学修一体化培养模式、传统丛林与现代教育融合、培养爱国爱教年轻僧才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僧才培养体系规范化现代化、爱国爱教与社会主义相适应、佛教实践服务社会利益人群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僧俗结合师资建设模式、其他、传统丛林与现代教育融合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其他、戒律教育松弛流于形式、培养目标与社会需求脱节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其他、戒律教育系统化规范化、尼众教育资源专项扶持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戒律教育松弛流于形式、佛学与文化课程比例失衡、其他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僧才培养体系规范化现代化、教义阐释与传统文化融合、其他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以戒为师戒律教育体系、其他、佛学与文学并重课程设计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师资队伍专业化建设、尼众教育资源专项扶持、传统文化与现代知识素养充实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其他、能时代化阐释学术型僧才、能管理寺院组织型僧才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希望佛学课程与文化课程能更加平衡，培养具有广博视野的僧才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希望佛学课程与文化课程能更加平衡，培养具有广博视野的僧才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爱国爱教与社会主义相适应、佛教实践服务社会利益人群、教义阐释与传统文化融合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爱国主义教育深化、其他、尼众教育资源专项扶持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调查问卷数据总表</dc:title>
  <dc:creator/>
  <cp:keywords/>
  <dcterms:created xsi:type="dcterms:W3CDTF">2026-06-19T10:22:16Z</dcterms:created>
  <dcterms:modified xsi:type="dcterms:W3CDTF">2026-06-19T10:22:16Z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