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rPr>
                <w:color w:val="auto"/>
              </w:rPr>
            </w:pPr>
            <w:r>
              <w:rPr>
                <w:rFonts w:hint="eastAsia"/>
                <w:b/>
                <w:bCs/>
                <w:color w:val="auto"/>
                <w:sz w:val="30"/>
              </w:rPr>
              <w:br w:type="page"/>
            </w:r>
            <w:r>
              <w:rPr>
                <w:rFonts w:hint="eastAsia"/>
                <w:color w:val="auto"/>
              </w:rPr>
              <w:t>分类号</w:t>
            </w:r>
          </w:p>
        </w:tc>
        <w:tc>
          <w:tcPr>
            <w:tcW w:w="1332" w:type="dxa"/>
            <w:gridSpan w:val="2"/>
            <w:tcBorders>
              <w:top w:val="nil"/>
              <w:left w:val="nil"/>
              <w:bottom w:val="dashSmallGap" w:color="auto" w:sz="4" w:space="0"/>
              <w:right w:val="nil"/>
            </w:tcBorders>
            <w:vAlign w:val="bottom"/>
          </w:tcPr>
          <w:p w14:paraId="52F8594C">
            <w:pPr>
              <w:pStyle w:val="37"/>
              <w:rPr>
                <w:b/>
                <w:bCs/>
                <w:color w:val="auto"/>
              </w:rPr>
            </w:pPr>
          </w:p>
        </w:tc>
        <w:tc>
          <w:tcPr>
            <w:tcW w:w="4203" w:type="dxa"/>
            <w:gridSpan w:val="3"/>
            <w:tcBorders>
              <w:top w:val="nil"/>
              <w:left w:val="nil"/>
              <w:bottom w:val="nil"/>
              <w:right w:val="nil"/>
            </w:tcBorders>
            <w:vAlign w:val="bottom"/>
          </w:tcPr>
          <w:p w14:paraId="0DA6361A">
            <w:pPr>
              <w:pStyle w:val="37"/>
              <w:rPr>
                <w:color w:val="auto"/>
              </w:rPr>
            </w:pPr>
          </w:p>
        </w:tc>
        <w:tc>
          <w:tcPr>
            <w:tcW w:w="922" w:type="dxa"/>
            <w:gridSpan w:val="2"/>
            <w:tcBorders>
              <w:top w:val="nil"/>
              <w:left w:val="nil"/>
              <w:bottom w:val="nil"/>
              <w:right w:val="nil"/>
            </w:tcBorders>
            <w:vAlign w:val="bottom"/>
          </w:tcPr>
          <w:p w14:paraId="2DC6DD75">
            <w:pPr>
              <w:pStyle w:val="37"/>
              <w:ind w:left="0" w:leftChars="0" w:firstLine="0" w:firstLineChars="0"/>
              <w:rPr>
                <w:color w:val="auto"/>
              </w:rPr>
            </w:pPr>
            <w:r>
              <w:rPr>
                <w:rFonts w:hint="eastAsia"/>
                <w:color w:val="auto"/>
              </w:rPr>
              <w:t>密 级</w:t>
            </w:r>
          </w:p>
        </w:tc>
        <w:tc>
          <w:tcPr>
            <w:tcW w:w="1332" w:type="dxa"/>
            <w:tcBorders>
              <w:top w:val="nil"/>
              <w:left w:val="nil"/>
              <w:bottom w:val="dashSmallGap" w:color="auto" w:sz="4" w:space="0"/>
              <w:right w:val="nil"/>
            </w:tcBorders>
            <w:vAlign w:val="bottom"/>
          </w:tcPr>
          <w:p w14:paraId="3CA868D6">
            <w:pPr>
              <w:pStyle w:val="37"/>
              <w:rPr>
                <w:color w:val="auto"/>
              </w:rPr>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rPr>
                <w:color w:val="auto"/>
              </w:rPr>
            </w:pPr>
            <w:r>
              <w:rPr>
                <w:rFonts w:hint="eastAsia"/>
                <w:color w:val="auto"/>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rPr>
                <w:color w:val="auto"/>
              </w:rPr>
            </w:pPr>
          </w:p>
        </w:tc>
        <w:tc>
          <w:tcPr>
            <w:tcW w:w="4203" w:type="dxa"/>
            <w:gridSpan w:val="3"/>
            <w:tcBorders>
              <w:top w:val="nil"/>
              <w:left w:val="nil"/>
              <w:bottom w:val="nil"/>
              <w:right w:val="nil"/>
            </w:tcBorders>
            <w:vAlign w:val="bottom"/>
          </w:tcPr>
          <w:p w14:paraId="23AC3EBA">
            <w:pPr>
              <w:pStyle w:val="37"/>
              <w:rPr>
                <w:color w:val="auto"/>
              </w:rPr>
            </w:pPr>
          </w:p>
        </w:tc>
        <w:tc>
          <w:tcPr>
            <w:tcW w:w="922" w:type="dxa"/>
            <w:gridSpan w:val="2"/>
            <w:tcBorders>
              <w:top w:val="nil"/>
              <w:left w:val="nil"/>
              <w:bottom w:val="nil"/>
              <w:right w:val="nil"/>
            </w:tcBorders>
            <w:vAlign w:val="bottom"/>
          </w:tcPr>
          <w:p w14:paraId="5BE38EE3">
            <w:pPr>
              <w:pStyle w:val="37"/>
              <w:ind w:left="0" w:leftChars="0" w:firstLine="0" w:firstLineChars="0"/>
              <w:rPr>
                <w:color w:val="auto"/>
              </w:rPr>
            </w:pPr>
            <w:r>
              <w:rPr>
                <w:rFonts w:hint="eastAsia"/>
                <w:color w:val="auto"/>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color w:val="auto"/>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color w:val="auto"/>
                <w:sz w:val="44"/>
              </w:rPr>
            </w:pPr>
            <w:r>
              <w:rPr>
                <w:rFonts w:hint="eastAsia" w:eastAsia="宋体"/>
                <w:color w:val="auto"/>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color w:val="auto"/>
                <w:sz w:val="44"/>
                <w:lang w:val="en-US" w:eastAsia="zh-CN"/>
              </w:rPr>
            </w:pPr>
          </w:p>
          <w:p w14:paraId="0358660F">
            <w:pPr>
              <w:pStyle w:val="37"/>
              <w:jc w:val="center"/>
              <w:rPr>
                <w:rFonts w:hint="default" w:eastAsia="仿宋_GB2312"/>
                <w:color w:val="auto"/>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auto"/>
                <w:sz w:val="36"/>
                <w:szCs w:val="36"/>
                <w:lang w:val="en-US" w:eastAsia="zh-CN"/>
              </w:rPr>
            </w:pPr>
            <w:r>
              <w:rPr>
                <w:rFonts w:hint="eastAsia" w:ascii="微软雅黑" w:hAnsi="微软雅黑" w:eastAsia="微软雅黑" w:cs="微软雅黑"/>
                <w:b/>
                <w:color w:val="auto"/>
                <w:sz w:val="36"/>
                <w:szCs w:val="36"/>
                <w:lang w:val="en-US" w:eastAsia="zh-CN"/>
              </w:rPr>
              <w:t>浙江省宗教界“双通”人才研修班</w:t>
            </w:r>
          </w:p>
          <w:p w14:paraId="0BD70198">
            <w:pPr>
              <w:pStyle w:val="38"/>
              <w:rPr>
                <w:rFonts w:hint="default"/>
                <w:b/>
                <w:color w:val="auto"/>
                <w:lang w:val="en-US"/>
              </w:rPr>
            </w:pPr>
            <w:r>
              <w:rPr>
                <w:rFonts w:hint="eastAsia" w:ascii="微软雅黑" w:hAnsi="微软雅黑" w:eastAsia="微软雅黑" w:cs="微软雅黑"/>
                <w:b/>
                <w:color w:val="auto"/>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auto"/>
                <w:sz w:val="32"/>
                <w:szCs w:val="32"/>
                <w:lang w:eastAsia="zh-CN"/>
              </w:rPr>
            </w:pPr>
          </w:p>
          <w:p w14:paraId="5740EEA7">
            <w:pPr>
              <w:keepNext w:val="0"/>
              <w:keepLines w:val="0"/>
              <w:widowControl/>
              <w:suppressLineNumbers w:val="0"/>
              <w:jc w:val="center"/>
              <w:rPr>
                <w:color w:val="auto"/>
              </w:rPr>
            </w:pPr>
            <w:r>
              <w:rPr>
                <w:rFonts w:hint="default" w:ascii="黑体" w:hAnsi="宋体" w:eastAsia="黑体" w:cs="黑体"/>
                <w:b/>
                <w:bCs/>
                <w:snapToGrid/>
                <w:color w:val="auto"/>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auto"/>
                <w:sz w:val="32"/>
                <w:szCs w:val="32"/>
                <w:lang w:val="en-US" w:eastAsia="zh-CN"/>
              </w:rPr>
            </w:pPr>
          </w:p>
          <w:p w14:paraId="525BDA62">
            <w:pPr>
              <w:adjustRightInd w:val="0"/>
              <w:snapToGrid w:val="0"/>
              <w:jc w:val="center"/>
              <w:rPr>
                <w:rFonts w:hint="eastAsia" w:eastAsia="宋体"/>
                <w:color w:val="auto"/>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rPr>
                <w:color w:val="auto"/>
              </w:rPr>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auto"/>
                <w:sz w:val="52"/>
              </w:rPr>
            </w:pPr>
          </w:p>
        </w:tc>
        <w:tc>
          <w:tcPr>
            <w:tcW w:w="3352" w:type="dxa"/>
            <w:gridSpan w:val="2"/>
            <w:tcBorders>
              <w:top w:val="nil"/>
              <w:left w:val="nil"/>
              <w:bottom w:val="nil"/>
              <w:right w:val="nil"/>
            </w:tcBorders>
            <w:vAlign w:val="center"/>
          </w:tcPr>
          <w:p w14:paraId="53122898">
            <w:pPr>
              <w:pStyle w:val="40"/>
              <w:ind w:firstLine="280" w:firstLineChars="100"/>
              <w:rPr>
                <w:b/>
                <w:bCs/>
                <w:color w:val="auto"/>
              </w:rPr>
            </w:pPr>
            <w:r>
              <w:rPr>
                <w:rFonts w:hint="eastAsia"/>
                <w:b/>
                <w:bCs/>
                <w:color w:val="auto"/>
                <w:lang w:val="en-US" w:eastAsia="zh-CN"/>
              </w:rPr>
              <w:t>作   者</w:t>
            </w:r>
            <w:r>
              <w:rPr>
                <w:rFonts w:hint="eastAsia"/>
                <w:b/>
                <w:bCs/>
                <w:color w:val="auto"/>
              </w:rPr>
              <w:t xml:space="preserve"> </w:t>
            </w:r>
            <w:r>
              <w:rPr>
                <w:rFonts w:hint="eastAsia"/>
                <w:b/>
                <w:bCs/>
                <w:color w:val="auto"/>
                <w:lang w:val="en-US" w:eastAsia="zh-CN"/>
              </w:rPr>
              <w:t xml:space="preserve">  </w:t>
            </w:r>
            <w:r>
              <w:rPr>
                <w:rFonts w:hint="eastAsia"/>
                <w:b/>
                <w:bCs/>
                <w:color w:val="auto"/>
              </w:rPr>
              <w:t xml:space="preserve">姓 </w:t>
            </w:r>
            <w:r>
              <w:rPr>
                <w:rFonts w:hint="eastAsia"/>
                <w:b/>
                <w:bCs/>
                <w:color w:val="auto"/>
                <w:lang w:val="en-US" w:eastAsia="zh-CN"/>
              </w:rPr>
              <w:t xml:space="preserve">  </w:t>
            </w:r>
            <w:r>
              <w:rPr>
                <w:rFonts w:hint="eastAsia"/>
                <w:b/>
                <w:bCs/>
                <w:color w:val="auto"/>
              </w:rPr>
              <w:t xml:space="preserve"> 名：</w:t>
            </w:r>
          </w:p>
        </w:tc>
        <w:tc>
          <w:tcPr>
            <w:tcW w:w="302" w:type="dxa"/>
            <w:tcBorders>
              <w:top w:val="nil"/>
              <w:left w:val="nil"/>
              <w:bottom w:val="nil"/>
              <w:right w:val="nil"/>
            </w:tcBorders>
            <w:vAlign w:val="center"/>
          </w:tcPr>
          <w:p w14:paraId="64FC411D">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color w:val="auto"/>
                <w:spacing w:val="20"/>
                <w:lang w:val="en-US" w:eastAsia="zh-CN"/>
              </w:rPr>
            </w:pPr>
            <w:r>
              <w:rPr>
                <w:rFonts w:hint="eastAsia"/>
                <w:b/>
                <w:bCs/>
                <w:color w:val="auto"/>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auto"/>
                <w:sz w:val="52"/>
              </w:rPr>
            </w:pPr>
          </w:p>
          <w:p w14:paraId="37018065">
            <w:pPr>
              <w:adjustRightInd w:val="0"/>
              <w:snapToGrid w:val="0"/>
              <w:rPr>
                <w:rFonts w:hint="eastAsia" w:eastAsia="楷体_GB2312"/>
                <w:color w:val="auto"/>
                <w:sz w:val="52"/>
              </w:rPr>
            </w:pPr>
          </w:p>
          <w:p w14:paraId="45990817">
            <w:pPr>
              <w:adjustRightInd w:val="0"/>
              <w:snapToGrid w:val="0"/>
              <w:rPr>
                <w:rFonts w:hint="eastAsia" w:eastAsia="楷体_GB2312"/>
                <w:color w:val="auto"/>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auto"/>
                <w:sz w:val="52"/>
              </w:rPr>
            </w:pPr>
          </w:p>
        </w:tc>
        <w:tc>
          <w:tcPr>
            <w:tcW w:w="3352" w:type="dxa"/>
            <w:gridSpan w:val="2"/>
            <w:tcBorders>
              <w:top w:val="nil"/>
              <w:left w:val="nil"/>
              <w:bottom w:val="nil"/>
              <w:right w:val="nil"/>
            </w:tcBorders>
            <w:vAlign w:val="center"/>
          </w:tcPr>
          <w:p w14:paraId="2C96ED63">
            <w:pPr>
              <w:pStyle w:val="40"/>
              <w:ind w:firstLine="280" w:firstLineChars="100"/>
              <w:rPr>
                <w:b/>
                <w:bCs/>
                <w:color w:val="auto"/>
              </w:rPr>
            </w:pPr>
            <w:r>
              <w:rPr>
                <w:rFonts w:hint="eastAsia"/>
                <w:b/>
                <w:bCs/>
                <w:color w:val="auto"/>
              </w:rPr>
              <w:t xml:space="preserve">学            </w:t>
            </w:r>
            <w:r>
              <w:rPr>
                <w:b/>
                <w:bCs/>
                <w:color w:val="auto"/>
              </w:rPr>
              <w:t xml:space="preserve"> </w:t>
            </w:r>
            <w:r>
              <w:rPr>
                <w:rFonts w:hint="eastAsia"/>
                <w:b/>
                <w:bCs/>
                <w:color w:val="auto"/>
              </w:rPr>
              <w:t xml:space="preserve"> 号：</w:t>
            </w:r>
          </w:p>
        </w:tc>
        <w:tc>
          <w:tcPr>
            <w:tcW w:w="302" w:type="dxa"/>
            <w:tcBorders>
              <w:top w:val="nil"/>
              <w:left w:val="nil"/>
              <w:bottom w:val="nil"/>
              <w:right w:val="nil"/>
            </w:tcBorders>
            <w:vAlign w:val="center"/>
          </w:tcPr>
          <w:p w14:paraId="56436DBB">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6CC46EA1">
            <w:pPr>
              <w:rPr>
                <w:color w:val="auto"/>
              </w:rPr>
            </w:pPr>
            <w:r>
              <w:rPr>
                <w:color w:val="auto"/>
              </w:rP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auto"/>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auto"/>
                <w:sz w:val="52"/>
              </w:rPr>
            </w:pPr>
          </w:p>
        </w:tc>
        <w:tc>
          <w:tcPr>
            <w:tcW w:w="3352" w:type="dxa"/>
            <w:gridSpan w:val="2"/>
            <w:tcBorders>
              <w:top w:val="nil"/>
              <w:left w:val="nil"/>
              <w:bottom w:val="nil"/>
              <w:right w:val="nil"/>
            </w:tcBorders>
            <w:vAlign w:val="center"/>
          </w:tcPr>
          <w:p w14:paraId="63365C72">
            <w:pPr>
              <w:pStyle w:val="40"/>
              <w:ind w:firstLine="280" w:firstLineChars="100"/>
              <w:rPr>
                <w:b/>
                <w:bCs/>
                <w:color w:val="auto"/>
              </w:rPr>
            </w:pPr>
            <w:r>
              <w:rPr>
                <w:rFonts w:hint="eastAsia"/>
                <w:b/>
                <w:bCs/>
                <w:color w:val="auto"/>
              </w:rPr>
              <w:t>指</w:t>
            </w:r>
            <w:r>
              <w:rPr>
                <w:rFonts w:hint="eastAsia"/>
                <w:b/>
                <w:bCs/>
                <w:color w:val="auto"/>
                <w:lang w:val="en-US" w:eastAsia="zh-CN"/>
              </w:rPr>
              <w:t xml:space="preserve">   </w:t>
            </w:r>
            <w:r>
              <w:rPr>
                <w:rFonts w:hint="eastAsia"/>
                <w:b/>
                <w:bCs/>
                <w:color w:val="auto"/>
              </w:rPr>
              <w:t>导</w:t>
            </w:r>
            <w:r>
              <w:rPr>
                <w:rFonts w:hint="eastAsia"/>
                <w:b/>
                <w:bCs/>
                <w:color w:val="auto"/>
                <w:lang w:val="en-US" w:eastAsia="zh-CN"/>
              </w:rPr>
              <w:t xml:space="preserve">   </w:t>
            </w:r>
            <w:r>
              <w:rPr>
                <w:rFonts w:hint="eastAsia"/>
                <w:b/>
                <w:bCs/>
                <w:color w:val="auto"/>
              </w:rPr>
              <w:t>教</w:t>
            </w:r>
            <w:r>
              <w:rPr>
                <w:rFonts w:hint="eastAsia"/>
                <w:b/>
                <w:bCs/>
                <w:color w:val="auto"/>
                <w:lang w:val="en-US" w:eastAsia="zh-CN"/>
              </w:rPr>
              <w:t xml:space="preserve">    </w:t>
            </w:r>
            <w:r>
              <w:rPr>
                <w:rFonts w:hint="eastAsia"/>
                <w:b/>
                <w:bCs/>
                <w:color w:val="auto"/>
              </w:rPr>
              <w:t>师：</w:t>
            </w:r>
          </w:p>
        </w:tc>
        <w:tc>
          <w:tcPr>
            <w:tcW w:w="302" w:type="dxa"/>
            <w:tcBorders>
              <w:top w:val="nil"/>
              <w:left w:val="nil"/>
              <w:bottom w:val="nil"/>
              <w:right w:val="nil"/>
            </w:tcBorders>
            <w:vAlign w:val="center"/>
          </w:tcPr>
          <w:p w14:paraId="0BE16A20">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color w:val="auto"/>
                <w:lang w:val="en-US" w:eastAsia="zh-CN"/>
              </w:rPr>
            </w:pPr>
            <w:r>
              <w:rPr>
                <w:rFonts w:hint="eastAsia" w:eastAsia="宋体"/>
                <w:b/>
                <w:bCs/>
                <w:color w:val="auto"/>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auto"/>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auto"/>
                <w:sz w:val="52"/>
              </w:rPr>
            </w:pPr>
          </w:p>
        </w:tc>
        <w:tc>
          <w:tcPr>
            <w:tcW w:w="3352" w:type="dxa"/>
            <w:gridSpan w:val="2"/>
            <w:tcBorders>
              <w:top w:val="nil"/>
              <w:left w:val="nil"/>
              <w:bottom w:val="nil"/>
              <w:right w:val="nil"/>
            </w:tcBorders>
            <w:vAlign w:val="center"/>
          </w:tcPr>
          <w:p w14:paraId="67F1108F">
            <w:pPr>
              <w:pStyle w:val="40"/>
              <w:ind w:firstLine="280" w:firstLineChars="100"/>
              <w:rPr>
                <w:b/>
                <w:bCs/>
                <w:color w:val="auto"/>
              </w:rPr>
            </w:pPr>
            <w:r>
              <w:rPr>
                <w:rFonts w:hint="eastAsia"/>
                <w:b/>
                <w:bCs/>
                <w:color w:val="auto"/>
              </w:rPr>
              <w:t xml:space="preserve">研   究   方  </w:t>
            </w:r>
            <w:r>
              <w:rPr>
                <w:b/>
                <w:bCs/>
                <w:color w:val="auto"/>
              </w:rPr>
              <w:t xml:space="preserve"> </w:t>
            </w:r>
            <w:r>
              <w:rPr>
                <w:rFonts w:hint="eastAsia"/>
                <w:b/>
                <w:bCs/>
                <w:color w:val="auto"/>
              </w:rPr>
              <w:t xml:space="preserve"> 向：</w:t>
            </w:r>
          </w:p>
        </w:tc>
        <w:tc>
          <w:tcPr>
            <w:tcW w:w="302" w:type="dxa"/>
            <w:tcBorders>
              <w:top w:val="nil"/>
              <w:left w:val="nil"/>
              <w:bottom w:val="nil"/>
              <w:right w:val="nil"/>
            </w:tcBorders>
            <w:vAlign w:val="center"/>
          </w:tcPr>
          <w:p w14:paraId="5F9EA1D2">
            <w:pPr>
              <w:pStyle w:val="40"/>
              <w:ind w:firstLine="1960"/>
              <w:rPr>
                <w:b/>
                <w:bCs/>
                <w:color w:val="auto"/>
              </w:rPr>
            </w:pPr>
            <w:r>
              <w:rPr>
                <w:rFonts w:hint="eastAsia"/>
                <w:b/>
                <w:bCs/>
                <w:color w:val="auto"/>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color w:val="auto"/>
                <w:lang w:val="en-US" w:eastAsia="zh-CN"/>
              </w:rPr>
            </w:pPr>
            <w:r>
              <w:rPr>
                <w:rFonts w:hint="eastAsia"/>
                <w:b/>
                <w:bCs/>
                <w:color w:val="auto"/>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auto"/>
                <w:sz w:val="52"/>
              </w:rPr>
            </w:pPr>
          </w:p>
        </w:tc>
      </w:tr>
      <w:tr w14:paraId="29C7B864">
        <w:trPr>
          <w:trHeight w:val="1718" w:hRule="atLeast"/>
          <w:jc w:val="center"/>
        </w:trPr>
        <w:tc>
          <w:tcPr>
            <w:tcW w:w="8918" w:type="dxa"/>
            <w:gridSpan w:val="9"/>
            <w:tcBorders>
              <w:top w:val="nil"/>
              <w:left w:val="nil"/>
              <w:bottom w:val="nil"/>
              <w:right w:val="nil"/>
            </w:tcBorders>
          </w:tcPr>
          <w:p w14:paraId="5442196D">
            <w:pPr>
              <w:pStyle w:val="41"/>
              <w:jc w:val="both"/>
              <w:rPr>
                <w:color w:val="auto"/>
              </w:rPr>
            </w:pPr>
          </w:p>
          <w:p w14:paraId="72B0AD01">
            <w:pPr>
              <w:pStyle w:val="41"/>
              <w:jc w:val="both"/>
              <w:rPr>
                <w:color w:val="auto"/>
              </w:rPr>
            </w:pPr>
          </w:p>
          <w:p w14:paraId="54684E14">
            <w:pPr>
              <w:jc w:val="center"/>
              <w:rPr>
                <w:color w:val="auto"/>
              </w:rPr>
            </w:pPr>
            <w:r>
              <w:rPr>
                <w:rFonts w:hint="eastAsia"/>
                <w:color w:val="auto"/>
                <w:sz w:val="28"/>
                <w:szCs w:val="28"/>
                <w:lang w:val="en-US" w:eastAsia="zh-CN"/>
              </w:rPr>
              <w:t xml:space="preserve">2026 </w:t>
            </w:r>
            <w:r>
              <w:rPr>
                <w:rFonts w:hint="eastAsia"/>
                <w:color w:val="auto"/>
                <w:sz w:val="28"/>
                <w:szCs w:val="28"/>
              </w:rPr>
              <w:t xml:space="preserve">年 </w:t>
            </w:r>
            <w:r>
              <w:rPr>
                <w:rFonts w:hint="eastAsia"/>
                <w:color w:val="auto"/>
                <w:sz w:val="28"/>
                <w:szCs w:val="28"/>
                <w:lang w:val="en-US" w:eastAsia="zh-CN"/>
              </w:rPr>
              <w:t>XX</w:t>
            </w:r>
            <w:r>
              <w:rPr>
                <w:color w:val="auto"/>
                <w:sz w:val="28"/>
                <w:szCs w:val="28"/>
              </w:rPr>
              <w:t xml:space="preserve"> </w:t>
            </w:r>
            <w:r>
              <w:rPr>
                <w:rFonts w:hint="eastAsia"/>
                <w:color w:val="auto"/>
                <w:sz w:val="28"/>
                <w:szCs w:val="28"/>
              </w:rPr>
              <w:t>月</w:t>
            </w:r>
            <w:r>
              <w:rPr>
                <w:rFonts w:hint="eastAsia"/>
                <w:color w:val="auto"/>
                <w:sz w:val="28"/>
                <w:szCs w:val="28"/>
                <w:lang w:val="en-US" w:eastAsia="zh-CN"/>
              </w:rPr>
              <w:t xml:space="preserve"> XX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color w:val="auto"/>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color w:val="auto"/>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color w:val="auto"/>
          <w:sz w:val="32"/>
          <w:szCs w:val="32"/>
        </w:rPr>
      </w:pPr>
      <w:r>
        <w:rPr>
          <w:rFonts w:hint="default" w:ascii="Times New Roman" w:hAnsi="Times New Roman" w:cs="Times New Roman"/>
          <w:bCs/>
          <w:color w:val="auto"/>
          <w:sz w:val="32"/>
          <w:szCs w:val="32"/>
        </w:rPr>
        <w:t>Title</w:t>
      </w:r>
      <w:r>
        <w:rPr>
          <w:rFonts w:hint="eastAsia" w:ascii="Times New Roman" w:hAnsi="Times New Roman" w:cs="Times New Roman"/>
          <w:bCs/>
          <w:color w:val="auto"/>
          <w:sz w:val="32"/>
          <w:szCs w:val="32"/>
          <w:lang w:val="en-US" w:eastAsia="zh-CN"/>
        </w:rPr>
        <w:t>:</w:t>
      </w:r>
      <w:r>
        <w:rPr>
          <w:rFonts w:hint="default" w:ascii="Times New Roman" w:hAnsi="Times New Roman" w:cs="Times New Roman"/>
          <w:bCs/>
          <w:color w:val="auto"/>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color w:val="auto"/>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Author</w:t>
      </w:r>
      <w:r>
        <w:rPr>
          <w:rFonts w:hint="default" w:ascii="Times New Roman" w:hAnsi="Times New Roman" w:eastAsia="楷体_GB2312" w:cs="Times New Roman"/>
          <w:b/>
          <w:bCs/>
          <w:color w:val="auto"/>
          <w:sz w:val="30"/>
          <w:szCs w:val="30"/>
        </w:rPr>
        <w:t>：</w:t>
      </w:r>
      <w:r>
        <w:rPr>
          <w:rFonts w:hint="eastAsia" w:ascii="Times New Roman" w:hAnsi="Times New Roman" w:cs="Times New Roman"/>
          <w:b/>
          <w:bCs/>
          <w:color w:val="auto"/>
          <w:sz w:val="30"/>
          <w:szCs w:val="30"/>
          <w:lang w:val="en-US" w:eastAsia="zh-CN"/>
        </w:rPr>
        <w:t xml:space="preserve">       </w:t>
      </w:r>
      <w:r>
        <w:rPr>
          <w:rFonts w:hint="eastAsia" w:cs="Times New Roman"/>
          <w:b/>
          <w:bCs/>
          <w:color w:val="auto"/>
          <w:sz w:val="30"/>
          <w:szCs w:val="30"/>
          <w:lang w:val="en-US" w:eastAsia="zh-CN"/>
        </w:rPr>
        <w:t xml:space="preserve">    </w:t>
      </w:r>
      <w:r>
        <w:rPr>
          <w:rFonts w:hint="eastAsia" w:ascii="Times New Roman" w:hAnsi="Times New Roman" w:cs="Times New Roman"/>
          <w:b/>
          <w:bCs/>
          <w:color w:val="auto"/>
          <w:sz w:val="30"/>
          <w:szCs w:val="30"/>
          <w:lang w:val="en-US" w:eastAsia="zh-CN"/>
        </w:rPr>
        <w:t xml:space="preserve">    </w:t>
      </w:r>
      <w:r>
        <w:rPr>
          <w:rFonts w:hint="default" w:eastAsia="楷体_GB2312" w:cs="Times New Roman"/>
          <w:b/>
          <w:bCs/>
          <w:color w:val="auto"/>
          <w:sz w:val="30"/>
          <w:szCs w:val="30"/>
          <w:lang w:val="en-US" w:eastAsia="zh-CN"/>
        </w:rPr>
        <w:t>Y</w:t>
      </w:r>
      <w:r>
        <w:rPr>
          <w:rFonts w:hint="eastAsia" w:eastAsia="楷体_GB2312" w:cs="Times New Roman"/>
          <w:b/>
          <w:bCs/>
          <w:color w:val="auto"/>
          <w:sz w:val="30"/>
          <w:szCs w:val="30"/>
          <w:lang w:val="en-US" w:eastAsia="zh-CN"/>
        </w:rPr>
        <w:t xml:space="preserve">e </w:t>
      </w:r>
      <w:r>
        <w:rPr>
          <w:rFonts w:hint="default" w:eastAsia="楷体_GB2312" w:cs="Times New Roman"/>
          <w:b/>
          <w:bCs/>
          <w:color w:val="auto"/>
          <w:sz w:val="30"/>
          <w:szCs w:val="30"/>
          <w:lang w:val="en-US" w:eastAsia="zh-CN"/>
        </w:rPr>
        <w:t>W</w:t>
      </w:r>
      <w:r>
        <w:rPr>
          <w:rFonts w:hint="eastAsia" w:eastAsia="楷体_GB2312" w:cs="Times New Roman"/>
          <w:b/>
          <w:bCs/>
          <w:color w:val="auto"/>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lang w:val="en-US"/>
        </w:rPr>
        <w:t>R</w:t>
      </w:r>
      <w:r>
        <w:rPr>
          <w:rFonts w:hint="default" w:ascii="Times New Roman" w:hAnsi="Times New Roman" w:cs="Times New Roman"/>
          <w:b/>
          <w:bCs/>
          <w:color w:val="auto"/>
          <w:sz w:val="30"/>
          <w:szCs w:val="30"/>
        </w:rPr>
        <w:t>eligion：</w:t>
      </w:r>
      <w:r>
        <w:rPr>
          <w:rFonts w:hint="eastAsia" w:ascii="Times New Roman" w:hAnsi="Times New Roman" w:cs="Times New Roman"/>
          <w:b/>
          <w:bCs/>
          <w:color w:val="auto"/>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auto"/>
          <w:sz w:val="30"/>
          <w:szCs w:val="30"/>
          <w:lang w:val="en-US" w:eastAsia="zh-CN"/>
        </w:rPr>
      </w:pPr>
      <w:r>
        <w:rPr>
          <w:rFonts w:hint="default" w:ascii="Times New Roman" w:hAnsi="Times New Roman" w:cs="Times New Roman"/>
          <w:b/>
          <w:bCs/>
          <w:color w:val="auto"/>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color w:val="auto"/>
          <w:sz w:val="30"/>
          <w:szCs w:val="30"/>
        </w:rPr>
        <w:t>Supervisor：</w:t>
      </w:r>
      <w:r>
        <w:rPr>
          <w:rFonts w:hint="eastAsia" w:ascii="Times New Roman" w:hAnsi="Times New Roman" w:cs="Times New Roman"/>
          <w:b/>
          <w:bCs/>
          <w:color w:val="auto"/>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color w:val="auto"/>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color w:val="auto"/>
          <w:kern w:val="2"/>
          <w:sz w:val="30"/>
          <w:szCs w:val="30"/>
          <w:lang w:val="en-US" w:eastAsia="zh-CN" w:bidi="ar-SA"/>
        </w:rPr>
      </w:pPr>
      <w:r>
        <w:rPr>
          <w:color w:val="auto"/>
        </w:rP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color w:val="auto"/>
        </w:rPr>
      </w:pPr>
      <w:r>
        <w:rPr>
          <w:rFonts w:ascii="Times New Roman" w:hAnsi="Times New Roman" w:cs="Times New Roman"/>
          <w:color w:val="auto"/>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color w:val="auto"/>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bidi w:val="0"/>
        <w:rPr>
          <w:rFonts w:hint="eastAsia"/>
          <w:color w:val="auto"/>
          <w:lang w:eastAsia="zh-CN"/>
        </w:rPr>
      </w:pPr>
      <w:bookmarkStart w:id="0" w:name="_Toc379257105"/>
      <w:bookmarkStart w:id="1" w:name="_Toc18544"/>
      <w:bookmarkStart w:id="2" w:name="_Toc1544488105"/>
      <w:bookmarkStart w:id="3" w:name="_Toc842843531"/>
      <w:bookmarkStart w:id="4" w:name="_Toc1715546296"/>
      <w:bookmarkStart w:id="5" w:name="_Toc246172426"/>
      <w:bookmarkStart w:id="6" w:name="_Toc176483401"/>
      <w:bookmarkStart w:id="7" w:name="_Toc1705937017"/>
      <w:bookmarkStart w:id="8" w:name="_Toc11059"/>
      <w:bookmarkStart w:id="9" w:name="_Toc1471807053"/>
      <w:bookmarkStart w:id="10" w:name="_Toc19856"/>
      <w:bookmarkStart w:id="11" w:name="_Toc20200"/>
      <w:bookmarkStart w:id="12" w:name="_Toc828490391"/>
      <w:bookmarkStart w:id="13" w:name="_Toc28263"/>
      <w:bookmarkStart w:id="14" w:name="_Toc31961"/>
      <w:bookmarkStart w:id="15" w:name="_Toc952702429"/>
      <w:bookmarkStart w:id="16" w:name="_Toc362486656"/>
      <w:bookmarkStart w:id="17" w:name="_Toc290983561"/>
      <w:bookmarkStart w:id="18" w:name="_Toc8830"/>
      <w:bookmarkStart w:id="19" w:name="_Toc1721829024"/>
      <w:r>
        <w:rPr>
          <w:rFonts w:hint="eastAsia"/>
          <w:color w:val="auto"/>
          <w:lang w:eastAsia="zh-CN"/>
        </w:rPr>
        <w:t>摘</w:t>
      </w:r>
      <w:r>
        <w:rPr>
          <w:rFonts w:hint="eastAsia"/>
          <w:color w:val="auto"/>
          <w:lang w:val="en-US" w:eastAsia="zh-CN"/>
        </w:rPr>
        <w:t xml:space="preserve">  </w:t>
      </w:r>
      <w:r>
        <w:rPr>
          <w:rFonts w:hint="eastAsia"/>
          <w:color w:val="auto"/>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color w:val="auto"/>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color w:val="auto"/>
          <w:lang w:val="en-US" w:eastAsia="zh-CN"/>
        </w:rPr>
      </w:pPr>
      <w:r>
        <w:rPr>
          <w:rFonts w:hint="eastAsia" w:ascii="宋体" w:hAnsi="宋体" w:eastAsia="宋体" w:cs="宋体"/>
          <w:color w:val="auto"/>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color w:val="auto"/>
          <w:lang w:val="en-US" w:eastAsia="zh-CN"/>
        </w:rPr>
        <w:t>Agape</w:t>
      </w:r>
      <w:r>
        <w:rPr>
          <w:rFonts w:hint="eastAsia" w:ascii="宋体" w:hAnsi="宋体" w:eastAsia="宋体" w:cs="宋体"/>
          <w:color w:val="auto"/>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color w:val="auto"/>
          <w:lang w:val="en-US" w:eastAsia="zh-CN"/>
        </w:rPr>
      </w:pPr>
      <w:r>
        <w:rPr>
          <w:rFonts w:hint="eastAsia" w:ascii="宋体" w:hAnsi="宋体" w:eastAsia="宋体" w:cs="宋体"/>
          <w:color w:val="auto"/>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color w:val="auto"/>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auto"/>
          <w:lang w:eastAsia="zh-CN"/>
        </w:rPr>
      </w:pPr>
      <w:r>
        <w:rPr>
          <w:rFonts w:hint="eastAsia"/>
          <w:color w:val="auto"/>
          <w:lang w:eastAsia="zh-CN"/>
        </w:rPr>
        <w:br w:type="page"/>
      </w:r>
    </w:p>
    <w:p w14:paraId="439481F4">
      <w:pPr>
        <w:pStyle w:val="2"/>
        <w:bidi w:val="0"/>
        <w:rPr>
          <w:rFonts w:hint="eastAsia"/>
          <w:lang w:val="en-US" w:eastAsia="zh-CN"/>
        </w:rPr>
      </w:pPr>
      <w:bookmarkStart w:id="20" w:name="_Toc13702"/>
      <w:bookmarkStart w:id="21" w:name="_Toc442699439"/>
      <w:bookmarkStart w:id="22" w:name="_Toc629273622"/>
      <w:bookmarkStart w:id="23" w:name="_Toc481604100"/>
      <w:bookmarkStart w:id="24" w:name="_Toc1576739446"/>
      <w:bookmarkStart w:id="25" w:name="_Toc740445508"/>
      <w:bookmarkStart w:id="26" w:name="_Toc26499"/>
      <w:bookmarkStart w:id="27" w:name="_Toc25068"/>
      <w:bookmarkStart w:id="28" w:name="_Toc154034389"/>
      <w:bookmarkStart w:id="29" w:name="_Toc2049604500"/>
      <w:bookmarkStart w:id="30" w:name="_Toc1071152250"/>
      <w:bookmarkStart w:id="31" w:name="_Toc1944493625"/>
      <w:bookmarkStart w:id="32" w:name="_Toc3181"/>
      <w:bookmarkStart w:id="33" w:name="_Toc869089905"/>
      <w:bookmarkStart w:id="34" w:name="_Toc23274"/>
      <w:bookmarkStart w:id="35" w:name="_Toc1366459660"/>
      <w:bookmarkStart w:id="36" w:name="_Toc431652171"/>
      <w:bookmarkStart w:id="37" w:name="_Toc1438263043"/>
      <w:r>
        <w:t>A</w:t>
      </w:r>
      <w:r>
        <w:rPr>
          <w:rFonts w:hint="eastAsia"/>
          <w:lang w:val="en-US" w:eastAsia="zh-CN"/>
        </w:rPr>
        <w:t>bstract</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AF21548">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color w:val="auto"/>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color w:val="auto"/>
          <w:sz w:val="24"/>
          <w:szCs w:val="24"/>
          <w:lang w:val="en-US" w:eastAsia="zh-CN"/>
        </w:rPr>
      </w:pPr>
      <w:r>
        <w:rPr>
          <w:rFonts w:hint="default" w:ascii="Times New Roman" w:hAnsi="Times New Roman" w:cs="Times New Roman"/>
          <w:color w:val="auto"/>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rPr>
          <w:color w:val="auto"/>
        </w:rP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color w:val="auto"/>
          <w:sz w:val="32"/>
          <w:szCs w:val="32"/>
          <w:lang w:val="en-US" w:eastAsia="zh-CN"/>
        </w:rPr>
      </w:pPr>
      <w:bookmarkStart w:id="38" w:name="_Toc29976"/>
      <w:bookmarkStart w:id="39" w:name="_Toc11803"/>
      <w:bookmarkStart w:id="40" w:name="_Toc28965"/>
      <w:bookmarkStart w:id="41" w:name="_Toc23385"/>
      <w:bookmarkStart w:id="42" w:name="_Toc26892"/>
      <w:bookmarkStart w:id="43" w:name="_Toc160"/>
      <w:bookmarkStart w:id="44" w:name="_Toc16558"/>
      <w:bookmarkStart w:id="45" w:name="_Toc12205"/>
      <w:bookmarkStart w:id="46" w:name="_Toc23833"/>
      <w:bookmarkStart w:id="47" w:name="_Toc14832"/>
      <w:bookmarkStart w:id="48" w:name="_Toc30510"/>
      <w:bookmarkStart w:id="49" w:name="_Toc3063"/>
      <w:bookmarkStart w:id="50" w:name="_Toc31026"/>
      <w:bookmarkStart w:id="51" w:name="_Toc27475"/>
      <w:bookmarkStart w:id="52" w:name="_Toc2948"/>
      <w:bookmarkStart w:id="53" w:name="_Toc23585"/>
      <w:r>
        <w:rPr>
          <w:rFonts w:hint="eastAsia" w:ascii="黑体" w:hAnsi="黑体" w:eastAsia="黑体" w:cs="黑体"/>
          <w:b/>
          <w:bCs/>
          <w:color w:val="auto"/>
          <w:sz w:val="32"/>
          <w:szCs w:val="32"/>
          <w:lang w:val="en-US" w:eastAsia="zh-CN"/>
        </w:rPr>
        <w:br w:type="page"/>
      </w:r>
    </w:p>
    <w:p w14:paraId="5DEFBEBA">
      <w:pPr>
        <w:tabs>
          <w:tab w:val="right" w:leader="dot" w:pos="9071"/>
        </w:tabs>
        <w:spacing w:before="0" w:after="0" w:line="360" w:lineRule="auto"/>
        <w:ind w:left="0" w:leftChars="0" w:firstLine="0" w:firstLineChars="0"/>
        <w:jc w:val="center"/>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目  录</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0D71CC4E">
      <w:pPr>
        <w:pStyle w:val="15"/>
        <w:tabs>
          <w:tab w:val="right" w:leader="dot" w:pos="8786"/>
        </w:tabs>
      </w:pPr>
      <w:bookmarkStart w:id="1278" w:name="_GoBack"/>
      <w:bookmarkEnd w:id="1278"/>
      <w:r>
        <w:rPr>
          <w:rFonts w:hint="eastAsia" w:ascii="黑体" w:hAnsi="黑体" w:eastAsia="黑体" w:cs="黑体"/>
          <w:b/>
          <w:bCs/>
          <w:color w:val="auto"/>
          <w:sz w:val="32"/>
          <w:szCs w:val="32"/>
          <w:lang w:val="en-US" w:eastAsia="zh-CN"/>
        </w:rPr>
        <w:fldChar w:fldCharType="begin"/>
      </w:r>
      <w:r>
        <w:rPr>
          <w:rFonts w:hint="eastAsia" w:ascii="黑体" w:hAnsi="黑体" w:eastAsia="黑体" w:cs="黑体"/>
          <w:b/>
          <w:bCs/>
          <w:color w:val="auto"/>
          <w:sz w:val="32"/>
          <w:szCs w:val="32"/>
          <w:lang w:val="en-US" w:eastAsia="zh-CN"/>
        </w:rPr>
        <w:instrText xml:space="preserve">TOC \o "1-4" \h \u </w:instrText>
      </w:r>
      <w:r>
        <w:rPr>
          <w:rFonts w:hint="eastAsia" w:ascii="黑体" w:hAnsi="黑体" w:eastAsia="黑体" w:cs="黑体"/>
          <w:b/>
          <w:bCs/>
          <w:color w:val="auto"/>
          <w:sz w:val="32"/>
          <w:szCs w:val="32"/>
          <w:lang w:val="en-US" w:eastAsia="zh-CN"/>
        </w:rPr>
        <w:fldChar w:fldCharType="separate"/>
      </w: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_Toc1721829024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_Toc1721829024 \h </w:instrText>
      </w:r>
      <w:r>
        <w:fldChar w:fldCharType="separate"/>
      </w:r>
      <w:r>
        <w:t>III</w:t>
      </w:r>
      <w:r>
        <w:fldChar w:fldCharType="end"/>
      </w:r>
      <w:r>
        <w:rPr>
          <w:rFonts w:hint="eastAsia" w:ascii="黑体" w:hAnsi="黑体" w:eastAsia="黑体" w:cs="黑体"/>
          <w:bCs/>
          <w:color w:val="auto"/>
          <w:szCs w:val="32"/>
          <w:lang w:val="en-US" w:eastAsia="zh-CN"/>
        </w:rPr>
        <w:fldChar w:fldCharType="end"/>
      </w:r>
    </w:p>
    <w:p w14:paraId="0853F16F">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_Toc1438263043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_Toc1438263043 \h </w:instrText>
      </w:r>
      <w:r>
        <w:fldChar w:fldCharType="separate"/>
      </w:r>
      <w:r>
        <w:t>IV</w:t>
      </w:r>
      <w:r>
        <w:fldChar w:fldCharType="end"/>
      </w:r>
      <w:r>
        <w:rPr>
          <w:rFonts w:hint="eastAsia" w:ascii="黑体" w:hAnsi="黑体" w:eastAsia="黑体" w:cs="黑体"/>
          <w:bCs/>
          <w:color w:val="auto"/>
          <w:szCs w:val="32"/>
          <w:lang w:val="en-US" w:eastAsia="zh-CN"/>
        </w:rPr>
        <w:fldChar w:fldCharType="end"/>
      </w:r>
    </w:p>
    <w:p w14:paraId="30553366">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_Toc811033069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_Toc811033069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45C59A3F">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_Toc954083174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_Toc954083174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77F0EF2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_Toc15513269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_Toc15513269 \h </w:instrText>
      </w:r>
      <w:r>
        <w:fldChar w:fldCharType="separate"/>
      </w:r>
      <w:r>
        <w:t>1</w:t>
      </w:r>
      <w:r>
        <w:fldChar w:fldCharType="end"/>
      </w:r>
      <w:r>
        <w:rPr>
          <w:rFonts w:hint="eastAsia" w:ascii="黑体" w:hAnsi="黑体" w:eastAsia="黑体" w:cs="黑体"/>
          <w:bCs/>
          <w:color w:val="auto"/>
          <w:szCs w:val="32"/>
          <w:lang w:val="en-US" w:eastAsia="zh-CN"/>
        </w:rPr>
        <w:fldChar w:fldCharType="end"/>
      </w:r>
    </w:p>
    <w:p w14:paraId="7B5E514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_Toc885990796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_Toc885990796 \h </w:instrText>
      </w:r>
      <w:r>
        <w:fldChar w:fldCharType="separate"/>
      </w:r>
      <w:r>
        <w:t>2</w:t>
      </w:r>
      <w:r>
        <w:fldChar w:fldCharType="end"/>
      </w:r>
      <w:r>
        <w:rPr>
          <w:rFonts w:hint="eastAsia" w:ascii="黑体" w:hAnsi="黑体" w:eastAsia="黑体" w:cs="黑体"/>
          <w:bCs/>
          <w:color w:val="auto"/>
          <w:szCs w:val="32"/>
          <w:lang w:val="en-US" w:eastAsia="zh-CN"/>
        </w:rPr>
        <w:fldChar w:fldCharType="end"/>
      </w:r>
    </w:p>
    <w:p w14:paraId="2BAA7F9D">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_Toc195700074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_Toc195700074 \h </w:instrText>
      </w:r>
      <w:r>
        <w:fldChar w:fldCharType="separate"/>
      </w:r>
      <w:r>
        <w:t>4</w:t>
      </w:r>
      <w:r>
        <w:fldChar w:fldCharType="end"/>
      </w:r>
      <w:r>
        <w:rPr>
          <w:rFonts w:hint="eastAsia" w:ascii="黑体" w:hAnsi="黑体" w:eastAsia="黑体" w:cs="黑体"/>
          <w:bCs/>
          <w:color w:val="auto"/>
          <w:szCs w:val="32"/>
          <w:lang w:val="en-US" w:eastAsia="zh-CN"/>
        </w:rPr>
        <w:fldChar w:fldCharType="end"/>
      </w:r>
    </w:p>
    <w:p w14:paraId="7C36B48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_Toc1333680161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_Toc1333680161 \h </w:instrText>
      </w:r>
      <w:r>
        <w:fldChar w:fldCharType="separate"/>
      </w:r>
      <w:r>
        <w:t>4</w:t>
      </w:r>
      <w:r>
        <w:fldChar w:fldCharType="end"/>
      </w:r>
      <w:r>
        <w:rPr>
          <w:rFonts w:hint="eastAsia" w:ascii="黑体" w:hAnsi="黑体" w:eastAsia="黑体" w:cs="黑体"/>
          <w:bCs/>
          <w:color w:val="auto"/>
          <w:szCs w:val="32"/>
          <w:lang w:val="en-US" w:eastAsia="zh-CN"/>
        </w:rPr>
        <w:fldChar w:fldCharType="end"/>
      </w:r>
    </w:p>
    <w:p w14:paraId="7010A06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_Toc1875642188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_Toc1875642188 \h </w:instrText>
      </w:r>
      <w:r>
        <w:fldChar w:fldCharType="separate"/>
      </w:r>
      <w:r>
        <w:t>5</w:t>
      </w:r>
      <w:r>
        <w:fldChar w:fldCharType="end"/>
      </w:r>
      <w:r>
        <w:rPr>
          <w:rFonts w:hint="eastAsia" w:ascii="黑体" w:hAnsi="黑体" w:eastAsia="黑体" w:cs="黑体"/>
          <w:bCs/>
          <w:color w:val="auto"/>
          <w:szCs w:val="32"/>
          <w:lang w:val="en-US" w:eastAsia="zh-CN"/>
        </w:rPr>
        <w:fldChar w:fldCharType="end"/>
      </w:r>
    </w:p>
    <w:p w14:paraId="446E3BF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_Toc1005799403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_Toc1005799403 \h </w:instrText>
      </w:r>
      <w:r>
        <w:fldChar w:fldCharType="separate"/>
      </w:r>
      <w:r>
        <w:t>6</w:t>
      </w:r>
      <w:r>
        <w:fldChar w:fldCharType="end"/>
      </w:r>
      <w:r>
        <w:rPr>
          <w:rFonts w:hint="eastAsia" w:ascii="黑体" w:hAnsi="黑体" w:eastAsia="黑体" w:cs="黑体"/>
          <w:bCs/>
          <w:color w:val="auto"/>
          <w:szCs w:val="32"/>
          <w:lang w:val="en-US" w:eastAsia="zh-CN"/>
        </w:rPr>
        <w:fldChar w:fldCharType="end"/>
      </w:r>
    </w:p>
    <w:p w14:paraId="1AD0863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_Toc1626780684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_Toc1626780684 \h </w:instrText>
      </w:r>
      <w:r>
        <w:fldChar w:fldCharType="separate"/>
      </w:r>
      <w:r>
        <w:t>7</w:t>
      </w:r>
      <w:r>
        <w:fldChar w:fldCharType="end"/>
      </w:r>
      <w:r>
        <w:rPr>
          <w:rFonts w:hint="eastAsia" w:ascii="黑体" w:hAnsi="黑体" w:eastAsia="黑体" w:cs="黑体"/>
          <w:bCs/>
          <w:color w:val="auto"/>
          <w:szCs w:val="32"/>
          <w:lang w:val="en-US" w:eastAsia="zh-CN"/>
        </w:rPr>
        <w:fldChar w:fldCharType="end"/>
      </w:r>
    </w:p>
    <w:p w14:paraId="0967BB6A">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_Toc1688646031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_Toc1688646031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16D8C65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_Toc2077447912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_Toc2077447912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430A11E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_Toc1877924058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_Toc1877924058 \h </w:instrText>
      </w:r>
      <w:r>
        <w:fldChar w:fldCharType="separate"/>
      </w:r>
      <w:r>
        <w:t>9</w:t>
      </w:r>
      <w:r>
        <w:fldChar w:fldCharType="end"/>
      </w:r>
      <w:r>
        <w:rPr>
          <w:rFonts w:hint="eastAsia" w:ascii="黑体" w:hAnsi="黑体" w:eastAsia="黑体" w:cs="黑体"/>
          <w:bCs/>
          <w:color w:val="auto"/>
          <w:szCs w:val="32"/>
          <w:lang w:val="en-US" w:eastAsia="zh-CN"/>
        </w:rPr>
        <w:fldChar w:fldCharType="end"/>
      </w:r>
    </w:p>
    <w:p w14:paraId="57190E9A">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_Toc702482847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_Toc702482847 \h </w:instrText>
      </w:r>
      <w:r>
        <w:fldChar w:fldCharType="separate"/>
      </w:r>
      <w:r>
        <w:t>11</w:t>
      </w:r>
      <w:r>
        <w:fldChar w:fldCharType="end"/>
      </w:r>
      <w:r>
        <w:rPr>
          <w:rFonts w:hint="eastAsia" w:ascii="黑体" w:hAnsi="黑体" w:eastAsia="黑体" w:cs="黑体"/>
          <w:bCs/>
          <w:color w:val="auto"/>
          <w:szCs w:val="32"/>
          <w:lang w:val="en-US" w:eastAsia="zh-CN"/>
        </w:rPr>
        <w:fldChar w:fldCharType="end"/>
      </w:r>
    </w:p>
    <w:p w14:paraId="466EF51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_Toc1911601970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_Toc1911601970 \h </w:instrText>
      </w:r>
      <w:r>
        <w:fldChar w:fldCharType="separate"/>
      </w:r>
      <w:r>
        <w:t>11</w:t>
      </w:r>
      <w:r>
        <w:fldChar w:fldCharType="end"/>
      </w:r>
      <w:r>
        <w:rPr>
          <w:rFonts w:hint="eastAsia" w:ascii="黑体" w:hAnsi="黑体" w:eastAsia="黑体" w:cs="黑体"/>
          <w:bCs/>
          <w:color w:val="auto"/>
          <w:szCs w:val="32"/>
          <w:lang w:val="en-US" w:eastAsia="zh-CN"/>
        </w:rPr>
        <w:fldChar w:fldCharType="end"/>
      </w:r>
    </w:p>
    <w:p w14:paraId="1507297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_Toc1938950670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_Toc1938950670 \h </w:instrText>
      </w:r>
      <w:r>
        <w:fldChar w:fldCharType="separate"/>
      </w:r>
      <w:r>
        <w:t>11</w:t>
      </w:r>
      <w:r>
        <w:fldChar w:fldCharType="end"/>
      </w:r>
      <w:r>
        <w:rPr>
          <w:rFonts w:hint="eastAsia" w:ascii="黑体" w:hAnsi="黑体" w:eastAsia="黑体" w:cs="黑体"/>
          <w:bCs/>
          <w:color w:val="auto"/>
          <w:szCs w:val="32"/>
          <w:lang w:val="en-US" w:eastAsia="zh-CN"/>
        </w:rPr>
        <w:fldChar w:fldCharType="end"/>
      </w:r>
    </w:p>
    <w:p w14:paraId="4A956C4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_Toc2027051112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_Toc2027051112 \h </w:instrText>
      </w:r>
      <w:r>
        <w:fldChar w:fldCharType="separate"/>
      </w:r>
      <w:r>
        <w:t>12</w:t>
      </w:r>
      <w:r>
        <w:fldChar w:fldCharType="end"/>
      </w:r>
      <w:r>
        <w:rPr>
          <w:rFonts w:hint="eastAsia" w:ascii="黑体" w:hAnsi="黑体" w:eastAsia="黑体" w:cs="黑体"/>
          <w:bCs/>
          <w:color w:val="auto"/>
          <w:szCs w:val="32"/>
          <w:lang w:val="en-US" w:eastAsia="zh-CN"/>
        </w:rPr>
        <w:fldChar w:fldCharType="end"/>
      </w:r>
    </w:p>
    <w:p w14:paraId="391BDAF9">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_Toc967463376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_Toc967463376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13C5531C">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_Toc1558268995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_Toc1558268995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13F3613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_Toc1263923800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_Toc1263923800 \h </w:instrText>
      </w:r>
      <w:r>
        <w:fldChar w:fldCharType="separate"/>
      </w:r>
      <w:r>
        <w:t>14</w:t>
      </w:r>
      <w:r>
        <w:fldChar w:fldCharType="end"/>
      </w:r>
      <w:r>
        <w:rPr>
          <w:rFonts w:hint="eastAsia" w:ascii="黑体" w:hAnsi="黑体" w:eastAsia="黑体" w:cs="黑体"/>
          <w:bCs/>
          <w:color w:val="auto"/>
          <w:szCs w:val="32"/>
          <w:lang w:val="en-US" w:eastAsia="zh-CN"/>
        </w:rPr>
        <w:fldChar w:fldCharType="end"/>
      </w:r>
    </w:p>
    <w:p w14:paraId="63F5A59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_Toc2006554123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_Toc2006554123 \h </w:instrText>
      </w:r>
      <w:r>
        <w:fldChar w:fldCharType="separate"/>
      </w:r>
      <w:r>
        <w:t>15</w:t>
      </w:r>
      <w:r>
        <w:fldChar w:fldCharType="end"/>
      </w:r>
      <w:r>
        <w:rPr>
          <w:rFonts w:hint="eastAsia" w:ascii="黑体" w:hAnsi="黑体" w:eastAsia="黑体" w:cs="黑体"/>
          <w:bCs/>
          <w:color w:val="auto"/>
          <w:szCs w:val="32"/>
          <w:lang w:val="en-US" w:eastAsia="zh-CN"/>
        </w:rPr>
        <w:fldChar w:fldCharType="end"/>
      </w:r>
    </w:p>
    <w:p w14:paraId="5E11F78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_Toc71952773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_Toc71952773 \h </w:instrText>
      </w:r>
      <w:r>
        <w:fldChar w:fldCharType="separate"/>
      </w:r>
      <w:r>
        <w:t>16</w:t>
      </w:r>
      <w:r>
        <w:fldChar w:fldCharType="end"/>
      </w:r>
      <w:r>
        <w:rPr>
          <w:rFonts w:hint="eastAsia" w:ascii="黑体" w:hAnsi="黑体" w:eastAsia="黑体" w:cs="黑体"/>
          <w:bCs/>
          <w:color w:val="auto"/>
          <w:szCs w:val="32"/>
          <w:lang w:val="en-US" w:eastAsia="zh-CN"/>
        </w:rPr>
        <w:fldChar w:fldCharType="end"/>
      </w:r>
    </w:p>
    <w:p w14:paraId="796C9ACC">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_Toc276962550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_Toc276962550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4C9708B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_Toc1312514801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_Toc1312514801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12514F7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_Toc484238423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_Toc484238423 \h </w:instrText>
      </w:r>
      <w:r>
        <w:fldChar w:fldCharType="separate"/>
      </w:r>
      <w:r>
        <w:t>18</w:t>
      </w:r>
      <w:r>
        <w:fldChar w:fldCharType="end"/>
      </w:r>
      <w:r>
        <w:rPr>
          <w:rFonts w:hint="eastAsia" w:ascii="黑体" w:hAnsi="黑体" w:eastAsia="黑体" w:cs="黑体"/>
          <w:bCs/>
          <w:color w:val="auto"/>
          <w:szCs w:val="32"/>
          <w:lang w:val="en-US" w:eastAsia="zh-CN"/>
        </w:rPr>
        <w:fldChar w:fldCharType="end"/>
      </w:r>
    </w:p>
    <w:p w14:paraId="50E26CA8">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_Toc1779636878 </w:instrText>
      </w:r>
      <w:r>
        <w:rPr>
          <w:rFonts w:hint="eastAsia" w:ascii="黑体" w:hAnsi="黑体" w:eastAsia="黑体" w:cs="黑体"/>
          <w:bCs/>
          <w:szCs w:val="32"/>
          <w:lang w:val="en-US" w:eastAsia="zh-CN"/>
        </w:rPr>
        <w:fldChar w:fldCharType="separate"/>
      </w:r>
      <w:r>
        <w:t>第三节 研究的理论基础与分析框架</w:t>
      </w:r>
      <w:r>
        <w:tab/>
      </w:r>
      <w:r>
        <w:fldChar w:fldCharType="begin"/>
      </w:r>
      <w:r>
        <w:instrText xml:space="preserve"> PAGEREF _Toc1779636878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339A666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_Toc204773130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_Toc204773130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6EC8AC9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_Toc1353193416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_Toc1353193416 \h </w:instrText>
      </w:r>
      <w:r>
        <w:fldChar w:fldCharType="separate"/>
      </w:r>
      <w:r>
        <w:t>20</w:t>
      </w:r>
      <w:r>
        <w:fldChar w:fldCharType="end"/>
      </w:r>
      <w:r>
        <w:rPr>
          <w:rFonts w:hint="eastAsia" w:ascii="黑体" w:hAnsi="黑体" w:eastAsia="黑体" w:cs="黑体"/>
          <w:bCs/>
          <w:color w:val="auto"/>
          <w:szCs w:val="32"/>
          <w:lang w:val="en-US" w:eastAsia="zh-CN"/>
        </w:rPr>
        <w:fldChar w:fldCharType="end"/>
      </w:r>
    </w:p>
    <w:p w14:paraId="273AF61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_Toc1269920982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_Toc1269920982 \h </w:instrText>
      </w:r>
      <w:r>
        <w:fldChar w:fldCharType="separate"/>
      </w:r>
      <w:r>
        <w:t>21</w:t>
      </w:r>
      <w:r>
        <w:fldChar w:fldCharType="end"/>
      </w:r>
      <w:r>
        <w:rPr>
          <w:rFonts w:hint="eastAsia" w:ascii="黑体" w:hAnsi="黑体" w:eastAsia="黑体" w:cs="黑体"/>
          <w:bCs/>
          <w:color w:val="auto"/>
          <w:szCs w:val="32"/>
          <w:lang w:val="en-US" w:eastAsia="zh-CN"/>
        </w:rPr>
        <w:fldChar w:fldCharType="end"/>
      </w:r>
    </w:p>
    <w:p w14:paraId="255EDB95">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_Toc1869460588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_Toc1869460588 \h </w:instrText>
      </w:r>
      <w:r>
        <w:fldChar w:fldCharType="separate"/>
      </w:r>
      <w:r>
        <w:t>21</w:t>
      </w:r>
      <w:r>
        <w:fldChar w:fldCharType="end"/>
      </w:r>
      <w:r>
        <w:rPr>
          <w:rFonts w:hint="eastAsia" w:ascii="黑体" w:hAnsi="黑体" w:eastAsia="黑体" w:cs="黑体"/>
          <w:bCs/>
          <w:color w:val="auto"/>
          <w:szCs w:val="32"/>
          <w:lang w:val="en-US" w:eastAsia="zh-CN"/>
        </w:rPr>
        <w:fldChar w:fldCharType="end"/>
      </w:r>
    </w:p>
    <w:p w14:paraId="2EAAA90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_Toc190863259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_Toc190863259 \h </w:instrText>
      </w:r>
      <w:r>
        <w:fldChar w:fldCharType="separate"/>
      </w:r>
      <w:r>
        <w:t>22</w:t>
      </w:r>
      <w:r>
        <w:fldChar w:fldCharType="end"/>
      </w:r>
      <w:r>
        <w:rPr>
          <w:rFonts w:hint="eastAsia" w:ascii="黑体" w:hAnsi="黑体" w:eastAsia="黑体" w:cs="黑体"/>
          <w:bCs/>
          <w:color w:val="auto"/>
          <w:szCs w:val="32"/>
          <w:lang w:val="en-US" w:eastAsia="zh-CN"/>
        </w:rPr>
        <w:fldChar w:fldCharType="end"/>
      </w:r>
    </w:p>
    <w:p w14:paraId="33B230C7">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_Toc1645709042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_Toc1645709042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629068E9">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_Toc1989979181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_Toc1989979181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190A1DF8">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_Toc669776689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_Toc669776689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6464A74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_Toc1975018096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_Toc1975018096 \h </w:instrText>
      </w:r>
      <w:r>
        <w:fldChar w:fldCharType="separate"/>
      </w:r>
      <w:r>
        <w:t>23</w:t>
      </w:r>
      <w:r>
        <w:fldChar w:fldCharType="end"/>
      </w:r>
      <w:r>
        <w:rPr>
          <w:rFonts w:hint="eastAsia" w:ascii="黑体" w:hAnsi="黑体" w:eastAsia="黑体" w:cs="黑体"/>
          <w:bCs/>
          <w:color w:val="auto"/>
          <w:szCs w:val="32"/>
          <w:lang w:val="en-US" w:eastAsia="zh-CN"/>
        </w:rPr>
        <w:fldChar w:fldCharType="end"/>
      </w:r>
    </w:p>
    <w:p w14:paraId="327DE65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_Toc474407793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_Toc474407793 \h </w:instrText>
      </w:r>
      <w:r>
        <w:fldChar w:fldCharType="separate"/>
      </w:r>
      <w:r>
        <w:t>24</w:t>
      </w:r>
      <w:r>
        <w:fldChar w:fldCharType="end"/>
      </w:r>
      <w:r>
        <w:rPr>
          <w:rFonts w:hint="eastAsia" w:ascii="黑体" w:hAnsi="黑体" w:eastAsia="黑体" w:cs="黑体"/>
          <w:bCs/>
          <w:color w:val="auto"/>
          <w:szCs w:val="32"/>
          <w:lang w:val="en-US" w:eastAsia="zh-CN"/>
        </w:rPr>
        <w:fldChar w:fldCharType="end"/>
      </w:r>
    </w:p>
    <w:p w14:paraId="0DC9D8F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_Toc1912479287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_Toc1912479287 \h </w:instrText>
      </w:r>
      <w:r>
        <w:fldChar w:fldCharType="separate"/>
      </w:r>
      <w:r>
        <w:t>25</w:t>
      </w:r>
      <w:r>
        <w:fldChar w:fldCharType="end"/>
      </w:r>
      <w:r>
        <w:rPr>
          <w:rFonts w:hint="eastAsia" w:ascii="黑体" w:hAnsi="黑体" w:eastAsia="黑体" w:cs="黑体"/>
          <w:bCs/>
          <w:color w:val="auto"/>
          <w:szCs w:val="32"/>
          <w:lang w:val="en-US" w:eastAsia="zh-CN"/>
        </w:rPr>
        <w:fldChar w:fldCharType="end"/>
      </w:r>
    </w:p>
    <w:p w14:paraId="37ED168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_Toc1651631960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_Toc1651631960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571F57D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_Toc604730598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_Toc604730598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6EBD132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_Toc1814542982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_Toc1814542982 \h </w:instrText>
      </w:r>
      <w:r>
        <w:fldChar w:fldCharType="separate"/>
      </w:r>
      <w:r>
        <w:t>27</w:t>
      </w:r>
      <w:r>
        <w:fldChar w:fldCharType="end"/>
      </w:r>
      <w:r>
        <w:rPr>
          <w:rFonts w:hint="eastAsia" w:ascii="黑体" w:hAnsi="黑体" w:eastAsia="黑体" w:cs="黑体"/>
          <w:bCs/>
          <w:color w:val="auto"/>
          <w:szCs w:val="32"/>
          <w:lang w:val="en-US" w:eastAsia="zh-CN"/>
        </w:rPr>
        <w:fldChar w:fldCharType="end"/>
      </w:r>
    </w:p>
    <w:p w14:paraId="4DBDE42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_Toc608627427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_Toc608627427 \h </w:instrText>
      </w:r>
      <w:r>
        <w:fldChar w:fldCharType="separate"/>
      </w:r>
      <w:r>
        <w:t>28</w:t>
      </w:r>
      <w:r>
        <w:fldChar w:fldCharType="end"/>
      </w:r>
      <w:r>
        <w:rPr>
          <w:rFonts w:hint="eastAsia" w:ascii="黑体" w:hAnsi="黑体" w:eastAsia="黑体" w:cs="黑体"/>
          <w:bCs/>
          <w:color w:val="auto"/>
          <w:szCs w:val="32"/>
          <w:lang w:val="en-US" w:eastAsia="zh-CN"/>
        </w:rPr>
        <w:fldChar w:fldCharType="end"/>
      </w:r>
    </w:p>
    <w:p w14:paraId="37670B0F">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_Toc736554928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_Toc736554928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4230542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_Toc1182933588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_Toc1182933588 \h </w:instrText>
      </w:r>
      <w:r>
        <w:fldChar w:fldCharType="separate"/>
      </w:r>
      <w:r>
        <w:t>30</w:t>
      </w:r>
      <w:r>
        <w:fldChar w:fldCharType="end"/>
      </w:r>
      <w:r>
        <w:rPr>
          <w:rFonts w:hint="eastAsia" w:ascii="黑体" w:hAnsi="黑体" w:eastAsia="黑体" w:cs="黑体"/>
          <w:bCs/>
          <w:color w:val="auto"/>
          <w:szCs w:val="32"/>
          <w:lang w:val="en-US" w:eastAsia="zh-CN"/>
        </w:rPr>
        <w:fldChar w:fldCharType="end"/>
      </w:r>
    </w:p>
    <w:p w14:paraId="04BD78F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_Toc161209590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_Toc161209590 \h </w:instrText>
      </w:r>
      <w:r>
        <w:fldChar w:fldCharType="separate"/>
      </w:r>
      <w:r>
        <w:t>31</w:t>
      </w:r>
      <w:r>
        <w:fldChar w:fldCharType="end"/>
      </w:r>
      <w:r>
        <w:rPr>
          <w:rFonts w:hint="eastAsia" w:ascii="黑体" w:hAnsi="黑体" w:eastAsia="黑体" w:cs="黑体"/>
          <w:bCs/>
          <w:color w:val="auto"/>
          <w:szCs w:val="32"/>
          <w:lang w:val="en-US" w:eastAsia="zh-CN"/>
        </w:rPr>
        <w:fldChar w:fldCharType="end"/>
      </w:r>
    </w:p>
    <w:p w14:paraId="59A91A2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_Toc1472700263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_Toc1472700263 \h </w:instrText>
      </w:r>
      <w:r>
        <w:fldChar w:fldCharType="separate"/>
      </w:r>
      <w:r>
        <w:t>31</w:t>
      </w:r>
      <w:r>
        <w:fldChar w:fldCharType="end"/>
      </w:r>
      <w:r>
        <w:rPr>
          <w:rFonts w:hint="eastAsia" w:ascii="黑体" w:hAnsi="黑体" w:eastAsia="黑体" w:cs="黑体"/>
          <w:bCs/>
          <w:color w:val="auto"/>
          <w:szCs w:val="32"/>
          <w:lang w:val="en-US" w:eastAsia="zh-CN"/>
        </w:rPr>
        <w:fldChar w:fldCharType="end"/>
      </w:r>
    </w:p>
    <w:p w14:paraId="2DD5E7A0">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_Toc1924288566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_Toc1924288566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3D8D45C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_Toc414204942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_Toc414204942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2FA21C4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_Toc1547960267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_Toc1547960267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2FE5193A">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_Toc1951307711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_Toc1951307711 \h </w:instrText>
      </w:r>
      <w:r>
        <w:fldChar w:fldCharType="separate"/>
      </w:r>
      <w:r>
        <w:t>33</w:t>
      </w:r>
      <w:r>
        <w:fldChar w:fldCharType="end"/>
      </w:r>
      <w:r>
        <w:rPr>
          <w:rFonts w:hint="eastAsia" w:ascii="黑体" w:hAnsi="黑体" w:eastAsia="黑体" w:cs="黑体"/>
          <w:bCs/>
          <w:color w:val="auto"/>
          <w:szCs w:val="32"/>
          <w:lang w:val="en-US" w:eastAsia="zh-CN"/>
        </w:rPr>
        <w:fldChar w:fldCharType="end"/>
      </w:r>
    </w:p>
    <w:p w14:paraId="4BA3543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_Toc1405925440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_Toc1405925440 \h </w:instrText>
      </w:r>
      <w:r>
        <w:fldChar w:fldCharType="separate"/>
      </w:r>
      <w:r>
        <w:t>34</w:t>
      </w:r>
      <w:r>
        <w:fldChar w:fldCharType="end"/>
      </w:r>
      <w:r>
        <w:rPr>
          <w:rFonts w:hint="eastAsia" w:ascii="黑体" w:hAnsi="黑体" w:eastAsia="黑体" w:cs="黑体"/>
          <w:bCs/>
          <w:color w:val="auto"/>
          <w:szCs w:val="32"/>
          <w:lang w:val="en-US" w:eastAsia="zh-CN"/>
        </w:rPr>
        <w:fldChar w:fldCharType="end"/>
      </w:r>
    </w:p>
    <w:p w14:paraId="6B4DC904">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_Toc626302139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_Toc626302139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4205310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_Toc1442696226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_Toc1442696226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2CAE9C0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_Toc157612105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_Toc157612105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25BBC34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_Toc1139311984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_Toc1139311984 \h </w:instrText>
      </w:r>
      <w:r>
        <w:fldChar w:fldCharType="separate"/>
      </w:r>
      <w:r>
        <w:t>35</w:t>
      </w:r>
      <w:r>
        <w:fldChar w:fldCharType="end"/>
      </w:r>
      <w:r>
        <w:rPr>
          <w:rFonts w:hint="eastAsia" w:ascii="黑体" w:hAnsi="黑体" w:eastAsia="黑体" w:cs="黑体"/>
          <w:bCs/>
          <w:color w:val="auto"/>
          <w:szCs w:val="32"/>
          <w:lang w:val="en-US" w:eastAsia="zh-CN"/>
        </w:rPr>
        <w:fldChar w:fldCharType="end"/>
      </w:r>
    </w:p>
    <w:p w14:paraId="674D011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_Toc1452318436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_Toc1452318436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7DC2FF4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_Toc816822050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_Toc816822050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65640CC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_Toc1612722726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_Toc1612722726 \h </w:instrText>
      </w:r>
      <w:r>
        <w:fldChar w:fldCharType="separate"/>
      </w:r>
      <w:r>
        <w:t>36</w:t>
      </w:r>
      <w:r>
        <w:fldChar w:fldCharType="end"/>
      </w:r>
      <w:r>
        <w:rPr>
          <w:rFonts w:hint="eastAsia" w:ascii="黑体" w:hAnsi="黑体" w:eastAsia="黑体" w:cs="黑体"/>
          <w:bCs/>
          <w:color w:val="auto"/>
          <w:szCs w:val="32"/>
          <w:lang w:val="en-US" w:eastAsia="zh-CN"/>
        </w:rPr>
        <w:fldChar w:fldCharType="end"/>
      </w:r>
    </w:p>
    <w:p w14:paraId="6950D26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_Toc1639747095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_Toc1639747095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22FEDD3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_Toc571783714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_Toc571783714 \h </w:instrText>
      </w:r>
      <w:r>
        <w:fldChar w:fldCharType="separate"/>
      </w:r>
      <w:r>
        <w:t>37</w:t>
      </w:r>
      <w:r>
        <w:fldChar w:fldCharType="end"/>
      </w:r>
      <w:r>
        <w:rPr>
          <w:rFonts w:hint="eastAsia" w:ascii="黑体" w:hAnsi="黑体" w:eastAsia="黑体" w:cs="黑体"/>
          <w:bCs/>
          <w:color w:val="auto"/>
          <w:szCs w:val="32"/>
          <w:lang w:val="en-US" w:eastAsia="zh-CN"/>
        </w:rPr>
        <w:fldChar w:fldCharType="end"/>
      </w:r>
    </w:p>
    <w:p w14:paraId="00C3EA6F">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_Toc2127044520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_Toc2127044520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26AA4A20">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_Toc76976031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_Toc76976031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769A7BA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_Toc950997523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_Toc950997523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44861A6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_Toc1842068087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_Toc1842068087 \h </w:instrText>
      </w:r>
      <w:r>
        <w:fldChar w:fldCharType="separate"/>
      </w:r>
      <w:r>
        <w:t>38</w:t>
      </w:r>
      <w:r>
        <w:fldChar w:fldCharType="end"/>
      </w:r>
      <w:r>
        <w:rPr>
          <w:rFonts w:hint="eastAsia" w:ascii="黑体" w:hAnsi="黑体" w:eastAsia="黑体" w:cs="黑体"/>
          <w:bCs/>
          <w:color w:val="auto"/>
          <w:szCs w:val="32"/>
          <w:lang w:val="en-US" w:eastAsia="zh-CN"/>
        </w:rPr>
        <w:fldChar w:fldCharType="end"/>
      </w:r>
    </w:p>
    <w:p w14:paraId="3C37611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_Toc1514083057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_Toc1514083057 \h </w:instrText>
      </w:r>
      <w:r>
        <w:fldChar w:fldCharType="separate"/>
      </w:r>
      <w:r>
        <w:t>39</w:t>
      </w:r>
      <w:r>
        <w:fldChar w:fldCharType="end"/>
      </w:r>
      <w:r>
        <w:rPr>
          <w:rFonts w:hint="eastAsia" w:ascii="黑体" w:hAnsi="黑体" w:eastAsia="黑体" w:cs="黑体"/>
          <w:bCs/>
          <w:color w:val="auto"/>
          <w:szCs w:val="32"/>
          <w:lang w:val="en-US" w:eastAsia="zh-CN"/>
        </w:rPr>
        <w:fldChar w:fldCharType="end"/>
      </w:r>
    </w:p>
    <w:p w14:paraId="502415D7">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_Toc1660205696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_Toc1660205696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29BC523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_Toc822107201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_Toc822107201 \h </w:instrText>
      </w:r>
      <w:r>
        <w:fldChar w:fldCharType="separate"/>
      </w:r>
      <w:r>
        <w:t>42</w:t>
      </w:r>
      <w:r>
        <w:fldChar w:fldCharType="end"/>
      </w:r>
      <w:r>
        <w:rPr>
          <w:rFonts w:hint="eastAsia" w:ascii="黑体" w:hAnsi="黑体" w:eastAsia="黑体" w:cs="黑体"/>
          <w:bCs/>
          <w:color w:val="auto"/>
          <w:szCs w:val="32"/>
          <w:lang w:val="en-US" w:eastAsia="zh-CN"/>
        </w:rPr>
        <w:fldChar w:fldCharType="end"/>
      </w:r>
    </w:p>
    <w:p w14:paraId="6D9596D4">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_Toc245942409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_Toc245942409 \h </w:instrText>
      </w:r>
      <w:r>
        <w:fldChar w:fldCharType="separate"/>
      </w:r>
      <w:r>
        <w:t>43</w:t>
      </w:r>
      <w:r>
        <w:fldChar w:fldCharType="end"/>
      </w:r>
      <w:r>
        <w:rPr>
          <w:rFonts w:hint="eastAsia" w:ascii="黑体" w:hAnsi="黑体" w:eastAsia="黑体" w:cs="黑体"/>
          <w:bCs/>
          <w:color w:val="auto"/>
          <w:szCs w:val="32"/>
          <w:lang w:val="en-US" w:eastAsia="zh-CN"/>
        </w:rPr>
        <w:fldChar w:fldCharType="end"/>
      </w:r>
    </w:p>
    <w:p w14:paraId="4E9D256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_Toc1795531235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_Toc1795531235 \h </w:instrText>
      </w:r>
      <w:r>
        <w:fldChar w:fldCharType="separate"/>
      </w:r>
      <w:r>
        <w:t>43</w:t>
      </w:r>
      <w:r>
        <w:fldChar w:fldCharType="end"/>
      </w:r>
      <w:r>
        <w:rPr>
          <w:rFonts w:hint="eastAsia" w:ascii="黑体" w:hAnsi="黑体" w:eastAsia="黑体" w:cs="黑体"/>
          <w:bCs/>
          <w:color w:val="auto"/>
          <w:szCs w:val="32"/>
          <w:lang w:val="en-US" w:eastAsia="zh-CN"/>
        </w:rPr>
        <w:fldChar w:fldCharType="end"/>
      </w:r>
    </w:p>
    <w:p w14:paraId="4F1C08F4">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_Toc1053259001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_Toc1053259001 \h </w:instrText>
      </w:r>
      <w:r>
        <w:fldChar w:fldCharType="separate"/>
      </w:r>
      <w:r>
        <w:t>45</w:t>
      </w:r>
      <w:r>
        <w:fldChar w:fldCharType="end"/>
      </w:r>
      <w:r>
        <w:rPr>
          <w:rFonts w:hint="eastAsia" w:ascii="黑体" w:hAnsi="黑体" w:eastAsia="黑体" w:cs="黑体"/>
          <w:bCs/>
          <w:color w:val="auto"/>
          <w:szCs w:val="32"/>
          <w:lang w:val="en-US" w:eastAsia="zh-CN"/>
        </w:rPr>
        <w:fldChar w:fldCharType="end"/>
      </w:r>
    </w:p>
    <w:p w14:paraId="671797C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_Toc416327586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_Toc416327586 \h </w:instrText>
      </w:r>
      <w:r>
        <w:fldChar w:fldCharType="separate"/>
      </w:r>
      <w:r>
        <w:t>45</w:t>
      </w:r>
      <w:r>
        <w:fldChar w:fldCharType="end"/>
      </w:r>
      <w:r>
        <w:rPr>
          <w:rFonts w:hint="eastAsia" w:ascii="黑体" w:hAnsi="黑体" w:eastAsia="黑体" w:cs="黑体"/>
          <w:bCs/>
          <w:color w:val="auto"/>
          <w:szCs w:val="32"/>
          <w:lang w:val="en-US" w:eastAsia="zh-CN"/>
        </w:rPr>
        <w:fldChar w:fldCharType="end"/>
      </w:r>
    </w:p>
    <w:p w14:paraId="32666B8E">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_Toc716015976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_Toc716015976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2DF4997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_Toc1729634491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_Toc1729634491 \h </w:instrText>
      </w:r>
      <w:r>
        <w:fldChar w:fldCharType="separate"/>
      </w:r>
      <w:r>
        <w:t>46</w:t>
      </w:r>
      <w:r>
        <w:fldChar w:fldCharType="end"/>
      </w:r>
      <w:r>
        <w:rPr>
          <w:rFonts w:hint="eastAsia" w:ascii="黑体" w:hAnsi="黑体" w:eastAsia="黑体" w:cs="黑体"/>
          <w:bCs/>
          <w:color w:val="auto"/>
          <w:szCs w:val="32"/>
          <w:lang w:val="en-US" w:eastAsia="zh-CN"/>
        </w:rPr>
        <w:fldChar w:fldCharType="end"/>
      </w:r>
    </w:p>
    <w:p w14:paraId="3F311C43">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_Toc1628244445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_Toc1628244445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1BFEF7C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_Toc520273394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_Toc520273394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61973AB2">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_Toc1829006021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_Toc1829006021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12FAAD77">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_Toc1023271789 </w:instrText>
      </w:r>
      <w:r>
        <w:rPr>
          <w:rFonts w:hint="eastAsia" w:ascii="黑体" w:hAnsi="黑体" w:eastAsia="黑体" w:cs="黑体"/>
          <w:bCs/>
          <w:szCs w:val="32"/>
          <w:lang w:val="en-US" w:eastAsia="zh-CN"/>
        </w:rPr>
        <w:fldChar w:fldCharType="separate"/>
      </w:r>
      <w:r>
        <w:rPr>
          <w:rFonts w:hint="eastAsia"/>
          <w:bCs w:val="0"/>
        </w:rPr>
        <w:t xml:space="preserve">（一） </w:t>
      </w:r>
      <w:r>
        <w:rPr>
          <w:bCs w:val="0"/>
        </w:rPr>
        <w:t>信众价值认同度评估。</w:t>
      </w:r>
      <w:r>
        <w:tab/>
      </w:r>
      <w:r>
        <w:fldChar w:fldCharType="begin"/>
      </w:r>
      <w:r>
        <w:instrText xml:space="preserve"> PAGEREF _Toc1023271789 \h </w:instrText>
      </w:r>
      <w:r>
        <w:fldChar w:fldCharType="separate"/>
      </w:r>
      <w:r>
        <w:t>48</w:t>
      </w:r>
      <w:r>
        <w:fldChar w:fldCharType="end"/>
      </w:r>
      <w:r>
        <w:rPr>
          <w:rFonts w:hint="eastAsia" w:ascii="黑体" w:hAnsi="黑体" w:eastAsia="黑体" w:cs="黑体"/>
          <w:bCs/>
          <w:color w:val="auto"/>
          <w:szCs w:val="32"/>
          <w:lang w:val="en-US" w:eastAsia="zh-CN"/>
        </w:rPr>
        <w:fldChar w:fldCharType="end"/>
      </w:r>
    </w:p>
    <w:p w14:paraId="5E149955">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_Toc1079912547 </w:instrText>
      </w:r>
      <w:r>
        <w:rPr>
          <w:rFonts w:hint="eastAsia" w:ascii="黑体" w:hAnsi="黑体" w:eastAsia="黑体" w:cs="黑体"/>
          <w:bCs/>
          <w:szCs w:val="32"/>
          <w:lang w:val="en-US" w:eastAsia="zh-CN"/>
        </w:rPr>
        <w:fldChar w:fldCharType="separate"/>
      </w:r>
      <w:r>
        <w:rPr>
          <w:rFonts w:hint="eastAsia"/>
          <w:bCs w:val="0"/>
        </w:rPr>
        <w:t xml:space="preserve">（二） </w:t>
      </w:r>
      <w:r>
        <w:rPr>
          <w:bCs w:val="0"/>
        </w:rPr>
        <w:t>公益活动社会影响评估。</w:t>
      </w:r>
      <w:r>
        <w:tab/>
      </w:r>
      <w:r>
        <w:fldChar w:fldCharType="begin"/>
      </w:r>
      <w:r>
        <w:instrText xml:space="preserve"> PAGEREF _Toc1079912547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2E31D13E">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_Toc1705876632 </w:instrText>
      </w:r>
      <w:r>
        <w:rPr>
          <w:rFonts w:hint="eastAsia" w:ascii="黑体" w:hAnsi="黑体" w:eastAsia="黑体" w:cs="黑体"/>
          <w:bCs/>
          <w:szCs w:val="32"/>
          <w:lang w:val="en-US" w:eastAsia="zh-CN"/>
        </w:rPr>
        <w:fldChar w:fldCharType="separate"/>
      </w:r>
      <w:r>
        <w:rPr>
          <w:rFonts w:hint="eastAsia"/>
          <w:bCs w:val="0"/>
        </w:rPr>
        <w:t xml:space="preserve">（三） </w:t>
      </w:r>
      <w:r>
        <w:rPr>
          <w:bCs w:val="0"/>
        </w:rPr>
        <w:t>教义阐释质量评估。</w:t>
      </w:r>
      <w:r>
        <w:tab/>
      </w:r>
      <w:r>
        <w:fldChar w:fldCharType="begin"/>
      </w:r>
      <w:r>
        <w:instrText xml:space="preserve"> PAGEREF _Toc1705876632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31AA4C31">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_Toc1761866574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_Toc1761866574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7225B47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_Toc39500735 </w:instrText>
      </w:r>
      <w:r>
        <w:rPr>
          <w:rFonts w:hint="eastAsia" w:ascii="黑体" w:hAnsi="黑体" w:eastAsia="黑体" w:cs="黑体"/>
          <w:bCs/>
          <w:szCs w:val="32"/>
          <w:lang w:val="en-US" w:eastAsia="zh-CN"/>
        </w:rPr>
        <w:fldChar w:fldCharType="separate"/>
      </w:r>
      <w:r>
        <w:t>四、</w:t>
      </w:r>
      <w:r>
        <w:rPr>
          <w:rFonts w:hint="eastAsia"/>
          <w:lang w:eastAsia="zh-CN"/>
        </w:rPr>
        <w:t>“</w:t>
      </w:r>
      <w:r>
        <w:t>公正</w:t>
      </w:r>
      <w:r>
        <w:rPr>
          <w:rFonts w:hint="eastAsia"/>
          <w:lang w:eastAsia="zh-CN"/>
        </w:rPr>
        <w:t>”“</w:t>
      </w:r>
      <w:r>
        <w:t>平等</w:t>
      </w:r>
      <w:r>
        <w:rPr>
          <w:rFonts w:hint="eastAsia"/>
          <w:lang w:eastAsia="zh-CN"/>
        </w:rPr>
        <w:t>”</w:t>
      </w:r>
      <w:r>
        <w:t>价值的制度性融入路径</w:t>
      </w:r>
      <w:r>
        <w:tab/>
      </w:r>
      <w:r>
        <w:fldChar w:fldCharType="begin"/>
      </w:r>
      <w:r>
        <w:instrText xml:space="preserve"> PAGEREF _Toc39500735 \h </w:instrText>
      </w:r>
      <w:r>
        <w:fldChar w:fldCharType="separate"/>
      </w:r>
      <w:r>
        <w:t>49</w:t>
      </w:r>
      <w:r>
        <w:fldChar w:fldCharType="end"/>
      </w:r>
      <w:r>
        <w:rPr>
          <w:rFonts w:hint="eastAsia" w:ascii="黑体" w:hAnsi="黑体" w:eastAsia="黑体" w:cs="黑体"/>
          <w:bCs/>
          <w:color w:val="auto"/>
          <w:szCs w:val="32"/>
          <w:lang w:val="en-US" w:eastAsia="zh-CN"/>
        </w:rPr>
        <w:fldChar w:fldCharType="end"/>
      </w:r>
    </w:p>
    <w:p w14:paraId="347C0A87">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_Toc316406222 </w:instrText>
      </w:r>
      <w:r>
        <w:rPr>
          <w:rFonts w:hint="eastAsia" w:ascii="黑体" w:hAnsi="黑体" w:eastAsia="黑体" w:cs="黑体"/>
          <w:bCs/>
          <w:szCs w:val="32"/>
          <w:lang w:val="en-US" w:eastAsia="zh-CN"/>
        </w:rPr>
        <w:fldChar w:fldCharType="separate"/>
      </w:r>
      <w:r>
        <w:rPr>
          <w:rFonts w:hint="eastAsia"/>
        </w:rPr>
        <w:t xml:space="preserve">（一） </w:t>
      </w:r>
      <w:r>
        <w:t>推动基督教团体参与社会公平正义建设。</w:t>
      </w:r>
      <w:r>
        <w:tab/>
      </w:r>
      <w:r>
        <w:fldChar w:fldCharType="begin"/>
      </w:r>
      <w:r>
        <w:instrText xml:space="preserve"> PAGEREF _Toc316406222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240376B3">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_Toc669863182 </w:instrText>
      </w:r>
      <w:r>
        <w:rPr>
          <w:rFonts w:hint="eastAsia" w:ascii="黑体" w:hAnsi="黑体" w:eastAsia="黑体" w:cs="黑体"/>
          <w:bCs/>
          <w:szCs w:val="32"/>
          <w:lang w:val="en-US" w:eastAsia="zh-CN"/>
        </w:rPr>
        <w:fldChar w:fldCharType="separate"/>
      </w:r>
      <w:r>
        <w:rPr>
          <w:rFonts w:hint="eastAsia"/>
        </w:rPr>
        <w:t xml:space="preserve">（二） </w:t>
      </w:r>
      <w:r>
        <w:t>建立公益项目的机会平等评估机制。</w:t>
      </w:r>
      <w:r>
        <w:tab/>
      </w:r>
      <w:r>
        <w:fldChar w:fldCharType="begin"/>
      </w:r>
      <w:r>
        <w:instrText xml:space="preserve"> PAGEREF _Toc669863182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586F5F48">
      <w:pPr>
        <w:pStyle w:val="16"/>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_Toc1281222300 </w:instrText>
      </w:r>
      <w:r>
        <w:rPr>
          <w:rFonts w:hint="eastAsia" w:ascii="黑体" w:hAnsi="黑体" w:eastAsia="黑体" w:cs="黑体"/>
          <w:bCs/>
          <w:szCs w:val="32"/>
          <w:lang w:val="en-US" w:eastAsia="zh-CN"/>
        </w:rPr>
        <w:fldChar w:fldCharType="separate"/>
      </w:r>
      <w:r>
        <w:rPr>
          <w:rFonts w:hint="eastAsia"/>
        </w:rPr>
        <w:t xml:space="preserve">（三） </w:t>
      </w:r>
      <w:r>
        <w:t>强化基层宗教工作队伍的</w:t>
      </w:r>
      <w:r>
        <w:rPr>
          <w:rFonts w:hint="eastAsia"/>
          <w:lang w:eastAsia="zh-CN"/>
        </w:rPr>
        <w:t>“</w:t>
      </w:r>
      <w:r>
        <w:t>公正</w:t>
      </w:r>
      <w:r>
        <w:rPr>
          <w:rFonts w:hint="eastAsia"/>
          <w:lang w:eastAsia="zh-CN"/>
        </w:rPr>
        <w:t>”</w:t>
      </w:r>
      <w:r>
        <w:t>意识培训。</w:t>
      </w:r>
      <w:r>
        <w:tab/>
      </w:r>
      <w:r>
        <w:fldChar w:fldCharType="begin"/>
      </w:r>
      <w:r>
        <w:instrText xml:space="preserve"> PAGEREF _Toc1281222300 \h </w:instrText>
      </w:r>
      <w:r>
        <w:fldChar w:fldCharType="separate"/>
      </w:r>
      <w:r>
        <w:t>50</w:t>
      </w:r>
      <w:r>
        <w:fldChar w:fldCharType="end"/>
      </w:r>
      <w:r>
        <w:rPr>
          <w:rFonts w:hint="eastAsia" w:ascii="黑体" w:hAnsi="黑体" w:eastAsia="黑体" w:cs="黑体"/>
          <w:bCs/>
          <w:color w:val="auto"/>
          <w:szCs w:val="32"/>
          <w:lang w:val="en-US" w:eastAsia="zh-CN"/>
        </w:rPr>
        <w:fldChar w:fldCharType="end"/>
      </w:r>
    </w:p>
    <w:p w14:paraId="49B52F2F">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_Toc684667631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_Toc684667631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182C3ED1">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_Toc991493591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_Toc991493591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4574E4F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_Toc1707166864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_Toc1707166864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5A5ECA39">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_Toc1971959328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_Toc1971959328 \h </w:instrText>
      </w:r>
      <w:r>
        <w:fldChar w:fldCharType="separate"/>
      </w:r>
      <w:r>
        <w:t>51</w:t>
      </w:r>
      <w:r>
        <w:fldChar w:fldCharType="end"/>
      </w:r>
      <w:r>
        <w:rPr>
          <w:rFonts w:hint="eastAsia" w:ascii="黑体" w:hAnsi="黑体" w:eastAsia="黑体" w:cs="黑体"/>
          <w:bCs/>
          <w:color w:val="auto"/>
          <w:szCs w:val="32"/>
          <w:lang w:val="en-US" w:eastAsia="zh-CN"/>
        </w:rPr>
        <w:fldChar w:fldCharType="end"/>
      </w:r>
    </w:p>
    <w:p w14:paraId="6F83EFE5">
      <w:pPr>
        <w:pStyle w:val="19"/>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_Toc605301545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_Toc605301545 \h </w:instrText>
      </w:r>
      <w:r>
        <w:fldChar w:fldCharType="separate"/>
      </w:r>
      <w:r>
        <w:t>53</w:t>
      </w:r>
      <w:r>
        <w:fldChar w:fldCharType="end"/>
      </w:r>
      <w:r>
        <w:rPr>
          <w:rFonts w:hint="eastAsia" w:ascii="黑体" w:hAnsi="黑体" w:eastAsia="黑体" w:cs="黑体"/>
          <w:bCs/>
          <w:color w:val="auto"/>
          <w:szCs w:val="32"/>
          <w:lang w:val="en-US" w:eastAsia="zh-CN"/>
        </w:rPr>
        <w:fldChar w:fldCharType="end"/>
      </w:r>
    </w:p>
    <w:p w14:paraId="55D9858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_Toc673030976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_Toc673030976 \h </w:instrText>
      </w:r>
      <w:r>
        <w:fldChar w:fldCharType="separate"/>
      </w:r>
      <w:r>
        <w:t>53</w:t>
      </w:r>
      <w:r>
        <w:fldChar w:fldCharType="end"/>
      </w:r>
      <w:r>
        <w:rPr>
          <w:rFonts w:hint="eastAsia" w:ascii="黑体" w:hAnsi="黑体" w:eastAsia="黑体" w:cs="黑体"/>
          <w:bCs/>
          <w:color w:val="auto"/>
          <w:szCs w:val="32"/>
          <w:lang w:val="en-US" w:eastAsia="zh-CN"/>
        </w:rPr>
        <w:fldChar w:fldCharType="end"/>
      </w:r>
    </w:p>
    <w:p w14:paraId="4FAB75A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_Toc835244883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_Toc835244883 \h </w:instrText>
      </w:r>
      <w:r>
        <w:fldChar w:fldCharType="separate"/>
      </w:r>
      <w:r>
        <w:t>54</w:t>
      </w:r>
      <w:r>
        <w:fldChar w:fldCharType="end"/>
      </w:r>
      <w:r>
        <w:rPr>
          <w:rFonts w:hint="eastAsia" w:ascii="黑体" w:hAnsi="黑体" w:eastAsia="黑体" w:cs="黑体"/>
          <w:bCs/>
          <w:color w:val="auto"/>
          <w:szCs w:val="32"/>
          <w:lang w:val="en-US" w:eastAsia="zh-CN"/>
        </w:rPr>
        <w:fldChar w:fldCharType="end"/>
      </w:r>
    </w:p>
    <w:p w14:paraId="286DE23B">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_Toc2007631789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_Toc2007631789 \h </w:instrText>
      </w:r>
      <w:r>
        <w:fldChar w:fldCharType="separate"/>
      </w:r>
      <w:r>
        <w:t>55</w:t>
      </w:r>
      <w:r>
        <w:fldChar w:fldCharType="end"/>
      </w:r>
      <w:r>
        <w:rPr>
          <w:rFonts w:hint="eastAsia" w:ascii="黑体" w:hAnsi="黑体" w:eastAsia="黑体" w:cs="黑体"/>
          <w:bCs/>
          <w:color w:val="auto"/>
          <w:szCs w:val="32"/>
          <w:lang w:val="en-US" w:eastAsia="zh-CN"/>
        </w:rPr>
        <w:fldChar w:fldCharType="end"/>
      </w:r>
    </w:p>
    <w:p w14:paraId="4AE37EB6">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_Toc1004416059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_Toc1004416059 \h </w:instrText>
      </w:r>
      <w:r>
        <w:fldChar w:fldCharType="separate"/>
      </w:r>
      <w:r>
        <w:t>55</w:t>
      </w:r>
      <w:r>
        <w:fldChar w:fldCharType="end"/>
      </w:r>
      <w:r>
        <w:rPr>
          <w:rFonts w:hint="eastAsia" w:ascii="黑体" w:hAnsi="黑体" w:eastAsia="黑体" w:cs="黑体"/>
          <w:bCs/>
          <w:color w:val="auto"/>
          <w:szCs w:val="32"/>
          <w:lang w:val="en-US" w:eastAsia="zh-CN"/>
        </w:rPr>
        <w:fldChar w:fldCharType="end"/>
      </w:r>
    </w:p>
    <w:p w14:paraId="0FB2219C">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_Toc1999238193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_Toc1999238193 \h </w:instrText>
      </w:r>
      <w:r>
        <w:fldChar w:fldCharType="separate"/>
      </w:r>
      <w:r>
        <w:t>56</w:t>
      </w:r>
      <w:r>
        <w:fldChar w:fldCharType="end"/>
      </w:r>
      <w:r>
        <w:rPr>
          <w:rFonts w:hint="eastAsia" w:ascii="黑体" w:hAnsi="黑体" w:eastAsia="黑体" w:cs="黑体"/>
          <w:bCs/>
          <w:color w:val="auto"/>
          <w:szCs w:val="32"/>
          <w:lang w:val="en-US" w:eastAsia="zh-CN"/>
        </w:rPr>
        <w:fldChar w:fldCharType="end"/>
      </w:r>
    </w:p>
    <w:p w14:paraId="36D37F70">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_Toc1667168789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w:t>
      </w:r>
      <w:r>
        <w:tab/>
      </w:r>
      <w:r>
        <w:fldChar w:fldCharType="begin"/>
      </w:r>
      <w:r>
        <w:instrText xml:space="preserve"> PAGEREF _Toc1667168789 \h </w:instrText>
      </w:r>
      <w:r>
        <w:fldChar w:fldCharType="separate"/>
      </w:r>
      <w:r>
        <w:t>57</w:t>
      </w:r>
      <w:r>
        <w:fldChar w:fldCharType="end"/>
      </w:r>
      <w:r>
        <w:rPr>
          <w:rFonts w:hint="eastAsia" w:ascii="黑体" w:hAnsi="黑体" w:eastAsia="黑体" w:cs="黑体"/>
          <w:bCs/>
          <w:color w:val="auto"/>
          <w:szCs w:val="32"/>
          <w:lang w:val="en-US" w:eastAsia="zh-CN"/>
        </w:rPr>
        <w:fldChar w:fldCharType="end"/>
      </w:r>
    </w:p>
    <w:p w14:paraId="2FFCA1AD">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_Toc1886694314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_Toc1886694314 \h </w:instrText>
      </w:r>
      <w:r>
        <w:fldChar w:fldCharType="separate"/>
      </w:r>
      <w:r>
        <w:t>58</w:t>
      </w:r>
      <w:r>
        <w:fldChar w:fldCharType="end"/>
      </w:r>
      <w:r>
        <w:rPr>
          <w:rFonts w:hint="eastAsia" w:ascii="黑体" w:hAnsi="黑体" w:eastAsia="黑体" w:cs="黑体"/>
          <w:bCs/>
          <w:color w:val="auto"/>
          <w:szCs w:val="32"/>
          <w:lang w:val="en-US" w:eastAsia="zh-CN"/>
        </w:rPr>
        <w:fldChar w:fldCharType="end"/>
      </w:r>
    </w:p>
    <w:p w14:paraId="73A99627">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_Toc2075287443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_Toc2075287443 \h </w:instrText>
      </w:r>
      <w:r>
        <w:fldChar w:fldCharType="separate"/>
      </w:r>
      <w:r>
        <w:t>58</w:t>
      </w:r>
      <w:r>
        <w:fldChar w:fldCharType="end"/>
      </w:r>
      <w:r>
        <w:rPr>
          <w:rFonts w:hint="eastAsia" w:ascii="黑体" w:hAnsi="黑体" w:eastAsia="黑体" w:cs="黑体"/>
          <w:bCs/>
          <w:color w:val="auto"/>
          <w:szCs w:val="32"/>
          <w:lang w:val="en-US" w:eastAsia="zh-CN"/>
        </w:rPr>
        <w:fldChar w:fldCharType="end"/>
      </w:r>
    </w:p>
    <w:p w14:paraId="2F30B8C1">
      <w:pPr>
        <w:pStyle w:val="15"/>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_Toc2074143574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_Toc2074143574 \h </w:instrText>
      </w:r>
      <w:r>
        <w:fldChar w:fldCharType="separate"/>
      </w:r>
      <w:r>
        <w:t>59</w:t>
      </w:r>
      <w:r>
        <w:fldChar w:fldCharType="end"/>
      </w:r>
      <w:r>
        <w:rPr>
          <w:rFonts w:hint="eastAsia" w:ascii="黑体" w:hAnsi="黑体" w:eastAsia="黑体" w:cs="黑体"/>
          <w:bCs/>
          <w:color w:val="auto"/>
          <w:szCs w:val="32"/>
          <w:lang w:val="en-US" w:eastAsia="zh-CN"/>
        </w:rPr>
        <w:fldChar w:fldCharType="end"/>
      </w:r>
    </w:p>
    <w:p w14:paraId="1F689ABF">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_Toc29006467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_Toc29006467 \h </w:instrText>
      </w:r>
      <w:r>
        <w:fldChar w:fldCharType="separate"/>
      </w:r>
      <w:r>
        <w:t>59</w:t>
      </w:r>
      <w:r>
        <w:fldChar w:fldCharType="end"/>
      </w:r>
      <w:r>
        <w:rPr>
          <w:rFonts w:hint="eastAsia" w:ascii="黑体" w:hAnsi="黑体" w:eastAsia="黑体" w:cs="黑体"/>
          <w:bCs/>
          <w:color w:val="auto"/>
          <w:szCs w:val="32"/>
          <w:lang w:val="en-US" w:eastAsia="zh-CN"/>
        </w:rPr>
        <w:fldChar w:fldCharType="end"/>
      </w:r>
    </w:p>
    <w:p w14:paraId="332754DB">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_Toc32903000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_Toc32903000 \h </w:instrText>
      </w:r>
      <w:r>
        <w:fldChar w:fldCharType="separate"/>
      </w:r>
      <w:r>
        <w:t>60</w:t>
      </w:r>
      <w:r>
        <w:fldChar w:fldCharType="end"/>
      </w:r>
      <w:r>
        <w:rPr>
          <w:rFonts w:hint="eastAsia" w:ascii="黑体" w:hAnsi="黑体" w:eastAsia="黑体" w:cs="黑体"/>
          <w:bCs/>
          <w:color w:val="auto"/>
          <w:szCs w:val="32"/>
          <w:lang w:val="en-US" w:eastAsia="zh-CN"/>
        </w:rPr>
        <w:fldChar w:fldCharType="end"/>
      </w:r>
    </w:p>
    <w:p w14:paraId="3B637923">
      <w:pPr>
        <w:pStyle w:val="10"/>
        <w:tabs>
          <w:tab w:val="right" w:leader="dot" w:pos="8786"/>
        </w:tabs>
      </w:pPr>
      <w:r>
        <w:rPr>
          <w:rFonts w:hint="eastAsia" w:ascii="黑体" w:hAnsi="黑体" w:eastAsia="黑体" w:cs="黑体"/>
          <w:bCs/>
          <w:color w:val="auto"/>
          <w:szCs w:val="32"/>
          <w:lang w:val="en-US" w:eastAsia="zh-CN"/>
        </w:rPr>
        <w:fldChar w:fldCharType="begin"/>
      </w:r>
      <w:r>
        <w:rPr>
          <w:rFonts w:hint="eastAsia" w:ascii="黑体" w:hAnsi="黑体" w:eastAsia="黑体" w:cs="黑体"/>
          <w:bCs/>
          <w:szCs w:val="32"/>
          <w:lang w:val="en-US" w:eastAsia="zh-CN"/>
        </w:rPr>
        <w:instrText xml:space="preserve"> HYPERLINK \l _Toc1097423721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_Toc1097423721 \h </w:instrText>
      </w:r>
      <w:r>
        <w:fldChar w:fldCharType="separate"/>
      </w:r>
      <w:r>
        <w:t>61</w:t>
      </w:r>
      <w:r>
        <w:fldChar w:fldCharType="end"/>
      </w:r>
      <w:r>
        <w:rPr>
          <w:rFonts w:hint="eastAsia" w:ascii="黑体" w:hAnsi="黑体" w:eastAsia="黑体" w:cs="黑体"/>
          <w:bCs/>
          <w:color w:val="auto"/>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color w:val="auto"/>
          <w:sz w:val="32"/>
          <w:szCs w:val="32"/>
          <w:lang w:val="en-US" w:eastAsia="zh-CN"/>
        </w:rPr>
      </w:pPr>
      <w:r>
        <w:rPr>
          <w:rFonts w:hint="eastAsia" w:ascii="黑体" w:hAnsi="黑体" w:eastAsia="黑体" w:cs="黑体"/>
          <w:bCs/>
          <w:color w:val="auto"/>
          <w:szCs w:val="32"/>
          <w:lang w:val="en-US" w:eastAsia="zh-CN"/>
        </w:rPr>
        <w:fldChar w:fldCharType="end"/>
      </w:r>
    </w:p>
    <w:bookmarkEnd w:id="53"/>
    <w:p w14:paraId="651D0FF2">
      <w:pPr>
        <w:pageBreakBefore w:val="0"/>
        <w:kinsoku/>
        <w:wordWrap/>
        <w:overflowPunct/>
        <w:topLinePunct w:val="0"/>
        <w:bidi w:val="0"/>
        <w:adjustRightInd w:val="0"/>
        <w:snapToGrid w:val="0"/>
        <w:ind w:left="0" w:leftChars="0" w:firstLine="480" w:firstLineChars="200"/>
        <w:textAlignment w:val="auto"/>
        <w:rPr>
          <w:rFonts w:hint="eastAsia"/>
          <w:color w:val="auto"/>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color w:val="auto"/>
          <w:lang w:val="en-US" w:eastAsia="zh-CN"/>
        </w:rPr>
      </w:pPr>
      <w:bookmarkStart w:id="54" w:name="_Toc1992287126"/>
      <w:bookmarkStart w:id="55" w:name="_Toc500452949"/>
      <w:bookmarkStart w:id="56" w:name="_Toc454243157"/>
      <w:bookmarkStart w:id="57" w:name="_Toc2065133620"/>
      <w:bookmarkStart w:id="58" w:name="_Toc1757750088"/>
      <w:bookmarkStart w:id="59" w:name="_Toc1566118065"/>
      <w:bookmarkStart w:id="60" w:name="_Toc9661"/>
      <w:bookmarkStart w:id="61" w:name="_Toc1138181288"/>
      <w:bookmarkStart w:id="62" w:name="_Toc311664942"/>
      <w:bookmarkStart w:id="63" w:name="_Toc2147402238"/>
      <w:bookmarkStart w:id="64" w:name="_Toc578278431"/>
      <w:bookmarkStart w:id="65" w:name="_Toc897384602"/>
      <w:bookmarkStart w:id="66" w:name="_Toc698215329"/>
      <w:bookmarkStart w:id="67" w:name="_Toc811033069"/>
      <w:r>
        <w:rPr>
          <w:rFonts w:hint="eastAsia"/>
          <w:color w:val="auto"/>
          <w:lang w:val="en-US" w:eastAsia="zh-CN"/>
        </w:rPr>
        <w:t>一、引言</w:t>
      </w:r>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21EE77DF">
      <w:pPr>
        <w:pStyle w:val="3"/>
        <w:bidi w:val="0"/>
        <w:rPr>
          <w:rFonts w:hint="eastAsia"/>
          <w:color w:val="auto"/>
          <w:lang w:val="en-US" w:eastAsia="zh-CN"/>
        </w:rPr>
      </w:pPr>
      <w:bookmarkStart w:id="68" w:name="_Toc490"/>
      <w:bookmarkStart w:id="69" w:name="_Toc440065161"/>
      <w:bookmarkStart w:id="70" w:name="_Toc39257176"/>
      <w:bookmarkStart w:id="71" w:name="_Toc160374614"/>
      <w:bookmarkStart w:id="72" w:name="_Toc1762087142"/>
      <w:bookmarkStart w:id="73" w:name="_Toc565352933"/>
      <w:bookmarkStart w:id="74" w:name="_Toc1720680884"/>
      <w:bookmarkStart w:id="75" w:name="_Toc779242584"/>
      <w:bookmarkStart w:id="76" w:name="_Toc1776063587"/>
      <w:bookmarkStart w:id="77" w:name="_Toc1054387295"/>
      <w:bookmarkStart w:id="78" w:name="_Toc1566752191"/>
      <w:bookmarkStart w:id="79" w:name="_Toc1070048526"/>
      <w:bookmarkStart w:id="80" w:name="_Toc804702658"/>
      <w:bookmarkStart w:id="81" w:name="_Toc954083174"/>
      <w:r>
        <w:rPr>
          <w:rFonts w:hint="eastAsia"/>
          <w:color w:val="auto"/>
          <w:lang w:val="en-US" w:eastAsia="zh-CN"/>
        </w:rPr>
        <w:t xml:space="preserve">第一节 </w:t>
      </w:r>
      <w:bookmarkEnd w:id="68"/>
      <w:r>
        <w:rPr>
          <w:rFonts w:hint="eastAsia"/>
          <w:color w:val="auto"/>
          <w:lang w:val="en-US" w:eastAsia="zh-CN"/>
        </w:rPr>
        <w:t>研究背景与问题提出</w:t>
      </w:r>
      <w:bookmarkEnd w:id="69"/>
      <w:bookmarkEnd w:id="70"/>
      <w:bookmarkEnd w:id="71"/>
      <w:bookmarkEnd w:id="72"/>
      <w:bookmarkEnd w:id="73"/>
      <w:bookmarkEnd w:id="74"/>
      <w:bookmarkEnd w:id="75"/>
      <w:bookmarkEnd w:id="76"/>
      <w:bookmarkEnd w:id="77"/>
      <w:bookmarkEnd w:id="78"/>
      <w:bookmarkEnd w:id="79"/>
      <w:bookmarkEnd w:id="80"/>
      <w:bookmarkEnd w:id="81"/>
    </w:p>
    <w:p w14:paraId="2CFDF7BD">
      <w:pPr>
        <w:pStyle w:val="4"/>
        <w:bidi w:val="0"/>
        <w:rPr>
          <w:rFonts w:hint="eastAsia"/>
          <w:color w:val="auto"/>
          <w:lang w:val="en-US" w:eastAsia="zh-CN"/>
        </w:rPr>
      </w:pPr>
      <w:bookmarkStart w:id="82" w:name="_Toc1588"/>
      <w:bookmarkStart w:id="83" w:name="_Toc27344"/>
      <w:bookmarkStart w:id="84" w:name="_Toc17822"/>
      <w:bookmarkStart w:id="85" w:name="_Toc2158"/>
      <w:bookmarkStart w:id="86" w:name="_Toc32018"/>
      <w:bookmarkStart w:id="87" w:name="_Toc241480659"/>
      <w:bookmarkStart w:id="88" w:name="_Toc52212021"/>
      <w:bookmarkStart w:id="89" w:name="_Toc517877403"/>
      <w:bookmarkStart w:id="90" w:name="_Toc1277516504"/>
      <w:bookmarkStart w:id="91" w:name="_Toc278013409"/>
      <w:bookmarkStart w:id="92" w:name="_Toc2107078270"/>
      <w:bookmarkStart w:id="93" w:name="_Toc1374829882"/>
      <w:bookmarkStart w:id="94" w:name="_Toc1933047847"/>
      <w:bookmarkStart w:id="95" w:name="_Toc1468826886"/>
      <w:bookmarkStart w:id="96" w:name="_Toc1599103464"/>
      <w:bookmarkStart w:id="97" w:name="_Toc324160513"/>
      <w:bookmarkStart w:id="98" w:name="_Toc1419090603"/>
      <w:bookmarkStart w:id="99" w:name="_Toc15513269"/>
      <w:r>
        <w:rPr>
          <w:rFonts w:hint="eastAsia"/>
          <w:color w:val="auto"/>
          <w:lang w:val="en-US" w:eastAsia="zh-CN"/>
        </w:rPr>
        <w:t>一、</w:t>
      </w:r>
      <w:bookmarkEnd w:id="82"/>
      <w:bookmarkEnd w:id="83"/>
      <w:bookmarkEnd w:id="84"/>
      <w:bookmarkEnd w:id="85"/>
      <w:bookmarkEnd w:id="86"/>
      <w:r>
        <w:rPr>
          <w:rFonts w:hint="eastAsia"/>
          <w:color w:val="auto"/>
          <w:lang w:val="en-US" w:eastAsia="zh-CN"/>
        </w:rPr>
        <w:t>宗教中国化的政策演进与“五个认同”的时代要求</w:t>
      </w:r>
      <w:bookmarkEnd w:id="87"/>
      <w:bookmarkEnd w:id="88"/>
      <w:bookmarkEnd w:id="89"/>
      <w:bookmarkEnd w:id="90"/>
      <w:bookmarkEnd w:id="91"/>
      <w:bookmarkEnd w:id="92"/>
      <w:bookmarkEnd w:id="93"/>
      <w:bookmarkEnd w:id="94"/>
      <w:bookmarkEnd w:id="95"/>
      <w:bookmarkEnd w:id="96"/>
      <w:bookmarkEnd w:id="97"/>
      <w:bookmarkEnd w:id="98"/>
      <w:bookmarkEnd w:id="9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color w:val="auto"/>
          <w:lang w:eastAsia="zh-CN"/>
        </w:rPr>
        <w:t>“</w:t>
      </w:r>
      <w:r>
        <w:rPr>
          <w:color w:val="auto"/>
        </w:rPr>
        <w:t>宗教中国化</w:t>
      </w:r>
      <w:r>
        <w:rPr>
          <w:rFonts w:hint="eastAsia"/>
          <w:color w:val="auto"/>
          <w:lang w:eastAsia="zh-CN"/>
        </w:rPr>
        <w:t>”</w:t>
      </w:r>
      <w:r>
        <w:rPr>
          <w:color w:val="auto"/>
        </w:rPr>
        <w:t>这一概念在学术界的兴起，可以追溯到2016年召开的全国宗教工作会议。该次会议首次系统性地提出，宗教团体应当对自身的教义教规进行符合时代发展需要的重新解读，同时融入中华优秀传统文化的精髓。这一指示为基督教等外来宗教的本土化探索提供了明确的方向指引，也为本文的研究主旨奠定了政策基础。</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color w:val="auto"/>
        </w:rPr>
        <w:t>作为新时代宗教工作的政治基石，</w:t>
      </w:r>
      <w:r>
        <w:rPr>
          <w:rFonts w:hint="eastAsia"/>
          <w:color w:val="auto"/>
          <w:lang w:eastAsia="zh-CN"/>
        </w:rPr>
        <w:t>“</w:t>
      </w:r>
      <w:r>
        <w:rPr>
          <w:color w:val="auto"/>
        </w:rPr>
        <w:t>五个认同</w:t>
      </w:r>
      <w:r>
        <w:rPr>
          <w:rFonts w:hint="eastAsia"/>
          <w:color w:val="auto"/>
          <w:lang w:eastAsia="zh-CN"/>
        </w:rPr>
        <w:t>”</w:t>
      </w:r>
      <w:r>
        <w:rPr>
          <w:color w:val="auto"/>
        </w:rPr>
        <w:t>构成了一个逻辑自洽的价值框架。这一框架以国家认同为起点，以民族认同为载体，以文化认同为根基，以政党认同为保障，以制度认同为落脚点。具体而言，信众需要首先确立公民身份认知，将国家利益置于首位；其次强化中华民族共同体意识，促进跨民族交流互动；再次从中华优秀传统文化中汲取养分，实现宗教文化与本土文化的有机融合；最后深化对党的领导地位和社会主义道路的理解与认同。这五个层面相互交织，共同服务于宗教中国化的实践目标。</w:t>
      </w:r>
      <w:r>
        <w:rPr>
          <w:rStyle w:val="29"/>
          <w:color w:val="auto"/>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color w:val="auto"/>
          <w:sz w:val="24"/>
          <w:szCs w:val="24"/>
        </w:rPr>
        <w:footnoteReference w:id="1"/>
      </w:r>
      <w:r>
        <w:rPr>
          <w:rStyle w:val="29"/>
          <w:rFonts w:hint="eastAsia" w:ascii="宋体" w:hAnsi="宋体" w:eastAsia="宋体" w:cs="宋体"/>
          <w:color w:val="auto"/>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color w:val="auto"/>
          <w:sz w:val="24"/>
          <w:szCs w:val="24"/>
          <w:lang w:val="en-US" w:eastAsia="zh-CN"/>
        </w:rPr>
        <w:footnoteReference w:id="3"/>
      </w:r>
      <w:r>
        <w:rPr>
          <w:rFonts w:hint="eastAsia" w:ascii="宋体" w:hAnsi="宋体" w:eastAsia="宋体" w:cs="宋体"/>
          <w:color w:val="auto"/>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color w:val="auto"/>
          <w:sz w:val="24"/>
          <w:szCs w:val="24"/>
          <w:lang w:val="en-US" w:eastAsia="zh-CN"/>
        </w:rPr>
        <w:footnoteReference w:id="4"/>
      </w:r>
      <w:r>
        <w:rPr>
          <w:rFonts w:hint="eastAsia" w:ascii="宋体" w:hAnsi="宋体" w:eastAsia="宋体" w:cs="宋体"/>
          <w:color w:val="auto"/>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color w:val="auto"/>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color w:val="auto"/>
        </w:rPr>
        <w:t>作为浙江省宗教界</w:t>
      </w:r>
      <w:r>
        <w:rPr>
          <w:rFonts w:hint="eastAsia"/>
          <w:color w:val="auto"/>
          <w:lang w:eastAsia="zh-CN"/>
        </w:rPr>
        <w:t>“</w:t>
      </w:r>
      <w:r>
        <w:rPr>
          <w:color w:val="auto"/>
        </w:rPr>
        <w:t>双通</w:t>
      </w:r>
      <w:r>
        <w:rPr>
          <w:rFonts w:hint="eastAsia"/>
          <w:color w:val="auto"/>
          <w:lang w:eastAsia="zh-CN"/>
        </w:rPr>
        <w:t>”</w:t>
      </w:r>
      <w:r>
        <w:rPr>
          <w:color w:val="auto"/>
        </w:rPr>
        <w:t>人才研修班的学员，本文研究始终坚持以</w:t>
      </w:r>
      <w:r>
        <w:rPr>
          <w:rFonts w:hint="eastAsia"/>
          <w:color w:val="auto"/>
          <w:lang w:eastAsia="zh-CN"/>
        </w:rPr>
        <w:t>“</w:t>
      </w:r>
      <w:r>
        <w:rPr>
          <w:color w:val="auto"/>
        </w:rPr>
        <w:t>五个认同</w:t>
      </w:r>
      <w:r>
        <w:rPr>
          <w:rFonts w:hint="eastAsia"/>
          <w:color w:val="auto"/>
          <w:lang w:eastAsia="zh-CN"/>
        </w:rPr>
        <w:t>”</w:t>
      </w:r>
      <w:r>
        <w:rPr>
          <w:color w:val="auto"/>
        </w:rPr>
        <w:t>为根本政治遵循，将</w:t>
      </w:r>
      <w:r>
        <w:rPr>
          <w:rFonts w:hint="eastAsia"/>
          <w:color w:val="auto"/>
          <w:lang w:eastAsia="zh-CN"/>
        </w:rPr>
        <w:t>“</w:t>
      </w:r>
      <w:r>
        <w:rPr>
          <w:color w:val="auto"/>
        </w:rPr>
        <w:t>政治上靠得住、宗教上有造诣、品德上能服众、关键时起作用</w:t>
      </w:r>
      <w:r>
        <w:rPr>
          <w:rFonts w:hint="eastAsia"/>
          <w:color w:val="auto"/>
          <w:lang w:eastAsia="zh-CN"/>
        </w:rPr>
        <w:t>”</w:t>
      </w:r>
      <w:r>
        <w:rPr>
          <w:color w:val="auto"/>
        </w:rPr>
        <w:t>的培养要求作为学术写作的价值坐标。在论文撰写过程中，注重将宗教中国化的政策导向转化为具体的学术论证，将理论分析与实践路径设计相结合，体现出对伟大祖国、中华民族、中华文化、中国共产党和中国特色社会主义的坚定认同。</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lang w:val="en-US" w:eastAsia="zh-CN"/>
        </w:rPr>
      </w:pPr>
      <w:r>
        <w:rPr>
          <w:color w:val="auto"/>
        </w:rPr>
        <w:t>在此基础上，将</w:t>
      </w:r>
      <w:r>
        <w:rPr>
          <w:rFonts w:hint="eastAsia"/>
          <w:color w:val="auto"/>
          <w:lang w:eastAsia="zh-CN"/>
        </w:rPr>
        <w:t>“</w:t>
      </w:r>
      <w:r>
        <w:rPr>
          <w:color w:val="auto"/>
        </w:rPr>
        <w:t>五个认同</w:t>
      </w:r>
      <w:r>
        <w:rPr>
          <w:rFonts w:hint="eastAsia"/>
          <w:color w:val="auto"/>
          <w:lang w:eastAsia="zh-CN"/>
        </w:rPr>
        <w:t>”</w:t>
      </w:r>
      <w:r>
        <w:rPr>
          <w:color w:val="auto"/>
        </w:rPr>
        <w:t>从宏观政治要求转化为贯穿全文的具体分析工具，具体操作化为五个检验维度：其一，以</w:t>
      </w:r>
      <w:r>
        <w:rPr>
          <w:rFonts w:hint="eastAsia"/>
          <w:color w:val="auto"/>
          <w:lang w:eastAsia="zh-CN"/>
        </w:rPr>
        <w:t>“</w:t>
      </w:r>
      <w:r>
        <w:rPr>
          <w:color w:val="auto"/>
        </w:rPr>
        <w:t>认同伟大祖国</w:t>
      </w:r>
      <w:r>
        <w:rPr>
          <w:rFonts w:hint="eastAsia"/>
          <w:color w:val="auto"/>
          <w:lang w:eastAsia="zh-CN"/>
        </w:rPr>
        <w:t>”</w:t>
      </w:r>
      <w:r>
        <w:rPr>
          <w:color w:val="auto"/>
        </w:rPr>
        <w:t>为标准，检验融合实践是否有助于增进国家意识、公民意识和法治意识；其二，以</w:t>
      </w:r>
      <w:r>
        <w:rPr>
          <w:rFonts w:hint="eastAsia"/>
          <w:color w:val="auto"/>
          <w:lang w:eastAsia="zh-CN"/>
        </w:rPr>
        <w:t>“</w:t>
      </w:r>
      <w:r>
        <w:rPr>
          <w:color w:val="auto"/>
        </w:rPr>
        <w:t>认同中华民族</w:t>
      </w:r>
      <w:r>
        <w:rPr>
          <w:rFonts w:hint="eastAsia"/>
          <w:color w:val="auto"/>
          <w:lang w:eastAsia="zh-CN"/>
        </w:rPr>
        <w:t>”</w:t>
      </w:r>
      <w:r>
        <w:rPr>
          <w:color w:val="auto"/>
        </w:rPr>
        <w:t>为标准，检验融合实践是否有助于铸牢中华民族共同体意识；其三，以</w:t>
      </w:r>
      <w:r>
        <w:rPr>
          <w:rFonts w:hint="eastAsia"/>
          <w:color w:val="auto"/>
          <w:lang w:eastAsia="zh-CN"/>
        </w:rPr>
        <w:t>“</w:t>
      </w:r>
      <w:r>
        <w:rPr>
          <w:color w:val="auto"/>
        </w:rPr>
        <w:t>认同中华文化</w:t>
      </w:r>
      <w:r>
        <w:rPr>
          <w:rFonts w:hint="eastAsia"/>
          <w:color w:val="auto"/>
          <w:lang w:eastAsia="zh-CN"/>
        </w:rPr>
        <w:t>”</w:t>
      </w:r>
      <w:r>
        <w:rPr>
          <w:color w:val="auto"/>
        </w:rPr>
        <w:t>为标准，检验教义阐释是否有效吸收了中华优秀传统文化资源；其四，以</w:t>
      </w:r>
      <w:r>
        <w:rPr>
          <w:rFonts w:hint="eastAsia"/>
          <w:color w:val="auto"/>
          <w:lang w:eastAsia="zh-CN"/>
        </w:rPr>
        <w:t>“</w:t>
      </w:r>
      <w:r>
        <w:rPr>
          <w:color w:val="auto"/>
        </w:rPr>
        <w:t>认同中国共产党</w:t>
      </w:r>
      <w:r>
        <w:rPr>
          <w:rFonts w:hint="eastAsia"/>
          <w:color w:val="auto"/>
          <w:lang w:eastAsia="zh-CN"/>
        </w:rPr>
        <w:t>”</w:t>
      </w:r>
      <w:r>
        <w:rPr>
          <w:color w:val="auto"/>
        </w:rPr>
        <w:t>为标准，检验融合路径是否有助于引导信众拥护党的领导；其五，以</w:t>
      </w:r>
      <w:r>
        <w:rPr>
          <w:rFonts w:hint="eastAsia"/>
          <w:color w:val="auto"/>
          <w:lang w:eastAsia="zh-CN"/>
        </w:rPr>
        <w:t>“</w:t>
      </w:r>
      <w:r>
        <w:rPr>
          <w:color w:val="auto"/>
        </w:rPr>
        <w:t>认同中国特色社会主义</w:t>
      </w:r>
      <w:r>
        <w:rPr>
          <w:rFonts w:hint="eastAsia"/>
          <w:color w:val="auto"/>
          <w:lang w:eastAsia="zh-CN"/>
        </w:rPr>
        <w:t>”</w:t>
      </w:r>
      <w:r>
        <w:rPr>
          <w:color w:val="auto"/>
        </w:rPr>
        <w:t>为标准，检验融合实践是否有助于宗教与社会主义社会相适应。这五个维度贯穿于本文的契合性分析、障碍梳理与路径构建全过程，形成从政治引领到理论分析再到实践检验的完整逻辑链条。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p>
    <w:p w14:paraId="7D4925B8">
      <w:pPr>
        <w:pStyle w:val="4"/>
        <w:bidi w:val="0"/>
        <w:rPr>
          <w:rFonts w:hint="eastAsia"/>
          <w:color w:val="auto"/>
          <w:lang w:val="en-US" w:eastAsia="zh-CN"/>
        </w:rPr>
      </w:pPr>
      <w:bookmarkStart w:id="100" w:name="_Toc1989268701"/>
      <w:bookmarkStart w:id="101" w:name="_Toc374077243"/>
      <w:bookmarkStart w:id="102" w:name="_Toc678380022"/>
      <w:bookmarkStart w:id="103" w:name="_Toc1248950737"/>
      <w:bookmarkStart w:id="104" w:name="_Toc1794432838"/>
      <w:bookmarkStart w:id="105" w:name="_Toc2147213199"/>
      <w:bookmarkStart w:id="106" w:name="_Toc1968826630"/>
      <w:bookmarkStart w:id="107" w:name="_Toc1602552713"/>
      <w:bookmarkStart w:id="108" w:name="_Toc702381039"/>
      <w:bookmarkStart w:id="109" w:name="_Toc1354108971"/>
      <w:bookmarkStart w:id="110" w:name="_Toc1659144860"/>
      <w:bookmarkStart w:id="111" w:name="_Toc214290930"/>
      <w:bookmarkStart w:id="112" w:name="_Toc885990796"/>
      <w:r>
        <w:rPr>
          <w:rFonts w:hint="eastAsia"/>
          <w:color w:val="auto"/>
          <w:lang w:val="en-US" w:eastAsia="zh-CN"/>
        </w:rPr>
        <w:t>二、要求基督教本土化发展的现实困境</w:t>
      </w:r>
      <w:bookmarkEnd w:id="100"/>
      <w:bookmarkEnd w:id="101"/>
      <w:bookmarkEnd w:id="102"/>
      <w:bookmarkEnd w:id="103"/>
      <w:bookmarkEnd w:id="104"/>
      <w:bookmarkEnd w:id="105"/>
      <w:bookmarkEnd w:id="106"/>
      <w:bookmarkEnd w:id="107"/>
      <w:bookmarkEnd w:id="108"/>
      <w:bookmarkEnd w:id="109"/>
      <w:bookmarkEnd w:id="110"/>
      <w:bookmarkEnd w:id="111"/>
      <w:bookmarkEnd w:id="112"/>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据国内宗教研究领域的公开统计数据，目前我国基督教信众总规模约3800万人，地域分布呈现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县域及以下乡村占比高、中西部地区占比高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的特征。</w:t>
      </w:r>
      <w:r>
        <w:rPr>
          <w:rStyle w:val="29"/>
          <w:rFonts w:hint="eastAsia" w:ascii="宋体" w:hAnsi="宋体" w:eastAsia="宋体" w:cs="宋体"/>
          <w:color w:val="auto"/>
          <w:sz w:val="24"/>
          <w:szCs w:val="24"/>
        </w:rPr>
        <w:footnoteReference w:id="6"/>
      </w:r>
      <w:r>
        <w:rPr>
          <w:rFonts w:hint="eastAsia" w:ascii="宋体" w:hAnsi="宋体" w:eastAsia="宋体" w:cs="宋体"/>
          <w:color w:val="auto"/>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第一，教义阐释的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西方中心主义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残余。部分偏远乡村教会的讲经内容直接照搬国外神学体系，缺乏对儒家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等本土文化语境的创造性转化，导致信众在文化认同上出现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叠合身份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困境——既难以完全融入本土社会文化，又无法维持纯粹的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西方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信仰形态。</w:t>
      </w:r>
      <w:r>
        <w:rPr>
          <w:rStyle w:val="29"/>
          <w:rFonts w:hint="eastAsia" w:ascii="宋体" w:hAnsi="宋体" w:eastAsia="宋体" w:cs="宋体"/>
          <w:color w:val="auto"/>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第三，价值对话的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话语体系断裂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。基督教神学话语与社会主义核心价值观话语之间存在显著的语义鸿沟，前者以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神启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救赎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为核心范畴，后者以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为核心范畴，二者在公共领域的对话缺乏有效的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信仰市场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中提升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产品适配性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的战略选择——将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这一宗教伦理进行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本土化包装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，以契合主流文化的价值偏好，从而扩大其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社会认可度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
      </w:r>
    </w:p>
    <w:p w14:paraId="6711BADD">
      <w:pPr>
        <w:rPr>
          <w:rFonts w:hint="eastAsia"/>
          <w:color w:val="auto"/>
          <w:lang w:val="en-US" w:eastAsia="zh-CN"/>
        </w:rPr>
      </w:pPr>
      <w:bookmarkStart w:id="113" w:name="_Toc1431588332"/>
      <w:bookmarkStart w:id="114" w:name="_Toc1919853445"/>
      <w:bookmarkStart w:id="115" w:name="_Toc257584491"/>
      <w:bookmarkStart w:id="116" w:name="_Toc1609870981"/>
      <w:bookmarkStart w:id="117" w:name="_Toc200514914"/>
      <w:bookmarkStart w:id="118" w:name="_Toc1625268338"/>
      <w:bookmarkStart w:id="119" w:name="_Toc172505725"/>
      <w:bookmarkStart w:id="120" w:name="_Toc363546717"/>
      <w:bookmarkStart w:id="121" w:name="_Toc1641137434"/>
      <w:bookmarkStart w:id="122" w:name="_Toc542347831"/>
      <w:bookmarkStart w:id="123" w:name="_Toc1613641211"/>
      <w:r>
        <w:rPr>
          <w:rFonts w:hint="eastAsia"/>
          <w:color w:val="auto"/>
          <w:lang w:val="en-US" w:eastAsia="zh-CN"/>
        </w:rPr>
        <w:br w:type="page"/>
      </w:r>
    </w:p>
    <w:p w14:paraId="45A16FE0">
      <w:pPr>
        <w:pStyle w:val="3"/>
        <w:bidi w:val="0"/>
        <w:rPr>
          <w:rFonts w:hint="eastAsia"/>
          <w:color w:val="auto"/>
          <w:lang w:val="en-US" w:eastAsia="zh-CN"/>
        </w:rPr>
      </w:pPr>
      <w:bookmarkStart w:id="124" w:name="_Toc1897031405"/>
      <w:bookmarkStart w:id="125" w:name="_Toc195700074"/>
      <w:r>
        <w:rPr>
          <w:rFonts w:hint="eastAsia"/>
          <w:color w:val="auto"/>
          <w:lang w:val="en-US" w:eastAsia="zh-CN"/>
        </w:rPr>
        <w:t>第二节 文献综述</w:t>
      </w:r>
      <w:bookmarkEnd w:id="113"/>
      <w:bookmarkEnd w:id="114"/>
      <w:bookmarkEnd w:id="115"/>
      <w:bookmarkEnd w:id="116"/>
      <w:bookmarkEnd w:id="117"/>
      <w:bookmarkEnd w:id="118"/>
      <w:bookmarkEnd w:id="119"/>
      <w:bookmarkEnd w:id="120"/>
      <w:bookmarkEnd w:id="121"/>
      <w:bookmarkEnd w:id="122"/>
      <w:bookmarkEnd w:id="123"/>
      <w:bookmarkEnd w:id="124"/>
      <w:bookmarkEnd w:id="125"/>
    </w:p>
    <w:p w14:paraId="33329422">
      <w:pPr>
        <w:pStyle w:val="4"/>
        <w:bidi w:val="0"/>
        <w:rPr>
          <w:rFonts w:hint="eastAsia"/>
          <w:color w:val="auto"/>
          <w:lang w:val="en-US" w:eastAsia="zh-CN"/>
        </w:rPr>
      </w:pPr>
      <w:bookmarkStart w:id="126" w:name="_Toc316891170"/>
      <w:bookmarkStart w:id="127" w:name="_Toc2044338961"/>
      <w:bookmarkStart w:id="128" w:name="_Toc2040450573"/>
      <w:bookmarkStart w:id="129" w:name="_Toc298314936"/>
      <w:bookmarkStart w:id="130" w:name="_Toc1035053940"/>
      <w:bookmarkStart w:id="131" w:name="_Toc955109114"/>
      <w:bookmarkStart w:id="132" w:name="_Toc200796625"/>
      <w:bookmarkStart w:id="133" w:name="_Toc538696904"/>
      <w:bookmarkStart w:id="134" w:name="_Toc2042991532"/>
      <w:bookmarkStart w:id="135" w:name="_Toc652317455"/>
      <w:bookmarkStart w:id="136" w:name="_Toc1319397749"/>
      <w:bookmarkStart w:id="137" w:name="_Toc1864600473"/>
      <w:bookmarkStart w:id="138" w:name="_Toc1333680161"/>
      <w:r>
        <w:rPr>
          <w:rFonts w:hint="eastAsia"/>
          <w:color w:val="auto"/>
          <w:lang w:val="en-US" w:eastAsia="zh-CN"/>
        </w:rPr>
        <w:t>一、基督教仁爱观念的本源阐释与跨文化研究</w:t>
      </w:r>
      <w:bookmarkEnd w:id="126"/>
      <w:bookmarkEnd w:id="127"/>
      <w:bookmarkEnd w:id="128"/>
      <w:bookmarkEnd w:id="129"/>
      <w:bookmarkEnd w:id="130"/>
      <w:bookmarkEnd w:id="131"/>
      <w:bookmarkEnd w:id="132"/>
      <w:bookmarkEnd w:id="133"/>
      <w:bookmarkEnd w:id="134"/>
      <w:bookmarkEnd w:id="135"/>
      <w:bookmarkEnd w:id="136"/>
      <w:bookmarkEnd w:id="137"/>
      <w:bookmarkEnd w:id="138"/>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基督教仁爱观念的本源研究集中在对希腊语汇</w:t>
      </w:r>
      <w:r>
        <w:rPr>
          <w:rFonts w:hint="default" w:ascii="Times New Roman Regular" w:hAnsi="Times New Roman Regular" w:eastAsia="宋体" w:cs="Times New Roman Regular"/>
          <w:color w:val="auto"/>
          <w:sz w:val="24"/>
          <w:szCs w:val="24"/>
          <w:lang w:val="en-US" w:eastAsia="zh-CN"/>
        </w:rPr>
        <w:t>Agape（ἀγάπη）</w:t>
      </w:r>
      <w:r>
        <w:rPr>
          <w:rFonts w:hint="eastAsia" w:ascii="宋体" w:hAnsi="宋体" w:eastAsia="宋体" w:cs="宋体"/>
          <w:color w:val="auto"/>
          <w:sz w:val="24"/>
          <w:szCs w:val="24"/>
          <w:lang w:val="en-US" w:eastAsia="zh-CN"/>
        </w:rPr>
        <w:t>的神学阐释。</w:t>
      </w:r>
      <w:r>
        <w:rPr>
          <w:rFonts w:hint="default" w:ascii="Times New Roman" w:hAnsi="Times New Roman" w:eastAsia="宋体" w:cs="Times New Roman"/>
          <w:color w:val="auto"/>
          <w:sz w:val="24"/>
          <w:szCs w:val="24"/>
          <w:lang w:val="en-US" w:eastAsia="zh-CN"/>
        </w:rPr>
        <w:t>Anders Nygren</w:t>
      </w:r>
      <w:r>
        <w:rPr>
          <w:rFonts w:hint="eastAsia" w:ascii="宋体" w:hAnsi="宋体" w:eastAsia="宋体" w:cs="宋体"/>
          <w:color w:val="auto"/>
          <w:sz w:val="24"/>
          <w:szCs w:val="24"/>
          <w:lang w:val="en-US" w:eastAsia="zh-CN"/>
        </w:rPr>
        <w:t>在经典著作《圣爱与欲爱》中严格区分了</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Eros：Agape</w:t>
      </w:r>
      <w:r>
        <w:rPr>
          <w:rFonts w:hint="eastAsia" w:ascii="宋体" w:hAnsi="宋体" w:eastAsia="宋体" w:cs="宋体"/>
          <w:color w:val="auto"/>
          <w:sz w:val="24"/>
          <w:szCs w:val="24"/>
          <w:lang w:val="en-US" w:eastAsia="zh-CN"/>
        </w:rPr>
        <w:t>是“自上而下的赐予”，以上帝为唯一主体，具有无条件性和神圣性；</w:t>
      </w:r>
      <w:r>
        <w:rPr>
          <w:rFonts w:hint="default" w:ascii="Times New Roman" w:hAnsi="Times New Roman" w:eastAsia="宋体" w:cs="Times New Roman"/>
          <w:color w:val="auto"/>
          <w:sz w:val="24"/>
          <w:szCs w:val="24"/>
          <w:lang w:val="en-US" w:eastAsia="zh-CN"/>
        </w:rPr>
        <w:t>Eros</w:t>
      </w:r>
      <w:r>
        <w:rPr>
          <w:rFonts w:hint="eastAsia" w:ascii="宋体" w:hAnsi="宋体" w:eastAsia="宋体" w:cs="宋体"/>
          <w:color w:val="auto"/>
          <w:sz w:val="24"/>
          <w:szCs w:val="24"/>
          <w:lang w:val="en-US" w:eastAsia="zh-CN"/>
        </w:rPr>
        <w:t>则是“自下而上的追求”，以人的需要为驱动力，具有条件性和世俗性。</w:t>
      </w:r>
      <w:r>
        <w:rPr>
          <w:rStyle w:val="29"/>
          <w:rFonts w:hint="eastAsia" w:ascii="宋体" w:hAnsi="宋体" w:eastAsia="宋体" w:cs="宋体"/>
          <w:color w:val="auto"/>
          <w:sz w:val="24"/>
          <w:szCs w:val="24"/>
          <w:lang w:val="en-US" w:eastAsia="zh-CN"/>
        </w:rPr>
        <w:footnoteReference w:id="9"/>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Thomas Aquinas</w:t>
      </w:r>
      <w:r>
        <w:rPr>
          <w:rFonts w:hint="eastAsia" w:ascii="宋体" w:hAnsi="宋体" w:eastAsia="宋体" w:cs="宋体"/>
          <w:color w:val="auto"/>
          <w:sz w:val="24"/>
          <w:szCs w:val="24"/>
          <w:lang w:val="en-US" w:eastAsia="zh-CN"/>
        </w:rPr>
        <w:t>在《神学大全》第二集第二部分将“爱德”</w:t>
      </w:r>
      <w:r>
        <w:rPr>
          <w:rFonts w:hint="default" w:ascii="Times New Roman" w:hAnsi="Times New Roman" w:eastAsia="宋体" w:cs="Times New Roman"/>
          <w:color w:val="auto"/>
          <w:sz w:val="24"/>
          <w:szCs w:val="24"/>
          <w:lang w:val="en-US" w:eastAsia="zh-CN"/>
        </w:rPr>
        <w:t>（Charity）</w:t>
      </w:r>
      <w:r>
        <w:rPr>
          <w:rFonts w:hint="eastAsia" w:ascii="宋体" w:hAnsi="宋体" w:eastAsia="宋体" w:cs="宋体"/>
          <w:color w:val="auto"/>
          <w:sz w:val="24"/>
          <w:szCs w:val="24"/>
          <w:lang w:val="en-US" w:eastAsia="zh-CN"/>
        </w:rPr>
        <w:t>视为神学德性之首，论证其对象首先是上帝，其次是邻人，构建了“爱神—爱人”的双重维度。</w:t>
      </w:r>
      <w:r>
        <w:rPr>
          <w:rStyle w:val="29"/>
          <w:rFonts w:hint="eastAsia" w:ascii="宋体" w:hAnsi="宋体" w:eastAsia="宋体" w:cs="宋体"/>
          <w:color w:val="auto"/>
          <w:sz w:val="24"/>
          <w:szCs w:val="24"/>
          <w:lang w:val="en-US" w:eastAsia="zh-CN"/>
        </w:rPr>
        <w:footnoteReference w:id="10"/>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Pope Benedict XVI</w:t>
      </w:r>
      <w:r>
        <w:rPr>
          <w:rFonts w:hint="eastAsia" w:ascii="宋体" w:hAnsi="宋体" w:eastAsia="宋体" w:cs="宋体"/>
          <w:color w:val="auto"/>
          <w:sz w:val="24"/>
          <w:szCs w:val="24"/>
          <w:lang w:val="en-US" w:eastAsia="zh-CN"/>
        </w:rPr>
        <w:t>在2005年通谕《天主是爱》</w:t>
      </w:r>
      <w:r>
        <w:rPr>
          <w:rFonts w:hint="default" w:ascii="Times New Roman" w:hAnsi="Times New Roman" w:eastAsia="宋体" w:cs="Times New Roman"/>
          <w:color w:val="auto"/>
          <w:sz w:val="24"/>
          <w:szCs w:val="24"/>
          <w:lang w:val="en-US" w:eastAsia="zh-CN"/>
        </w:rPr>
        <w:t>（Deus Caritas Est）</w:t>
      </w:r>
      <w:r>
        <w:rPr>
          <w:rFonts w:hint="eastAsia" w:ascii="宋体" w:hAnsi="宋体" w:eastAsia="宋体" w:cs="宋体"/>
          <w:color w:val="auto"/>
          <w:sz w:val="24"/>
          <w:szCs w:val="24"/>
          <w:lang w:val="en-US" w:eastAsia="zh-CN"/>
        </w:rPr>
        <w:t>中重新阐释了基督教之爱的公共维度，强调爱不仅是个人情感，更是教会作为社会组织的社会责任。</w:t>
      </w:r>
      <w:r>
        <w:rPr>
          <w:rStyle w:val="29"/>
          <w:rFonts w:hint="eastAsia" w:ascii="宋体" w:hAnsi="宋体" w:eastAsia="宋体" w:cs="宋体"/>
          <w:color w:val="auto"/>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在跨文化研究方面，杜维明指出儒家之“仁”是“内在超越”的道德本体，与基督教“外在超越”的</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在存在论层面不可通约，但在“推己及人”的实践智慧上可以对话。</w:t>
      </w:r>
      <w:r>
        <w:rPr>
          <w:rStyle w:val="29"/>
          <w:rFonts w:hint="eastAsia" w:ascii="宋体" w:hAnsi="宋体" w:eastAsia="宋体" w:cs="宋体"/>
          <w:color w:val="auto"/>
          <w:sz w:val="24"/>
          <w:szCs w:val="24"/>
          <w:lang w:val="en-US" w:eastAsia="zh-CN"/>
        </w:rPr>
        <w:footnoteReference w:id="12"/>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Roger Ames</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Henry Rosemont Jr.</w:t>
      </w:r>
      <w:r>
        <w:rPr>
          <w:rFonts w:hint="eastAsia" w:ascii="宋体" w:hAnsi="宋体" w:eastAsia="宋体" w:cs="宋体"/>
          <w:color w:val="auto"/>
          <w:sz w:val="24"/>
          <w:szCs w:val="24"/>
          <w:lang w:val="en-US" w:eastAsia="zh-CN"/>
        </w:rPr>
        <w:t>在《论语》哲学译本中强调，儒家“仁”并非静态德性，而是“关系性构成”</w:t>
      </w:r>
      <w:r>
        <w:rPr>
          <w:rFonts w:hint="default" w:ascii="Times New Roman" w:hAnsi="Times New Roman" w:eastAsia="宋体" w:cs="Times New Roman"/>
          <w:color w:val="auto"/>
          <w:sz w:val="24"/>
          <w:szCs w:val="24"/>
          <w:lang w:val="en-US" w:eastAsia="zh-CN"/>
        </w:rPr>
        <w:t>（relational constitution）</w:t>
      </w:r>
      <w:r>
        <w:rPr>
          <w:rFonts w:hint="eastAsia" w:ascii="宋体" w:hAnsi="宋体" w:eastAsia="宋体" w:cs="宋体"/>
          <w:color w:val="auto"/>
          <w:sz w:val="24"/>
          <w:szCs w:val="24"/>
          <w:lang w:val="en-US" w:eastAsia="zh-CN"/>
        </w:rPr>
        <w:t>的动态过程，这与基督教</w:t>
      </w:r>
      <w:r>
        <w:rPr>
          <w:rFonts w:hint="default" w:ascii="Times New Roman" w:hAnsi="Times New Roman" w:eastAsia="宋体" w:cs="Times New Roman"/>
          <w:color w:val="auto"/>
          <w:sz w:val="24"/>
          <w:szCs w:val="24"/>
          <w:lang w:val="en-US" w:eastAsia="zh-CN"/>
        </w:rPr>
        <w:t>Agape</w:t>
      </w:r>
      <w:r>
        <w:rPr>
          <w:rFonts w:hint="eastAsia" w:ascii="宋体" w:hAnsi="宋体" w:eastAsia="宋体" w:cs="宋体"/>
          <w:color w:val="auto"/>
          <w:sz w:val="24"/>
          <w:szCs w:val="24"/>
          <w:lang w:val="en-US" w:eastAsia="zh-CN"/>
        </w:rPr>
        <w:t>作为“关系性事件”</w:t>
      </w:r>
      <w:r>
        <w:rPr>
          <w:rFonts w:hint="default" w:ascii="Times New Roman" w:hAnsi="Times New Roman" w:eastAsia="宋体" w:cs="Times New Roman"/>
          <w:color w:val="auto"/>
          <w:sz w:val="24"/>
          <w:szCs w:val="24"/>
          <w:lang w:val="en-US" w:eastAsia="zh-CN"/>
        </w:rPr>
        <w:t>（relational event）</w:t>
      </w:r>
      <w:r>
        <w:rPr>
          <w:rFonts w:hint="eastAsia" w:ascii="宋体" w:hAnsi="宋体" w:eastAsia="宋体" w:cs="宋体"/>
          <w:color w:val="auto"/>
          <w:sz w:val="24"/>
          <w:szCs w:val="24"/>
          <w:lang w:val="en-US" w:eastAsia="zh-CN"/>
        </w:rPr>
        <w:t>具有结构相似性。</w:t>
      </w:r>
      <w:r>
        <w:rPr>
          <w:rStyle w:val="29"/>
          <w:rFonts w:hint="eastAsia" w:ascii="宋体" w:hAnsi="宋体" w:eastAsia="宋体" w:cs="宋体"/>
          <w:color w:val="auto"/>
          <w:sz w:val="24"/>
          <w:szCs w:val="24"/>
          <w:lang w:val="en-US" w:eastAsia="zh-CN"/>
        </w:rPr>
        <w:footnoteReference w:id="13"/>
      </w:r>
      <w:r>
        <w:rPr>
          <w:rFonts w:hint="default" w:ascii="Times New Roman" w:hAnsi="Times New Roman" w:eastAsia="宋体" w:cs="Times New Roman"/>
          <w:color w:val="auto"/>
          <w:sz w:val="24"/>
          <w:szCs w:val="24"/>
          <w:lang w:val="en-US" w:eastAsia="zh-CN"/>
        </w:rPr>
        <w:t xml:space="preserve"> Hans Küng</w:t>
      </w:r>
      <w:r>
        <w:rPr>
          <w:rFonts w:hint="eastAsia" w:ascii="宋体" w:hAnsi="宋体" w:eastAsia="宋体" w:cs="宋体"/>
          <w:color w:val="auto"/>
          <w:sz w:val="24"/>
          <w:szCs w:val="24"/>
          <w:lang w:val="en-US" w:eastAsia="zh-CN"/>
        </w:rPr>
        <w:t>与</w:t>
      </w:r>
      <w:r>
        <w:rPr>
          <w:rFonts w:hint="default" w:ascii="Times New Roman" w:hAnsi="Times New Roman" w:eastAsia="宋体" w:cs="Times New Roman"/>
          <w:color w:val="auto"/>
          <w:sz w:val="24"/>
          <w:szCs w:val="24"/>
          <w:lang w:val="en-US" w:eastAsia="zh-CN"/>
        </w:rPr>
        <w:t>Julia Ching</w:t>
      </w:r>
      <w:r>
        <w:rPr>
          <w:rFonts w:hint="eastAsia" w:ascii="宋体" w:hAnsi="宋体" w:eastAsia="宋体" w:cs="宋体"/>
          <w:color w:val="auto"/>
          <w:sz w:val="24"/>
          <w:szCs w:val="24"/>
          <w:lang w:val="en-US" w:eastAsia="zh-CN"/>
        </w:rPr>
        <w:t>在《基督教与中国宗教》中系统比较了耶儒对话的可能性与限度，指出二者在“金规则”</w:t>
      </w:r>
      <w:r>
        <w:rPr>
          <w:rFonts w:hint="default" w:ascii="Times New Roman" w:hAnsi="Times New Roman" w:eastAsia="宋体" w:cs="Times New Roman"/>
          <w:color w:val="auto"/>
          <w:sz w:val="24"/>
          <w:szCs w:val="24"/>
          <w:lang w:val="en-US" w:eastAsia="zh-CN"/>
        </w:rPr>
        <w:t>（Golden Rule）</w:t>
      </w:r>
      <w:r>
        <w:rPr>
          <w:rFonts w:hint="eastAsia" w:ascii="宋体" w:hAnsi="宋体" w:eastAsia="宋体" w:cs="宋体"/>
          <w:color w:val="auto"/>
          <w:sz w:val="24"/>
          <w:szCs w:val="24"/>
          <w:lang w:val="en-US" w:eastAsia="zh-CN"/>
        </w:rPr>
        <w:t>上存在实践伦理的交叠。</w:t>
      </w:r>
      <w:r>
        <w:rPr>
          <w:rStyle w:val="29"/>
          <w:rFonts w:hint="eastAsia" w:ascii="宋体" w:hAnsi="宋体" w:eastAsia="宋体" w:cs="宋体"/>
          <w:color w:val="auto"/>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color w:val="auto"/>
          <w:sz w:val="24"/>
          <w:szCs w:val="24"/>
          <w:lang w:val="en-US" w:eastAsia="zh-CN"/>
        </w:rPr>
        <w:footnoteReference w:id="15"/>
      </w:r>
      <w:r>
        <w:rPr>
          <w:rFonts w:hint="eastAsia" w:ascii="宋体" w:hAnsi="宋体" w:eastAsia="宋体" w:cs="宋体"/>
          <w:color w:val="auto"/>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color w:val="auto"/>
          <w:sz w:val="24"/>
          <w:szCs w:val="24"/>
          <w:lang w:val="en-US" w:eastAsia="zh-CN"/>
        </w:rPr>
        <w:footnoteReference w:id="16"/>
      </w:r>
      <w:r>
        <w:rPr>
          <w:rFonts w:hint="eastAsia" w:ascii="宋体" w:hAnsi="宋体" w:eastAsia="宋体" w:cs="宋体"/>
          <w:color w:val="auto"/>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color w:val="auto"/>
          <w:sz w:val="24"/>
          <w:szCs w:val="24"/>
          <w:lang w:val="en-US" w:eastAsia="zh-CN"/>
        </w:rPr>
        <w:footnoteReference w:id="17"/>
      </w:r>
    </w:p>
    <w:p w14:paraId="2BD903D7">
      <w:pPr>
        <w:pStyle w:val="4"/>
        <w:bidi w:val="0"/>
        <w:rPr>
          <w:rFonts w:hint="eastAsia"/>
          <w:color w:val="auto"/>
          <w:lang w:val="en-US" w:eastAsia="zh-CN"/>
        </w:rPr>
      </w:pPr>
      <w:bookmarkStart w:id="139" w:name="_Toc1534028880"/>
      <w:bookmarkStart w:id="140" w:name="_Toc1092066938"/>
      <w:bookmarkStart w:id="141" w:name="_Toc230449630"/>
      <w:bookmarkStart w:id="142" w:name="_Toc442646441"/>
      <w:bookmarkStart w:id="143" w:name="_Toc111289040"/>
      <w:bookmarkStart w:id="144" w:name="_Toc686421468"/>
      <w:bookmarkStart w:id="145" w:name="_Toc201828521"/>
      <w:bookmarkStart w:id="146" w:name="_Toc78617673"/>
      <w:bookmarkStart w:id="147" w:name="_Toc595448250"/>
      <w:bookmarkStart w:id="148" w:name="_Toc1552297254"/>
      <w:bookmarkStart w:id="149" w:name="_Toc87809776"/>
      <w:bookmarkStart w:id="150" w:name="_Toc1614049174"/>
      <w:bookmarkStart w:id="151" w:name="_Toc1875642188"/>
      <w:r>
        <w:rPr>
          <w:rFonts w:hint="eastAsia"/>
          <w:color w:val="auto"/>
          <w:lang w:val="en-US" w:eastAsia="zh-CN"/>
        </w:rPr>
        <w:t>二、研究宗教价值与主流社会价值融合的国际比较</w:t>
      </w:r>
      <w:bookmarkEnd w:id="139"/>
      <w:bookmarkEnd w:id="140"/>
      <w:bookmarkEnd w:id="141"/>
      <w:bookmarkEnd w:id="142"/>
      <w:bookmarkEnd w:id="143"/>
      <w:bookmarkEnd w:id="144"/>
      <w:bookmarkEnd w:id="145"/>
      <w:bookmarkEnd w:id="146"/>
      <w:bookmarkEnd w:id="147"/>
      <w:bookmarkEnd w:id="148"/>
      <w:bookmarkEnd w:id="149"/>
      <w:bookmarkEnd w:id="150"/>
      <w:bookmarkEnd w:id="151"/>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在比较研究方面，</w:t>
      </w:r>
      <w:r>
        <w:rPr>
          <w:rFonts w:hint="default" w:ascii="Times New Roman" w:hAnsi="Times New Roman" w:eastAsia="宋体" w:cs="Times New Roman"/>
          <w:color w:val="auto"/>
          <w:sz w:val="24"/>
          <w:szCs w:val="24"/>
        </w:rPr>
        <w:t>Casanova</w:t>
      </w:r>
      <w:r>
        <w:rPr>
          <w:rFonts w:hint="eastAsia" w:ascii="宋体" w:hAnsi="宋体" w:eastAsia="宋体" w:cs="宋体"/>
          <w:color w:val="auto"/>
          <w:sz w:val="24"/>
          <w:szCs w:val="24"/>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理论提供了宏观视角。他认为，宗教在现代社会中可以通过参与公共领域讨论、提供社会服务，成为公民社会的重要组成部分，而非必然退入私人领域。</w:t>
      </w:r>
      <w:r>
        <w:rPr>
          <w:rFonts w:hint="default" w:ascii="Times New Roman" w:hAnsi="Times New Roman" w:eastAsia="宋体" w:cs="Times New Roman"/>
          <w:color w:val="auto"/>
          <w:sz w:val="24"/>
          <w:szCs w:val="24"/>
        </w:rPr>
        <w:t>Bellah</w:t>
      </w:r>
      <w:r>
        <w:rPr>
          <w:rFonts w:hint="eastAsia" w:ascii="宋体" w:hAnsi="宋体" w:eastAsia="宋体" w:cs="宋体"/>
          <w:color w:val="auto"/>
          <w:sz w:val="24"/>
          <w:szCs w:val="24"/>
        </w:rPr>
        <w:t>对美国基督教伦理与公民文化融合机制的分析，以及</w:t>
      </w:r>
      <w:r>
        <w:rPr>
          <w:rFonts w:hint="default" w:ascii="Times New Roman" w:hAnsi="Times New Roman" w:eastAsia="宋体" w:cs="Times New Roman"/>
          <w:color w:val="auto"/>
          <w:sz w:val="24"/>
          <w:szCs w:val="24"/>
        </w:rPr>
        <w:t>Troeltsch</w:t>
      </w:r>
      <w:r>
        <w:rPr>
          <w:rFonts w:hint="eastAsia" w:ascii="宋体" w:hAnsi="宋体" w:eastAsia="宋体" w:cs="宋体"/>
          <w:color w:val="auto"/>
          <w:sz w:val="24"/>
          <w:szCs w:val="24"/>
        </w:rPr>
        <w:t>对基督教社会存在形态的类型学划分，都揭示了宗教伦理与社会主流价值之间的功能性融合可能。</w:t>
      </w:r>
      <w:r>
        <w:rPr>
          <w:rFonts w:hint="default" w:ascii="Times New Roman" w:hAnsi="Times New Roman" w:eastAsia="宋体" w:cs="Times New Roman"/>
          <w:color w:val="auto"/>
          <w:sz w:val="24"/>
          <w:szCs w:val="24"/>
        </w:rPr>
        <w:t>Weber</w:t>
      </w:r>
      <w:r>
        <w:rPr>
          <w:rFonts w:hint="eastAsia" w:ascii="宋体" w:hAnsi="宋体" w:eastAsia="宋体" w:cs="宋体"/>
          <w:color w:val="auto"/>
          <w:sz w:val="24"/>
          <w:szCs w:val="24"/>
        </w:rPr>
        <w:t>关于宗教伦理可以通过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非意图后果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与社会主流价值实现功能整合的方法论，对理解基督教仁爱实践与核心价值观的关系具有启发意义。</w:t>
      </w:r>
      <w:r>
        <w:rPr>
          <w:rStyle w:val="29"/>
          <w:rFonts w:hint="eastAsia" w:ascii="宋体" w:hAnsi="宋体" w:eastAsia="宋体" w:cs="宋体"/>
          <w:color w:val="auto"/>
          <w:sz w:val="24"/>
          <w:szCs w:val="24"/>
        </w:rPr>
        <w:footnoteReference w:id="18"/>
      </w:r>
      <w:r>
        <w:rPr>
          <w:rStyle w:val="29"/>
          <w:rFonts w:hint="eastAsia" w:ascii="宋体" w:hAnsi="宋体" w:eastAsia="宋体" w:cs="宋体"/>
          <w:color w:val="auto"/>
          <w:sz w:val="24"/>
          <w:szCs w:val="24"/>
        </w:rPr>
        <w:footnoteReference w:id="19"/>
      </w:r>
      <w:r>
        <w:rPr>
          <w:rStyle w:val="29"/>
          <w:rFonts w:hint="eastAsia" w:ascii="宋体" w:hAnsi="宋体" w:eastAsia="宋体" w:cs="宋体"/>
          <w:color w:val="auto"/>
          <w:sz w:val="24"/>
          <w:szCs w:val="24"/>
        </w:rPr>
        <w:footnoteReference w:id="20"/>
      </w:r>
      <w:r>
        <w:rPr>
          <w:rStyle w:val="29"/>
          <w:rFonts w:hint="eastAsia" w:ascii="宋体" w:hAnsi="宋体" w:eastAsia="宋体" w:cs="宋体"/>
          <w:color w:val="auto"/>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default" w:ascii="Times New Roman" w:hAnsi="Times New Roman" w:eastAsia="宋体" w:cs="Times New Roman"/>
          <w:color w:val="auto"/>
          <w:sz w:val="24"/>
          <w:szCs w:val="24"/>
          <w:lang w:val="en-US" w:eastAsia="zh-CN"/>
        </w:rPr>
        <w:t>Ernst Troeltsch</w:t>
      </w:r>
      <w:r>
        <w:rPr>
          <w:rFonts w:hint="eastAsia" w:ascii="宋体" w:hAnsi="宋体" w:eastAsia="宋体" w:cs="宋体"/>
          <w:color w:val="auto"/>
          <w:sz w:val="24"/>
          <w:szCs w:val="24"/>
          <w:lang w:val="en-US" w:eastAsia="zh-CN"/>
        </w:rPr>
        <w:t>在《基督教社会教导》中区分了“教会”</w:t>
      </w:r>
      <w:r>
        <w:rPr>
          <w:rFonts w:hint="default" w:ascii="Times New Roman" w:hAnsi="Times New Roman" w:eastAsia="宋体" w:cs="Times New Roman"/>
          <w:color w:val="auto"/>
          <w:sz w:val="24"/>
          <w:szCs w:val="24"/>
          <w:lang w:val="en-US" w:eastAsia="zh-CN"/>
        </w:rPr>
        <w:t>（Church）</w:t>
      </w:r>
      <w:r>
        <w:rPr>
          <w:rFonts w:hint="eastAsia" w:ascii="宋体" w:hAnsi="宋体" w:eastAsia="宋体" w:cs="宋体"/>
          <w:color w:val="auto"/>
          <w:sz w:val="24"/>
          <w:szCs w:val="24"/>
          <w:lang w:val="en-US" w:eastAsia="zh-CN"/>
        </w:rPr>
        <w:t>、“宗派”</w:t>
      </w:r>
      <w:r>
        <w:rPr>
          <w:rFonts w:hint="default" w:ascii="Times New Roman" w:hAnsi="Times New Roman" w:eastAsia="宋体" w:cs="Times New Roman"/>
          <w:color w:val="auto"/>
          <w:sz w:val="24"/>
          <w:szCs w:val="24"/>
          <w:lang w:val="en-US" w:eastAsia="zh-CN"/>
        </w:rPr>
        <w:t>（Sect）</w:t>
      </w:r>
      <w:r>
        <w:rPr>
          <w:rFonts w:hint="eastAsia" w:ascii="宋体" w:hAnsi="宋体" w:eastAsia="宋体" w:cs="宋体"/>
          <w:color w:val="auto"/>
          <w:sz w:val="24"/>
          <w:szCs w:val="24"/>
          <w:lang w:val="en-US" w:eastAsia="zh-CN"/>
        </w:rPr>
        <w:t>与“神秘主义”</w:t>
      </w:r>
      <w:r>
        <w:rPr>
          <w:rFonts w:hint="default" w:ascii="Times New Roman" w:hAnsi="Times New Roman" w:eastAsia="宋体" w:cs="Times New Roman"/>
          <w:color w:val="auto"/>
          <w:sz w:val="24"/>
          <w:szCs w:val="24"/>
          <w:lang w:val="en-US" w:eastAsia="zh-CN"/>
        </w:rPr>
        <w:t>（Mysticism）</w:t>
      </w:r>
      <w:r>
        <w:rPr>
          <w:rFonts w:hint="eastAsia" w:ascii="宋体" w:hAnsi="宋体" w:eastAsia="宋体" w:cs="宋体"/>
          <w:color w:val="auto"/>
          <w:sz w:val="24"/>
          <w:szCs w:val="24"/>
          <w:lang w:val="en-US" w:eastAsia="zh-CN"/>
        </w:rPr>
        <w:t>三种基督教社会存在形态，指出不同形态与社会主流价值的融合方式存在显著差异。</w:t>
      </w:r>
      <w:r>
        <w:rPr>
          <w:rStyle w:val="29"/>
          <w:rFonts w:hint="eastAsia" w:ascii="宋体" w:hAnsi="宋体" w:eastAsia="宋体" w:cs="宋体"/>
          <w:color w:val="auto"/>
          <w:sz w:val="24"/>
          <w:szCs w:val="24"/>
          <w:lang w:val="en-US" w:eastAsia="zh-CN"/>
        </w:rPr>
        <w:footnoteReference w:id="22"/>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Max Weber</w:t>
      </w:r>
      <w:r>
        <w:rPr>
          <w:rFonts w:hint="eastAsia" w:ascii="宋体" w:hAnsi="宋体" w:eastAsia="宋体" w:cs="宋体"/>
          <w:color w:val="auto"/>
          <w:sz w:val="24"/>
          <w:szCs w:val="24"/>
          <w:lang w:val="en-US" w:eastAsia="zh-CN"/>
        </w:rPr>
        <w:t>在《新教伦理与资本主义精神》中虽然主要讨论经济伦理，但其方法论启示在于：宗教伦理可以通过</w:t>
      </w:r>
      <w:r>
        <w:rPr>
          <w:rFonts w:hint="default" w:ascii="Times New Roman" w:hAnsi="Times New Roman" w:eastAsia="宋体" w:cs="Times New Roman"/>
          <w:color w:val="auto"/>
          <w:sz w:val="24"/>
          <w:szCs w:val="24"/>
          <w:lang w:val="en-US" w:eastAsia="zh-CN"/>
        </w:rPr>
        <w:t>“unintentional consequences”</w:t>
      </w:r>
      <w:r>
        <w:rPr>
          <w:rFonts w:hint="eastAsia" w:ascii="宋体" w:hAnsi="宋体" w:eastAsia="宋体" w:cs="宋体"/>
          <w:color w:val="auto"/>
          <w:sz w:val="24"/>
          <w:szCs w:val="24"/>
          <w:lang w:val="en-US" w:eastAsia="zh-CN"/>
        </w:rPr>
        <w:t>（非意图后果）与社会主流价值实现功能性融合。</w:t>
      </w:r>
      <w:r>
        <w:rPr>
          <w:rStyle w:val="29"/>
          <w:rFonts w:hint="eastAsia" w:ascii="宋体" w:hAnsi="宋体" w:eastAsia="宋体" w:cs="宋体"/>
          <w:color w:val="auto"/>
          <w:sz w:val="24"/>
          <w:szCs w:val="24"/>
          <w:lang w:val="en-US" w:eastAsia="zh-CN"/>
        </w:rPr>
        <w:footnoteReference w:id="23"/>
      </w:r>
      <w:r>
        <w:rPr>
          <w:rFonts w:hint="eastAsia" w:ascii="宋体" w:hAnsi="宋体" w:eastAsia="宋体" w:cs="宋体"/>
          <w:color w:val="auto"/>
          <w:sz w:val="24"/>
          <w:szCs w:val="24"/>
          <w:lang w:val="en-US" w:eastAsia="zh-CN"/>
        </w:rPr>
        <w:t xml:space="preserve"> </w:t>
      </w:r>
      <w:r>
        <w:rPr>
          <w:rFonts w:hint="default" w:ascii="Times New Roman" w:hAnsi="Times New Roman" w:eastAsia="宋体" w:cs="Times New Roman"/>
          <w:color w:val="auto"/>
          <w:sz w:val="24"/>
          <w:szCs w:val="24"/>
          <w:lang w:val="en-US" w:eastAsia="zh-CN"/>
        </w:rPr>
        <w:t>H. Richard Niebuhr</w:t>
      </w:r>
      <w:r>
        <w:rPr>
          <w:rFonts w:hint="eastAsia" w:ascii="宋体" w:hAnsi="宋体" w:eastAsia="宋体" w:cs="宋体"/>
          <w:color w:val="auto"/>
          <w:sz w:val="24"/>
          <w:szCs w:val="24"/>
          <w:lang w:val="en-US" w:eastAsia="zh-CN"/>
        </w:rPr>
        <w:t>在《基督与文化》中提出五种“基督与文化”关系模式（对抗、认同、超越、二元论、转化），为理解基督教与社会主义社会的关系提供了类型学工具。</w:t>
      </w:r>
      <w:r>
        <w:rPr>
          <w:rStyle w:val="29"/>
          <w:rFonts w:hint="eastAsia" w:ascii="宋体" w:hAnsi="宋体" w:eastAsia="宋体" w:cs="宋体"/>
          <w:color w:val="auto"/>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在处境化诠释方面，</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rPr>
        <w:t>提出的多种理论模型为基督教教义的本土化提供了方法论参照，而</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关于本土神学需在本地文化经验中重新发现福音意义的观点，则为当代基督教中国化研究提供了重要的理论启示。</w:t>
      </w:r>
      <w:r>
        <w:rPr>
          <w:rStyle w:val="29"/>
          <w:rFonts w:hint="eastAsia" w:ascii="宋体" w:hAnsi="宋体" w:eastAsia="宋体" w:cs="宋体"/>
          <w:color w:val="auto"/>
          <w:sz w:val="24"/>
          <w:szCs w:val="24"/>
        </w:rPr>
        <w:footnoteReference w:id="25"/>
      </w:r>
      <w:r>
        <w:rPr>
          <w:rStyle w:val="29"/>
          <w:rFonts w:hint="eastAsia" w:ascii="宋体" w:hAnsi="宋体" w:eastAsia="宋体" w:cs="宋体"/>
          <w:color w:val="auto"/>
          <w:sz w:val="24"/>
          <w:szCs w:val="24"/>
        </w:rPr>
        <w:footnoteReference w:id="26"/>
      </w:r>
    </w:p>
    <w:p w14:paraId="6BEA0713">
      <w:pPr>
        <w:pStyle w:val="4"/>
        <w:bidi w:val="0"/>
        <w:rPr>
          <w:rFonts w:hint="eastAsia"/>
          <w:color w:val="auto"/>
          <w:lang w:val="en-US" w:eastAsia="zh-CN"/>
        </w:rPr>
      </w:pPr>
      <w:bookmarkStart w:id="152" w:name="_Toc624787206"/>
      <w:bookmarkStart w:id="153" w:name="_Toc1973779704"/>
      <w:bookmarkStart w:id="154" w:name="_Toc403460992"/>
      <w:bookmarkStart w:id="155" w:name="_Toc1253915869"/>
      <w:bookmarkStart w:id="156" w:name="_Toc311038514"/>
      <w:bookmarkStart w:id="157" w:name="_Toc1882203925"/>
      <w:bookmarkStart w:id="158" w:name="_Toc497639743"/>
      <w:bookmarkStart w:id="159" w:name="_Toc1255273834"/>
      <w:bookmarkStart w:id="160" w:name="_Toc675380679"/>
      <w:bookmarkStart w:id="161" w:name="_Toc424942730"/>
      <w:bookmarkStart w:id="162" w:name="_Toc2124122390"/>
      <w:bookmarkStart w:id="163" w:name="_Toc1828604222"/>
      <w:bookmarkStart w:id="164" w:name="_Toc1005799403"/>
      <w:r>
        <w:rPr>
          <w:rFonts w:hint="eastAsia"/>
          <w:color w:val="auto"/>
          <w:lang w:val="en-US" w:eastAsia="zh-CN"/>
        </w:rPr>
        <w:t>三、比较宗教中国化与社会主义核心价值观引领的国内研究</w:t>
      </w:r>
      <w:bookmarkEnd w:id="152"/>
      <w:bookmarkEnd w:id="153"/>
      <w:bookmarkEnd w:id="154"/>
      <w:bookmarkEnd w:id="155"/>
      <w:bookmarkEnd w:id="156"/>
      <w:bookmarkEnd w:id="157"/>
      <w:bookmarkEnd w:id="158"/>
      <w:bookmarkEnd w:id="159"/>
      <w:bookmarkEnd w:id="160"/>
      <w:bookmarkEnd w:id="161"/>
      <w:bookmarkEnd w:id="162"/>
      <w:bookmarkEnd w:id="163"/>
      <w:bookmarkEnd w:id="16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国内关于宗教中国化的研究近年来呈现井喷态势。张志刚系统阐释了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宗教中国化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的学理内涵，指出其包含政治认同、社会适应、文化融合、文明互鉴四个维度。</w:t>
      </w:r>
      <w:r>
        <w:rPr>
          <w:rStyle w:val="29"/>
          <w:rFonts w:hint="eastAsia" w:ascii="宋体" w:hAnsi="宋体" w:eastAsia="宋体" w:cs="宋体"/>
          <w:color w:val="auto"/>
          <w:sz w:val="24"/>
          <w:szCs w:val="24"/>
        </w:rPr>
        <w:footnoteReference w:id="27"/>
      </w:r>
      <w:r>
        <w:rPr>
          <w:rFonts w:hint="eastAsia" w:ascii="宋体" w:hAnsi="宋体" w:eastAsia="宋体" w:cs="宋体"/>
          <w:color w:val="auto"/>
          <w:sz w:val="24"/>
          <w:szCs w:val="24"/>
        </w:rPr>
        <w:t xml:space="preserve"> 牟钟鉴从中华文化主体性出发，论证宗教中国化是宗教在中华大地上生存发展的必由之路。</w:t>
      </w:r>
      <w:r>
        <w:rPr>
          <w:rStyle w:val="29"/>
          <w:rFonts w:hint="eastAsia" w:ascii="宋体" w:hAnsi="宋体" w:eastAsia="宋体" w:cs="宋体"/>
          <w:color w:val="auto"/>
          <w:sz w:val="24"/>
          <w:szCs w:val="24"/>
        </w:rPr>
        <w:footnoteReference w:id="28"/>
      </w:r>
      <w:r>
        <w:rPr>
          <w:rFonts w:hint="eastAsia" w:ascii="宋体" w:hAnsi="宋体" w:eastAsia="宋体" w:cs="宋体"/>
          <w:color w:val="auto"/>
          <w:sz w:val="24"/>
          <w:szCs w:val="24"/>
        </w:rPr>
        <w:t xml:space="preserve"> 王作安从宗教工作实务角度，论述了宗教与社会主义社会相适应的理论基础与实践路径。</w:t>
      </w:r>
      <w:r>
        <w:rPr>
          <w:rStyle w:val="29"/>
          <w:rFonts w:hint="eastAsia" w:ascii="宋体" w:hAnsi="宋体" w:eastAsia="宋体" w:cs="宋体"/>
          <w:color w:val="auto"/>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color w:val="auto"/>
          <w:sz w:val="24"/>
          <w:szCs w:val="24"/>
        </w:rPr>
        <w:footnoteReference w:id="30"/>
      </w:r>
      <w:r>
        <w:rPr>
          <w:rFonts w:hint="eastAsia" w:ascii="宋体" w:hAnsi="宋体" w:eastAsia="宋体" w:cs="宋体"/>
          <w:color w:val="auto"/>
          <w:sz w:val="24"/>
          <w:szCs w:val="24"/>
        </w:rPr>
        <w:t xml:space="preserve"> 唐晓峰分析了改革开放以来基督教神学思想建设的成就与挑战。</w:t>
      </w:r>
      <w:r>
        <w:rPr>
          <w:rStyle w:val="29"/>
          <w:rFonts w:hint="eastAsia" w:ascii="宋体" w:hAnsi="宋体" w:eastAsia="宋体" w:cs="宋体"/>
          <w:color w:val="auto"/>
          <w:sz w:val="24"/>
          <w:szCs w:val="24"/>
        </w:rPr>
        <w:footnoteReference w:id="31"/>
      </w:r>
      <w:r>
        <w:rPr>
          <w:rFonts w:hint="eastAsia" w:ascii="宋体" w:hAnsi="宋体" w:eastAsia="宋体" w:cs="宋体"/>
          <w:color w:val="auto"/>
          <w:sz w:val="24"/>
          <w:szCs w:val="24"/>
        </w:rPr>
        <w:t xml:space="preserve"> 徐以骅从宗教与国际关系视角，讨论了基督教中国化在国际传播中的战略意义。</w:t>
      </w:r>
      <w:r>
        <w:rPr>
          <w:rStyle w:val="29"/>
          <w:rFonts w:hint="eastAsia" w:ascii="宋体" w:hAnsi="宋体" w:eastAsia="宋体" w:cs="宋体"/>
          <w:color w:val="auto"/>
          <w:sz w:val="24"/>
          <w:szCs w:val="24"/>
        </w:rPr>
        <w:footnoteReference w:id="32"/>
      </w:r>
      <w:r>
        <w:rPr>
          <w:rFonts w:hint="eastAsia" w:ascii="宋体" w:hAnsi="宋体" w:eastAsia="宋体" w:cs="宋体"/>
          <w:color w:val="auto"/>
          <w:sz w:val="24"/>
          <w:szCs w:val="24"/>
        </w:rPr>
        <w:t xml:space="preserve"> 游斌从圣经诠释学角度，探讨了基督教经典在汉语语境中的翻译与诠释问题。</w:t>
      </w:r>
      <w:r>
        <w:rPr>
          <w:rStyle w:val="29"/>
          <w:rFonts w:hint="eastAsia" w:ascii="宋体" w:hAnsi="宋体" w:eastAsia="宋体" w:cs="宋体"/>
          <w:color w:val="auto"/>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color w:val="auto"/>
          <w:sz w:val="24"/>
          <w:szCs w:val="24"/>
        </w:rPr>
        <w:footnoteReference w:id="34"/>
      </w:r>
      <w:r>
        <w:rPr>
          <w:rFonts w:hint="eastAsia" w:ascii="宋体" w:hAnsi="宋体" w:eastAsia="宋体" w:cs="宋体"/>
          <w:color w:val="auto"/>
          <w:sz w:val="24"/>
          <w:szCs w:val="24"/>
        </w:rPr>
        <w:t xml:space="preserve"> 李平晔从神学角度，探讨了基督教伦理与社会主义道德建设的对话空间。</w:t>
      </w:r>
      <w:r>
        <w:rPr>
          <w:rStyle w:val="29"/>
          <w:rFonts w:hint="eastAsia" w:ascii="宋体" w:hAnsi="宋体" w:eastAsia="宋体" w:cs="宋体"/>
          <w:color w:val="auto"/>
          <w:sz w:val="24"/>
          <w:szCs w:val="24"/>
        </w:rPr>
        <w:footnoteReference w:id="35"/>
      </w:r>
      <w:r>
        <w:rPr>
          <w:rFonts w:hint="eastAsia" w:ascii="宋体" w:hAnsi="宋体" w:eastAsia="宋体" w:cs="宋体"/>
          <w:color w:val="auto"/>
          <w:sz w:val="24"/>
          <w:szCs w:val="24"/>
        </w:rPr>
        <w:t xml:space="preserve"> 赵敦华从基督教哲学角度，分析了基督教伦理与中华传统美德的相通性。</w:t>
      </w:r>
      <w:r>
        <w:rPr>
          <w:rStyle w:val="29"/>
          <w:rFonts w:hint="eastAsia" w:ascii="宋体" w:hAnsi="宋体" w:eastAsia="宋体" w:cs="宋体"/>
          <w:color w:val="auto"/>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color w:val="auto"/>
        </w:rPr>
        <w:t>2023年发布的基督教中国化五年规划指出，基督教界需要以社会主义核心价值观作为指导方向，吸收中华优秀传统文化的精华，最终形成具有中国本土特色的神学理论体系。</w:t>
      </w:r>
      <w:r>
        <w:rPr>
          <w:rStyle w:val="29"/>
          <w:color w:val="auto"/>
        </w:rPr>
        <w:footnoteReference w:id="37"/>
      </w:r>
      <w:r>
        <w:rPr>
          <w:rFonts w:hint="eastAsia"/>
          <w:color w:val="auto"/>
          <w:lang w:val="en-US" w:eastAsia="zh-CN"/>
        </w:rPr>
        <w:t xml:space="preserve"> </w:t>
      </w:r>
      <w:r>
        <w:rPr>
          <w:color w:val="auto"/>
        </w:rPr>
        <w:t>2024年的年度工作要点进一步强调，核心价值观应当贯穿于神学思考、教会管理和信徒日常生活中。</w:t>
      </w:r>
      <w:r>
        <w:rPr>
          <w:rStyle w:val="29"/>
          <w:color w:val="auto"/>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color w:val="auto"/>
          <w:sz w:val="24"/>
          <w:szCs w:val="24"/>
        </w:rPr>
        <w:footnoteReference w:id="39"/>
      </w:r>
      <w:r>
        <w:rPr>
          <w:rFonts w:hint="eastAsia" w:ascii="宋体" w:hAnsi="宋体" w:eastAsia="宋体" w:cs="宋体"/>
          <w:color w:val="auto"/>
          <w:sz w:val="24"/>
          <w:szCs w:val="24"/>
        </w:rPr>
        <w:t xml:space="preserve"> 赵卫红探讨了将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教育融入基督教神学教育、推动基督教中国化走深走实的路径。</w:t>
      </w:r>
      <w:r>
        <w:rPr>
          <w:rStyle w:val="29"/>
          <w:rFonts w:hint="eastAsia" w:ascii="宋体" w:hAnsi="宋体" w:eastAsia="宋体" w:cs="宋体"/>
          <w:color w:val="auto"/>
          <w:sz w:val="24"/>
          <w:szCs w:val="24"/>
        </w:rPr>
        <w:footnoteReference w:id="40"/>
      </w:r>
      <w:r>
        <w:rPr>
          <w:rFonts w:hint="eastAsia" w:ascii="宋体" w:hAnsi="宋体" w:eastAsia="宋体" w:cs="宋体"/>
          <w:color w:val="auto"/>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color w:val="auto"/>
          <w:sz w:val="24"/>
          <w:szCs w:val="24"/>
        </w:rPr>
        <w:footnoteReference w:id="41"/>
      </w:r>
      <w:r>
        <w:rPr>
          <w:rFonts w:hint="eastAsia" w:ascii="宋体" w:hAnsi="宋体" w:eastAsia="宋体" w:cs="宋体"/>
          <w:color w:val="auto"/>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color w:val="auto"/>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color w:val="auto"/>
          <w:sz w:val="24"/>
          <w:szCs w:val="24"/>
        </w:rPr>
        <w:footnoteReference w:id="43"/>
      </w:r>
      <w:r>
        <w:rPr>
          <w:rFonts w:hint="eastAsia" w:ascii="宋体" w:hAnsi="宋体" w:eastAsia="宋体" w:cs="宋体"/>
          <w:color w:val="auto"/>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color w:val="auto"/>
          <w:sz w:val="24"/>
          <w:szCs w:val="24"/>
        </w:rPr>
        <w:footnoteReference w:id="44"/>
      </w:r>
      <w:r>
        <w:rPr>
          <w:rFonts w:hint="eastAsia" w:ascii="宋体" w:hAnsi="宋体" w:eastAsia="宋体" w:cs="宋体"/>
          <w:color w:val="auto"/>
          <w:sz w:val="24"/>
          <w:szCs w:val="24"/>
        </w:rPr>
        <w:t xml:space="preserve"> 陈金羽对</w:t>
      </w:r>
      <w:r>
        <w:rPr>
          <w:rFonts w:hint="default" w:ascii="Times New Roman" w:hAnsi="Times New Roman" w:eastAsia="宋体" w:cs="Times New Roman"/>
          <w:color w:val="auto"/>
          <w:sz w:val="24"/>
          <w:szCs w:val="24"/>
        </w:rPr>
        <w:t>Q</w:t>
      </w:r>
      <w:r>
        <w:rPr>
          <w:rFonts w:hint="eastAsia" w:ascii="宋体" w:hAnsi="宋体" w:eastAsia="宋体" w:cs="宋体"/>
          <w:color w:val="auto"/>
          <w:sz w:val="24"/>
          <w:szCs w:val="24"/>
        </w:rPr>
        <w:t>教会服务队与社会工作融合的研究，发现宗教标识的刻意展示会显著降低非信众的接受度。</w:t>
      </w:r>
      <w:r>
        <w:rPr>
          <w:rStyle w:val="29"/>
          <w:rFonts w:hint="eastAsia" w:ascii="宋体" w:hAnsi="宋体" w:eastAsia="宋体" w:cs="宋体"/>
          <w:color w:val="auto"/>
          <w:sz w:val="24"/>
          <w:szCs w:val="24"/>
        </w:rPr>
        <w:footnoteReference w:id="45"/>
      </w:r>
    </w:p>
    <w:p w14:paraId="436D186F">
      <w:pPr>
        <w:pStyle w:val="4"/>
        <w:bidi w:val="0"/>
        <w:rPr>
          <w:rFonts w:hint="eastAsia"/>
          <w:color w:val="auto"/>
          <w:lang w:val="en-US" w:eastAsia="zh-CN"/>
        </w:rPr>
      </w:pPr>
      <w:bookmarkStart w:id="165" w:name="_Toc1671997558"/>
      <w:bookmarkStart w:id="166" w:name="_Toc1135589919"/>
      <w:bookmarkStart w:id="167" w:name="_Toc1363018965"/>
      <w:bookmarkStart w:id="168" w:name="_Toc1529839183"/>
      <w:bookmarkStart w:id="169" w:name="_Toc712686937"/>
      <w:bookmarkStart w:id="170" w:name="_Toc1306982272"/>
      <w:bookmarkStart w:id="171" w:name="_Toc649108000"/>
      <w:bookmarkStart w:id="172" w:name="_Toc1629336835"/>
      <w:bookmarkStart w:id="173" w:name="_Toc1767247165"/>
      <w:bookmarkStart w:id="174" w:name="_Toc507979910"/>
      <w:bookmarkStart w:id="175" w:name="_Toc1751021059"/>
      <w:bookmarkStart w:id="176" w:name="_Toc356861002"/>
      <w:bookmarkStart w:id="177" w:name="_Toc1626780684"/>
      <w:r>
        <w:rPr>
          <w:rFonts w:hint="eastAsia"/>
          <w:color w:val="auto"/>
          <w:lang w:val="en-US" w:eastAsia="zh-CN"/>
        </w:rPr>
        <w:t>四、现有研究的贡献与不足</w:t>
      </w:r>
      <w:bookmarkEnd w:id="165"/>
      <w:bookmarkEnd w:id="166"/>
      <w:bookmarkEnd w:id="167"/>
      <w:bookmarkEnd w:id="168"/>
      <w:bookmarkEnd w:id="169"/>
      <w:bookmarkEnd w:id="170"/>
      <w:bookmarkEnd w:id="171"/>
      <w:bookmarkEnd w:id="172"/>
      <w:bookmarkEnd w:id="173"/>
      <w:bookmarkEnd w:id="174"/>
      <w:bookmarkEnd w:id="175"/>
      <w:bookmarkEnd w:id="176"/>
      <w:bookmarkEnd w:id="177"/>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本文正是针对上述研究缺口，在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38BD92EF">
      <w:pPr>
        <w:rPr>
          <w:rFonts w:hint="eastAsia"/>
          <w:color w:val="auto"/>
          <w:lang w:val="en-US" w:eastAsia="zh-CN"/>
        </w:rPr>
      </w:pPr>
      <w:bookmarkStart w:id="178" w:name="_Toc295040125"/>
      <w:bookmarkStart w:id="179" w:name="_Toc1613050840"/>
      <w:bookmarkStart w:id="180" w:name="_Toc1172597744"/>
      <w:bookmarkStart w:id="181" w:name="_Toc1700202948"/>
      <w:bookmarkStart w:id="182" w:name="_Toc1051682206"/>
      <w:bookmarkStart w:id="183" w:name="_Toc1370850545"/>
      <w:bookmarkStart w:id="184" w:name="_Toc1439436311"/>
      <w:bookmarkStart w:id="185" w:name="_Toc276780498"/>
      <w:bookmarkStart w:id="186" w:name="_Toc185443150"/>
      <w:bookmarkStart w:id="187" w:name="_Toc341229240"/>
      <w:bookmarkStart w:id="188" w:name="_Toc1988303988"/>
      <w:r>
        <w:rPr>
          <w:rFonts w:hint="eastAsia"/>
          <w:color w:val="auto"/>
          <w:lang w:val="en-US" w:eastAsia="zh-CN"/>
        </w:rPr>
        <w:br w:type="page"/>
      </w:r>
    </w:p>
    <w:p w14:paraId="1F44E913">
      <w:pPr>
        <w:pStyle w:val="3"/>
        <w:bidi w:val="0"/>
        <w:rPr>
          <w:rFonts w:hint="eastAsia"/>
          <w:color w:val="auto"/>
          <w:lang w:val="en-US" w:eastAsia="zh-CN"/>
        </w:rPr>
      </w:pPr>
      <w:bookmarkStart w:id="189" w:name="_Toc1988518190"/>
      <w:bookmarkStart w:id="190" w:name="_Toc1688646031"/>
      <w:r>
        <w:rPr>
          <w:rFonts w:hint="eastAsia"/>
          <w:color w:val="auto"/>
          <w:lang w:val="en-US" w:eastAsia="zh-CN"/>
        </w:rPr>
        <w:t>第三节 研究意义</w:t>
      </w:r>
      <w:bookmarkEnd w:id="178"/>
      <w:bookmarkEnd w:id="179"/>
      <w:bookmarkEnd w:id="180"/>
      <w:bookmarkEnd w:id="181"/>
      <w:bookmarkEnd w:id="182"/>
      <w:bookmarkEnd w:id="183"/>
      <w:bookmarkEnd w:id="184"/>
      <w:bookmarkEnd w:id="185"/>
      <w:bookmarkEnd w:id="186"/>
      <w:bookmarkEnd w:id="187"/>
      <w:bookmarkEnd w:id="188"/>
      <w:bookmarkEnd w:id="189"/>
      <w:bookmarkEnd w:id="190"/>
    </w:p>
    <w:p w14:paraId="7E7E3129">
      <w:pPr>
        <w:pStyle w:val="4"/>
        <w:bidi w:val="0"/>
        <w:rPr>
          <w:rFonts w:hint="eastAsia"/>
          <w:color w:val="auto"/>
          <w:lang w:val="en-US" w:eastAsia="zh-CN"/>
        </w:rPr>
      </w:pPr>
      <w:bookmarkStart w:id="191" w:name="_Toc893540054"/>
      <w:bookmarkStart w:id="192" w:name="_Toc1258499190"/>
      <w:bookmarkStart w:id="193" w:name="_Toc432095349"/>
      <w:bookmarkStart w:id="194" w:name="_Toc1680544799"/>
      <w:bookmarkStart w:id="195" w:name="_Toc1832421432"/>
      <w:bookmarkStart w:id="196" w:name="_Toc392854889"/>
      <w:bookmarkStart w:id="197" w:name="_Toc744250253"/>
      <w:bookmarkStart w:id="198" w:name="_Toc711908152"/>
      <w:bookmarkStart w:id="199" w:name="_Toc199639952"/>
      <w:bookmarkStart w:id="200" w:name="_Toc1884704716"/>
      <w:bookmarkStart w:id="201" w:name="_Toc1202795522"/>
      <w:bookmarkStart w:id="202" w:name="_Toc400250484"/>
      <w:bookmarkStart w:id="203" w:name="_Toc2077447912"/>
      <w:r>
        <w:rPr>
          <w:rFonts w:hint="eastAsia"/>
          <w:color w:val="auto"/>
          <w:lang w:val="en-US" w:eastAsia="zh-CN"/>
        </w:rPr>
        <w:t>一、理论意义</w:t>
      </w:r>
      <w:bookmarkEnd w:id="191"/>
      <w:bookmarkEnd w:id="192"/>
      <w:bookmarkEnd w:id="193"/>
      <w:bookmarkEnd w:id="194"/>
      <w:bookmarkEnd w:id="195"/>
      <w:bookmarkEnd w:id="196"/>
      <w:bookmarkEnd w:id="197"/>
      <w:bookmarkEnd w:id="198"/>
      <w:bookmarkEnd w:id="199"/>
      <w:bookmarkEnd w:id="200"/>
      <w:bookmarkEnd w:id="201"/>
      <w:bookmarkEnd w:id="202"/>
      <w:bookmarkEnd w:id="203"/>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第二，将文化翻译理论应用于宗教本土化场景。本文将</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rPr>
        <w:t>关于文化互动中生成新意义的分析框架，以及刘耘华关于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跨文化诠释的研究，延伸至当代宗教中国化语境，形成具有历史连续性的文化翻译谱系。</w:t>
      </w:r>
      <w:r>
        <w:rPr>
          <w:rStyle w:val="29"/>
          <w:rFonts w:hint="eastAsia" w:ascii="宋体" w:hAnsi="宋体" w:eastAsia="宋体" w:cs="宋体"/>
          <w:color w:val="auto"/>
          <w:sz w:val="24"/>
          <w:szCs w:val="24"/>
        </w:rPr>
        <w:footnoteReference w:id="46"/>
      </w:r>
      <w:r>
        <w:rPr>
          <w:rStyle w:val="29"/>
          <w:rFonts w:hint="eastAsia" w:ascii="宋体" w:hAnsi="宋体" w:eastAsia="宋体" w:cs="宋体"/>
          <w:color w:val="auto"/>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第三，对处境化神学理论的社会主义语境创新。本文借鉴</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rPr>
        <w:t>的处境化神学模型与</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的本土神学建构理论，提出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社会主义核心价值观引领下的处境化诠释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概念，为基督教教义的中国化阐释提供新的方法论工具。</w:t>
      </w:r>
      <w:r>
        <w:rPr>
          <w:rStyle w:val="29"/>
          <w:rFonts w:hint="eastAsia" w:ascii="宋体" w:hAnsi="宋体" w:eastAsia="宋体" w:cs="宋体"/>
          <w:color w:val="auto"/>
          <w:sz w:val="24"/>
          <w:szCs w:val="24"/>
        </w:rPr>
        <w:footnoteReference w:id="48"/>
      </w:r>
      <w:r>
        <w:rPr>
          <w:rStyle w:val="29"/>
          <w:rFonts w:hint="eastAsia" w:ascii="宋体" w:hAnsi="宋体" w:eastAsia="宋体" w:cs="宋体"/>
          <w:color w:val="auto"/>
          <w:sz w:val="24"/>
          <w:szCs w:val="24"/>
        </w:rPr>
        <w:footnoteReference w:id="49"/>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rPr>
        <w:t>这一创新回应了2023年《纲要》关于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的政策要求，填补了理论到实践的转化空白。</w:t>
      </w:r>
    </w:p>
    <w:p w14:paraId="05748294">
      <w:pPr>
        <w:pStyle w:val="4"/>
        <w:bidi w:val="0"/>
        <w:rPr>
          <w:rFonts w:hint="eastAsia"/>
          <w:color w:val="auto"/>
          <w:lang w:val="en-US" w:eastAsia="zh-CN"/>
        </w:rPr>
      </w:pPr>
      <w:bookmarkStart w:id="204" w:name="_Toc1120769043"/>
      <w:bookmarkStart w:id="205" w:name="_Toc848368562"/>
      <w:bookmarkStart w:id="206" w:name="_Toc1091102184"/>
      <w:bookmarkStart w:id="207" w:name="_Toc444025997"/>
      <w:bookmarkStart w:id="208" w:name="_Toc374544107"/>
      <w:bookmarkStart w:id="209" w:name="_Toc1211511449"/>
      <w:bookmarkStart w:id="210" w:name="_Toc1347388545"/>
      <w:bookmarkStart w:id="211" w:name="_Toc1029447027"/>
      <w:bookmarkStart w:id="212" w:name="_Toc1408913227"/>
      <w:bookmarkStart w:id="213" w:name="_Toc979216650"/>
      <w:bookmarkStart w:id="214" w:name="_Toc1584320136"/>
      <w:bookmarkStart w:id="215" w:name="_Toc1669242043"/>
      <w:bookmarkStart w:id="216" w:name="_Toc1877924058"/>
      <w:r>
        <w:rPr>
          <w:rFonts w:hint="eastAsia"/>
          <w:color w:val="auto"/>
          <w:lang w:val="en-US" w:eastAsia="zh-CN"/>
        </w:rPr>
        <w:t>二、实践意义</w:t>
      </w:r>
      <w:bookmarkEnd w:id="204"/>
      <w:bookmarkEnd w:id="205"/>
      <w:bookmarkEnd w:id="206"/>
      <w:bookmarkEnd w:id="207"/>
      <w:bookmarkEnd w:id="208"/>
      <w:bookmarkEnd w:id="209"/>
      <w:bookmarkEnd w:id="210"/>
      <w:bookmarkEnd w:id="211"/>
      <w:bookmarkEnd w:id="212"/>
      <w:bookmarkEnd w:id="213"/>
      <w:bookmarkEnd w:id="214"/>
      <w:bookmarkEnd w:id="215"/>
      <w:bookmarkEnd w:id="216"/>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人才培养提供学术范式参考。本文在研究中充分体现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政治上靠得住、文化上有自觉、教义诠释有创新、价值引领有实效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的培养目标，为未来宗教界骨干人才的学术研究提供可资借鉴的范式。特别是基于浙江本地案例的分析，为浙江乃至全国基督教中国化实践提供了区域经验。</w:t>
      </w:r>
    </w:p>
    <w:p w14:paraId="54EC0EE8">
      <w:pPr>
        <w:rPr>
          <w:rFonts w:hint="eastAsia"/>
          <w:color w:val="auto"/>
          <w:lang w:val="en-US" w:eastAsia="zh-CN"/>
        </w:rPr>
      </w:pPr>
      <w:bookmarkStart w:id="217" w:name="_Toc688236992"/>
      <w:bookmarkStart w:id="218" w:name="_Toc791544755"/>
      <w:bookmarkStart w:id="219" w:name="_Toc1018786599"/>
      <w:bookmarkStart w:id="220" w:name="_Toc1186237864"/>
      <w:bookmarkStart w:id="221" w:name="_Toc239258254"/>
      <w:bookmarkStart w:id="222" w:name="_Toc1527049589"/>
      <w:bookmarkStart w:id="223" w:name="_Toc1787922557"/>
      <w:bookmarkStart w:id="224" w:name="_Toc344218200"/>
      <w:bookmarkStart w:id="225" w:name="_Toc224652293"/>
      <w:bookmarkStart w:id="226" w:name="_Toc1580466136"/>
      <w:bookmarkStart w:id="227" w:name="_Toc1449914367"/>
      <w:r>
        <w:rPr>
          <w:rFonts w:hint="eastAsia"/>
          <w:color w:val="auto"/>
          <w:lang w:val="en-US" w:eastAsia="zh-CN"/>
        </w:rPr>
        <w:br w:type="page"/>
      </w:r>
    </w:p>
    <w:p w14:paraId="27B0BF12">
      <w:pPr>
        <w:pStyle w:val="3"/>
        <w:bidi w:val="0"/>
        <w:rPr>
          <w:rFonts w:hint="eastAsia"/>
          <w:color w:val="auto"/>
          <w:lang w:val="en-US" w:eastAsia="zh-CN"/>
        </w:rPr>
      </w:pPr>
      <w:bookmarkStart w:id="228" w:name="_Toc1386489101"/>
      <w:bookmarkStart w:id="229" w:name="_Toc702482847"/>
      <w:r>
        <w:rPr>
          <w:rFonts w:hint="eastAsia"/>
          <w:color w:val="auto"/>
          <w:lang w:val="en-US" w:eastAsia="zh-CN"/>
        </w:rPr>
        <w:t>第四节 研究思路、方法与创新点</w:t>
      </w:r>
      <w:bookmarkEnd w:id="217"/>
      <w:bookmarkEnd w:id="218"/>
      <w:bookmarkEnd w:id="219"/>
      <w:bookmarkEnd w:id="220"/>
      <w:bookmarkEnd w:id="221"/>
      <w:bookmarkEnd w:id="222"/>
      <w:bookmarkEnd w:id="223"/>
      <w:bookmarkEnd w:id="224"/>
      <w:bookmarkEnd w:id="225"/>
      <w:bookmarkEnd w:id="226"/>
      <w:bookmarkEnd w:id="227"/>
      <w:bookmarkEnd w:id="228"/>
      <w:bookmarkEnd w:id="229"/>
    </w:p>
    <w:p w14:paraId="0028FD14">
      <w:pPr>
        <w:pStyle w:val="4"/>
        <w:bidi w:val="0"/>
        <w:rPr>
          <w:rFonts w:hint="eastAsia"/>
          <w:color w:val="auto"/>
          <w:lang w:val="en-US" w:eastAsia="zh-CN"/>
        </w:rPr>
      </w:pPr>
      <w:bookmarkStart w:id="230" w:name="_Toc1213823660"/>
      <w:bookmarkStart w:id="231" w:name="_Toc454837025"/>
      <w:bookmarkStart w:id="232" w:name="_Toc2009085147"/>
      <w:bookmarkStart w:id="233" w:name="_Toc545377026"/>
      <w:bookmarkStart w:id="234" w:name="_Toc2023226675"/>
      <w:bookmarkStart w:id="235" w:name="_Toc859251862"/>
      <w:bookmarkStart w:id="236" w:name="_Toc1978987767"/>
      <w:bookmarkStart w:id="237" w:name="_Toc377266910"/>
      <w:bookmarkStart w:id="238" w:name="_Toc852201802"/>
      <w:bookmarkStart w:id="239" w:name="_Toc2101826029"/>
      <w:bookmarkStart w:id="240" w:name="_Toc1124087794"/>
      <w:bookmarkStart w:id="241" w:name="_Toc669118009"/>
      <w:bookmarkStart w:id="242" w:name="_Toc1911601970"/>
      <w:r>
        <w:rPr>
          <w:rFonts w:hint="eastAsia"/>
          <w:color w:val="auto"/>
          <w:lang w:val="en-US" w:eastAsia="zh-CN"/>
        </w:rPr>
        <w:t>一、整体研究框架</w:t>
      </w:r>
      <w:bookmarkEnd w:id="230"/>
      <w:bookmarkEnd w:id="231"/>
      <w:bookmarkEnd w:id="232"/>
      <w:bookmarkEnd w:id="233"/>
      <w:bookmarkEnd w:id="234"/>
      <w:bookmarkEnd w:id="235"/>
      <w:bookmarkEnd w:id="236"/>
      <w:bookmarkEnd w:id="237"/>
      <w:bookmarkEnd w:id="238"/>
      <w:bookmarkEnd w:id="239"/>
      <w:bookmarkEnd w:id="240"/>
      <w:bookmarkEnd w:id="241"/>
      <w:bookmarkEnd w:id="242"/>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本文的整体研究沿着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文献综述与概念界定—融合可行性论证—现实障碍梳理—实践路径构建—研究总结展望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color w:val="auto"/>
          <w:lang w:val="en-US" w:eastAsia="zh-CN"/>
        </w:rPr>
      </w:pPr>
      <w:bookmarkStart w:id="243" w:name="_Toc1129911099"/>
      <w:bookmarkStart w:id="244" w:name="_Toc1551579502"/>
      <w:bookmarkStart w:id="245" w:name="_Toc1114660127"/>
      <w:bookmarkStart w:id="246" w:name="_Toc620675233"/>
      <w:bookmarkStart w:id="247" w:name="_Toc1387244371"/>
      <w:bookmarkStart w:id="248" w:name="_Toc1353230426"/>
      <w:bookmarkStart w:id="249" w:name="_Toc1787090767"/>
      <w:bookmarkStart w:id="250" w:name="_Toc1642001571"/>
      <w:bookmarkStart w:id="251" w:name="_Toc691470586"/>
      <w:bookmarkStart w:id="252" w:name="_Toc1431559900"/>
      <w:bookmarkStart w:id="253" w:name="_Toc1808683848"/>
      <w:bookmarkStart w:id="254" w:name="_Toc1766002206"/>
      <w:bookmarkStart w:id="255" w:name="_Toc1938950670"/>
      <w:r>
        <w:rPr>
          <w:rFonts w:hint="eastAsia"/>
          <w:color w:val="auto"/>
          <w:lang w:val="en-US" w:eastAsia="zh-CN"/>
        </w:rPr>
        <w:t>二、核心研究方法</w:t>
      </w:r>
      <w:bookmarkEnd w:id="243"/>
      <w:bookmarkEnd w:id="244"/>
      <w:bookmarkEnd w:id="245"/>
      <w:bookmarkEnd w:id="246"/>
      <w:bookmarkEnd w:id="247"/>
      <w:bookmarkEnd w:id="248"/>
      <w:bookmarkEnd w:id="249"/>
      <w:bookmarkEnd w:id="250"/>
      <w:bookmarkEnd w:id="251"/>
      <w:bookmarkEnd w:id="252"/>
      <w:bookmarkEnd w:id="253"/>
      <w:bookmarkEnd w:id="254"/>
      <w:bookmarkEnd w:id="255"/>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w:t>
      </w:r>
      <w:r>
        <w:rPr>
          <w:rFonts w:hint="default" w:ascii="Times New Roman" w:hAnsi="Times New Roman" w:eastAsia="宋体" w:cs="Times New Roman"/>
          <w:color w:val="auto"/>
          <w:sz w:val="24"/>
          <w:szCs w:val="24"/>
        </w:rPr>
        <w:t>Political Liberalism、The Location of Culture、Deus Caritas Est</w:t>
      </w:r>
      <w:r>
        <w:rPr>
          <w:rFonts w:hint="eastAsia" w:ascii="宋体" w:hAnsi="宋体" w:eastAsia="宋体" w:cs="宋体"/>
          <w:color w:val="auto"/>
          <w:sz w:val="24"/>
          <w:szCs w:val="24"/>
        </w:rPr>
        <w: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第二，历史比较法。考察了基督教仁爱观念从早期教会的</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传统到明清耶稣会士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第三，案例分析法。主要依托《中国基督教研究》</w:t>
      </w:r>
      <w:r>
        <w:rPr>
          <w:rFonts w:hint="default" w:ascii="Times New Roman Regular" w:hAnsi="Times New Roman Regular" w:eastAsia="宋体" w:cs="Times New Roman Regular"/>
          <w:color w:val="auto"/>
          <w:sz w:val="24"/>
          <w:szCs w:val="24"/>
        </w:rPr>
        <w:t>（JRCC）</w:t>
      </w:r>
      <w:r>
        <w:rPr>
          <w:rFonts w:hint="eastAsia" w:ascii="宋体" w:hAnsi="宋体" w:eastAsia="宋体" w:cs="宋体"/>
          <w:color w:val="auto"/>
          <w:sz w:val="24"/>
          <w:szCs w:val="24"/>
        </w:rPr>
        <w:t>等期刊刊发的实证研究，对泸州教会、山东圣公会、</w:t>
      </w:r>
      <w:r>
        <w:rPr>
          <w:rFonts w:hint="default" w:ascii="Times New Roman" w:hAnsi="Times New Roman" w:eastAsia="宋体" w:cs="Times New Roman"/>
          <w:color w:val="auto"/>
          <w:sz w:val="24"/>
          <w:szCs w:val="24"/>
        </w:rPr>
        <w:t>Q</w:t>
      </w:r>
      <w:r>
        <w:rPr>
          <w:rFonts w:hint="eastAsia" w:ascii="宋体" w:hAnsi="宋体" w:eastAsia="宋体" w:cs="宋体"/>
          <w:color w:val="auto"/>
          <w:sz w:val="24"/>
          <w:szCs w:val="24"/>
        </w:rPr>
        <w:t>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第四，跨文化诠释法。借鉴刘耘华、</w:t>
      </w:r>
      <w:r>
        <w:rPr>
          <w:rFonts w:hint="default" w:ascii="Times New Roman" w:hAnsi="Times New Roman" w:eastAsia="宋体" w:cs="Times New Roman"/>
          <w:color w:val="auto"/>
          <w:sz w:val="24"/>
          <w:szCs w:val="24"/>
        </w:rPr>
        <w:t>Roger Ames、Tu Weiming</w:t>
      </w:r>
      <w:r>
        <w:rPr>
          <w:rFonts w:hint="eastAsia" w:ascii="宋体" w:hAnsi="宋体" w:eastAsia="宋体" w:cs="宋体"/>
          <w:color w:val="auto"/>
          <w:sz w:val="24"/>
          <w:szCs w:val="24"/>
        </w:rPr>
        <w:t>等学者的跨文化比较方法，对基督教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进行语义分析、结构比较与实践对接，探索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中的创造性诠释可能。</w:t>
      </w:r>
    </w:p>
    <w:p w14:paraId="679BE087">
      <w:pPr>
        <w:pStyle w:val="4"/>
        <w:bidi w:val="0"/>
        <w:rPr>
          <w:rFonts w:hint="eastAsia"/>
          <w:color w:val="auto"/>
          <w:lang w:val="en-US" w:eastAsia="zh-CN"/>
        </w:rPr>
      </w:pPr>
      <w:bookmarkStart w:id="256" w:name="_Toc1955539847"/>
      <w:bookmarkStart w:id="257" w:name="_Toc918410051"/>
      <w:bookmarkStart w:id="258" w:name="_Toc502764593"/>
      <w:bookmarkStart w:id="259" w:name="_Toc186187918"/>
      <w:bookmarkStart w:id="260" w:name="_Toc1512124985"/>
      <w:bookmarkStart w:id="261" w:name="_Toc928234027"/>
      <w:bookmarkStart w:id="262" w:name="_Toc217950472"/>
      <w:bookmarkStart w:id="263" w:name="_Toc827591055"/>
      <w:bookmarkStart w:id="264" w:name="_Toc1360567552"/>
      <w:bookmarkStart w:id="265" w:name="_Toc1891948052"/>
      <w:bookmarkStart w:id="266" w:name="_Toc1967941959"/>
      <w:bookmarkStart w:id="267" w:name="_Toc1592901708"/>
      <w:bookmarkStart w:id="268" w:name="_Toc2027051112"/>
      <w:r>
        <w:rPr>
          <w:rFonts w:hint="eastAsia"/>
          <w:color w:val="auto"/>
          <w:lang w:val="en-US" w:eastAsia="zh-CN"/>
        </w:rPr>
        <w:t>三、主要创新点</w:t>
      </w:r>
      <w:bookmarkEnd w:id="256"/>
      <w:bookmarkEnd w:id="257"/>
      <w:bookmarkEnd w:id="258"/>
      <w:bookmarkEnd w:id="259"/>
      <w:bookmarkEnd w:id="260"/>
      <w:bookmarkEnd w:id="261"/>
      <w:bookmarkEnd w:id="262"/>
      <w:bookmarkEnd w:id="263"/>
      <w:bookmarkEnd w:id="264"/>
      <w:bookmarkEnd w:id="265"/>
      <w:bookmarkEnd w:id="266"/>
      <w:bookmarkEnd w:id="267"/>
      <w:bookmarkEnd w:id="268"/>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本文的创新点主要体现在四个方面：第一，理论框架的创新。首次将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政治框架、</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文化翻译理论、</w:t>
      </w:r>
      <w:r>
        <w:rPr>
          <w:rFonts w:hint="default" w:ascii="Times New Roman" w:hAnsi="Times New Roman" w:eastAsia="宋体" w:cs="Times New Roman"/>
          <w:color w:val="auto"/>
          <w:sz w:val="24"/>
          <w:szCs w:val="24"/>
        </w:rPr>
        <w:t>Rawls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政治哲学与</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处境化神学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第二，教义诠释方案的创新。提出</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的普遍主义进行辩证统一，设计出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的三层诠释结构，为当代基督教讲道、神学思想建设提供可直接应用的方法论。这一方案直接回应了2023年《纲要》关于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第三，转化机制的创新。提出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的分层浸润机制，针对不同年龄、文化程度、地域特征的信众群体，设计差异化的教育引导策略，避免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的形式主义。特别设计了浙江神学院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需要特别说明的是，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不仅是本文的政治前提，更是贯穿全文的分析尺度。在第三章的契合性分析中，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认同伟大祖国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认同中华民族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构成价值追求契合的政治基础；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构成文化内核契合的历史根基；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认同中国共产党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则构成实践转化路径的制度保障。本文在教义阐释、教育引导、实践转化与制度保障四维路径的设计中，始终以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color w:val="auto"/>
          <w:sz w:val="24"/>
          <w:szCs w:val="24"/>
        </w:rPr>
      </w:pPr>
      <w:r>
        <w:rPr>
          <w:rFonts w:hint="eastAsia" w:ascii="宋体" w:hAnsi="宋体" w:eastAsia="宋体" w:cs="宋体"/>
          <w:color w:val="auto"/>
          <w:sz w:val="24"/>
          <w:szCs w:val="24"/>
        </w:rPr>
        <w:br w:type="page"/>
      </w:r>
    </w:p>
    <w:p w14:paraId="6EEF3911">
      <w:pPr>
        <w:pStyle w:val="2"/>
        <w:bidi w:val="0"/>
        <w:rPr>
          <w:rFonts w:hint="eastAsia"/>
          <w:color w:val="auto"/>
          <w:lang w:val="en-US" w:eastAsia="zh-CN"/>
        </w:rPr>
      </w:pPr>
      <w:bookmarkStart w:id="269" w:name="_Toc180548835"/>
      <w:bookmarkStart w:id="270" w:name="_Toc71279766"/>
      <w:bookmarkStart w:id="271" w:name="_Toc1763847253"/>
      <w:bookmarkStart w:id="272" w:name="_Toc1668474841"/>
      <w:bookmarkStart w:id="273" w:name="_Toc652973208"/>
      <w:bookmarkStart w:id="274" w:name="_Toc376664147"/>
      <w:bookmarkStart w:id="275" w:name="_Toc1367862854"/>
      <w:bookmarkStart w:id="276" w:name="_Toc1508079981"/>
      <w:bookmarkStart w:id="277" w:name="_Toc963144297"/>
      <w:bookmarkStart w:id="278" w:name="_Toc1804857466"/>
      <w:bookmarkStart w:id="279" w:name="_Toc1752756168"/>
      <w:bookmarkStart w:id="280" w:name="_Toc1633964769"/>
      <w:bookmarkStart w:id="281" w:name="_Toc967463376"/>
      <w:r>
        <w:rPr>
          <w:rFonts w:hint="eastAsia"/>
          <w:color w:val="auto"/>
          <w:lang w:val="en-US" w:eastAsia="zh-CN"/>
        </w:rPr>
        <w:t>二、</w:t>
      </w:r>
      <w:r>
        <w:rPr>
          <w:rFonts w:hint="eastAsia"/>
          <w:color w:val="auto"/>
        </w:rPr>
        <w:t>核心概念界定与理论基础</w:t>
      </w:r>
      <w:bookmarkEnd w:id="269"/>
      <w:bookmarkEnd w:id="270"/>
      <w:bookmarkEnd w:id="271"/>
      <w:bookmarkEnd w:id="272"/>
      <w:bookmarkEnd w:id="273"/>
      <w:bookmarkEnd w:id="274"/>
      <w:bookmarkEnd w:id="275"/>
      <w:bookmarkEnd w:id="276"/>
      <w:bookmarkEnd w:id="277"/>
      <w:bookmarkEnd w:id="278"/>
      <w:bookmarkEnd w:id="279"/>
      <w:bookmarkEnd w:id="280"/>
      <w:bookmarkEnd w:id="281"/>
    </w:p>
    <w:p w14:paraId="1479F8BC">
      <w:pPr>
        <w:pStyle w:val="3"/>
        <w:bidi w:val="0"/>
        <w:rPr>
          <w:rFonts w:hint="eastAsia"/>
          <w:color w:val="auto"/>
          <w:lang w:val="en-US" w:eastAsia="zh-CN"/>
        </w:rPr>
      </w:pPr>
      <w:bookmarkStart w:id="282" w:name="_Toc1116517983"/>
      <w:bookmarkStart w:id="283" w:name="_Toc89876634"/>
      <w:bookmarkStart w:id="284" w:name="_Toc1539729677"/>
      <w:bookmarkStart w:id="285" w:name="_Toc1850635783"/>
      <w:bookmarkStart w:id="286" w:name="_Toc215190161"/>
      <w:bookmarkStart w:id="287" w:name="_Toc879270686"/>
      <w:bookmarkStart w:id="288" w:name="_Toc858546043"/>
      <w:bookmarkStart w:id="289" w:name="_Toc1960010920"/>
      <w:bookmarkStart w:id="290" w:name="_Toc1698238773"/>
      <w:bookmarkStart w:id="291" w:name="_Toc1981952240"/>
      <w:bookmarkStart w:id="292" w:name="_Toc1032917187"/>
      <w:bookmarkStart w:id="293" w:name="_Toc24994747"/>
      <w:bookmarkStart w:id="294" w:name="_Toc1558268995"/>
      <w:r>
        <w:rPr>
          <w:rFonts w:hint="eastAsia"/>
          <w:color w:val="auto"/>
          <w:lang w:val="en-US" w:eastAsia="zh-CN"/>
        </w:rPr>
        <w:t xml:space="preserve">第一节 </w:t>
      </w:r>
      <w:r>
        <w:rPr>
          <w:rFonts w:hint="eastAsia"/>
          <w:color w:val="auto"/>
        </w:rPr>
        <w:t>基督教仁爱观念的核心内涵与历史演进</w:t>
      </w:r>
      <w:bookmarkEnd w:id="282"/>
      <w:bookmarkEnd w:id="283"/>
      <w:bookmarkEnd w:id="284"/>
      <w:bookmarkEnd w:id="285"/>
      <w:bookmarkEnd w:id="286"/>
      <w:bookmarkEnd w:id="287"/>
      <w:bookmarkEnd w:id="288"/>
      <w:bookmarkEnd w:id="289"/>
      <w:bookmarkEnd w:id="290"/>
      <w:bookmarkEnd w:id="291"/>
      <w:bookmarkEnd w:id="292"/>
      <w:bookmarkEnd w:id="293"/>
      <w:bookmarkEnd w:id="294"/>
    </w:p>
    <w:p w14:paraId="7DDB9437">
      <w:pPr>
        <w:pStyle w:val="4"/>
        <w:bidi w:val="0"/>
        <w:rPr>
          <w:rFonts w:hint="eastAsia"/>
          <w:color w:val="auto"/>
          <w:lang w:val="en-US" w:eastAsia="zh-CN"/>
        </w:rPr>
      </w:pPr>
      <w:bookmarkStart w:id="295" w:name="_Toc875583797"/>
      <w:bookmarkStart w:id="296" w:name="_Toc640720508"/>
      <w:bookmarkStart w:id="297" w:name="_Toc93905534"/>
      <w:bookmarkStart w:id="298" w:name="_Toc605632795"/>
      <w:bookmarkStart w:id="299" w:name="_Toc1651871107"/>
      <w:bookmarkStart w:id="300" w:name="_Toc1067444595"/>
      <w:bookmarkStart w:id="301" w:name="_Toc1629945380"/>
      <w:bookmarkStart w:id="302" w:name="_Toc1052449063"/>
      <w:bookmarkStart w:id="303" w:name="_Toc2128843208"/>
      <w:bookmarkStart w:id="304" w:name="_Toc338574379"/>
      <w:bookmarkStart w:id="305" w:name="_Toc1058734989"/>
      <w:bookmarkStart w:id="306" w:name="_Toc1327401664"/>
      <w:bookmarkStart w:id="307" w:name="_Toc1263923800"/>
      <w:r>
        <w:rPr>
          <w:rFonts w:hint="eastAsia"/>
          <w:color w:val="auto"/>
          <w:lang w:val="en-US" w:eastAsia="zh-CN"/>
        </w:rPr>
        <w:t>一、</w:t>
      </w:r>
      <w:r>
        <w:rPr>
          <w:rFonts w:hint="eastAsia"/>
          <w:color w:val="auto"/>
        </w:rPr>
        <w:t>Agape的神学本源：从希腊语汇到基督教伦理</w:t>
      </w:r>
      <w:bookmarkEnd w:id="295"/>
      <w:bookmarkEnd w:id="296"/>
      <w:bookmarkEnd w:id="297"/>
      <w:bookmarkEnd w:id="298"/>
      <w:bookmarkEnd w:id="299"/>
      <w:bookmarkEnd w:id="300"/>
      <w:bookmarkEnd w:id="301"/>
      <w:bookmarkEnd w:id="302"/>
      <w:bookmarkEnd w:id="303"/>
      <w:bookmarkEnd w:id="304"/>
      <w:bookmarkEnd w:id="305"/>
      <w:bookmarkEnd w:id="306"/>
      <w:bookmarkEnd w:id="307"/>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color w:val="auto"/>
        </w:rPr>
        <w:t>基督教仁爱观念的本源内涵根植于其经典教义体系，核心表述</w:t>
      </w:r>
      <w:r>
        <w:rPr>
          <w:rFonts w:hint="eastAsia"/>
          <w:color w:val="auto"/>
          <w:lang w:eastAsia="zh-CN"/>
        </w:rPr>
        <w:t>“</w:t>
      </w:r>
      <w:r>
        <w:rPr>
          <w:color w:val="auto"/>
        </w:rPr>
        <w:t>爱神</w:t>
      </w:r>
      <w:r>
        <w:rPr>
          <w:rFonts w:hint="eastAsia"/>
          <w:color w:val="auto"/>
          <w:lang w:eastAsia="zh-CN"/>
        </w:rPr>
        <w:t>”</w:t>
      </w:r>
      <w:r>
        <w:rPr>
          <w:color w:val="auto"/>
        </w:rPr>
        <w:t>与</w:t>
      </w:r>
      <w:r>
        <w:rPr>
          <w:rFonts w:hint="eastAsia"/>
          <w:color w:val="auto"/>
          <w:lang w:eastAsia="zh-CN"/>
        </w:rPr>
        <w:t>“</w:t>
      </w:r>
      <w:r>
        <w:rPr>
          <w:color w:val="auto"/>
        </w:rPr>
        <w:t>爱人</w:t>
      </w:r>
      <w:r>
        <w:rPr>
          <w:rFonts w:hint="eastAsia"/>
          <w:color w:val="auto"/>
          <w:lang w:eastAsia="zh-CN"/>
        </w:rPr>
        <w:t>”</w:t>
      </w:r>
      <w:r>
        <w:rPr>
          <w:color w:val="auto"/>
        </w:rPr>
        <w:t>构成了一个不可分割的有机整体。在《圣经》的文本脉络里，这一观念并非简单的伦理倡导，而是源于神圣启示并以上帝之爱为终极典范的信仰实践。根据《马太福音》的记载，耶稣提出了两条核心诫命：一是全心全意地爱上帝，二是像爱自己一样关爱他人（太22:37-39）。这两条诫命共同确立了仁爱观念的神学基础与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Agape</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（ἀγάπη）</w:t>
      </w:r>
      <w:r>
        <w:rPr>
          <w:rFonts w:hint="eastAsia" w:ascii="宋体" w:hAnsi="宋体" w:eastAsia="宋体" w:cs="宋体"/>
          <w:color w:val="auto"/>
          <w:sz w:val="24"/>
          <w:szCs w:val="24"/>
        </w:rPr>
        <w:t>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Anders Nygren</w:t>
      </w:r>
      <w:r>
        <w:rPr>
          <w:rFonts w:hint="eastAsia" w:ascii="宋体" w:hAnsi="宋体" w:eastAsia="宋体" w:cs="宋体"/>
          <w:color w:val="auto"/>
          <w:sz w:val="24"/>
          <w:szCs w:val="24"/>
        </w:rPr>
        <w:t>在《圣爱与欲爱》中严格区分了</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default" w:ascii="Times New Roman" w:hAnsi="Times New Roman" w:eastAsia="宋体" w:cs="Times New Roman"/>
          <w:color w:val="auto"/>
          <w:sz w:val="24"/>
          <w:szCs w:val="24"/>
        </w:rPr>
        <w:t>Eros：Agape</w:t>
      </w:r>
      <w:r>
        <w:rPr>
          <w:rFonts w:hint="eastAsia" w:ascii="宋体" w:hAnsi="宋体" w:eastAsia="宋体" w:cs="宋体"/>
          <w:color w:val="auto"/>
          <w:sz w:val="24"/>
          <w:szCs w:val="24"/>
        </w:rPr>
        <w:t>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自上而下的赐予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，以上帝为唯一主体，具有无条件性和神圣性；</w:t>
      </w:r>
      <w:r>
        <w:rPr>
          <w:rFonts w:hint="default" w:ascii="Times New Roman" w:hAnsi="Times New Roman" w:eastAsia="宋体" w:cs="Times New Roman"/>
          <w:color w:val="auto"/>
          <w:sz w:val="24"/>
          <w:szCs w:val="24"/>
        </w:rPr>
        <w:t>Eros</w:t>
      </w:r>
      <w:r>
        <w:rPr>
          <w:rFonts w:hint="eastAsia" w:ascii="宋体" w:hAnsi="宋体" w:eastAsia="宋体" w:cs="宋体"/>
          <w:color w:val="auto"/>
          <w:sz w:val="24"/>
          <w:szCs w:val="24"/>
        </w:rPr>
        <w:t>则是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自下而上的追求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，以人的需要为驱动力，具有条件性和世俗性。</w:t>
      </w:r>
      <w:r>
        <w:rPr>
          <w:rStyle w:val="29"/>
          <w:rFonts w:hint="eastAsia" w:ascii="宋体" w:hAnsi="宋体" w:eastAsia="宋体" w:cs="宋体"/>
          <w:color w:val="auto"/>
          <w:sz w:val="24"/>
          <w:szCs w:val="24"/>
        </w:rPr>
        <w:footnoteReference w:id="50"/>
      </w:r>
      <w:r>
        <w:rPr>
          <w:rFonts w:hint="eastAsia" w:ascii="宋体" w:hAnsi="宋体" w:eastAsia="宋体" w:cs="宋体"/>
          <w:color w:val="auto"/>
          <w:sz w:val="24"/>
          <w:szCs w:val="24"/>
        </w:rPr>
        <w:t xml:space="preserve"> 这一区分对理解基督教仁爱观念至关重要：其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无条件性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源于</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的神学逻辑，而社会主义核心价值观的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则基于人的社会性需要，二者在本体论层面不可通约，但在伦理实践层面具有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家族相似性</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（family resemblance）</w:t>
      </w:r>
      <w:r>
        <w:rPr>
          <w:rFonts w:hint="eastAsia" w:ascii="宋体" w:hAnsi="宋体" w:eastAsia="宋体" w:cs="宋体"/>
          <w:color w:val="auto"/>
          <w:sz w:val="24"/>
          <w:szCs w:val="24"/>
        </w:rPr>
        <w:t>——即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Thomas Aquinas</w:t>
      </w:r>
      <w:r>
        <w:rPr>
          <w:rFonts w:hint="eastAsia" w:ascii="宋体" w:hAnsi="宋体" w:eastAsia="宋体" w:cs="宋体"/>
          <w:color w:val="auto"/>
          <w:sz w:val="24"/>
          <w:szCs w:val="24"/>
        </w:rPr>
        <w:t>在《神学大全》中进一步将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（Charity/Caritas）</w:t>
      </w:r>
      <w:r>
        <w:rPr>
          <w:rFonts w:hint="eastAsia" w:ascii="宋体" w:hAnsi="宋体" w:eastAsia="宋体" w:cs="宋体"/>
          <w:color w:val="auto"/>
          <w:sz w:val="24"/>
          <w:szCs w:val="24"/>
        </w:rPr>
        <w:t>系统化为神学德性，指出其本质在于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愿上帝得荣耀、愿邻人得拯救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，强调爱德不仅是情感，更是意志的定向</w:t>
      </w:r>
      <w:r>
        <w:rPr>
          <w:rFonts w:hint="default" w:ascii="Times New Roman" w:hAnsi="Times New Roman" w:eastAsia="宋体" w:cs="Times New Roman"/>
          <w:color w:val="auto"/>
          <w:sz w:val="24"/>
          <w:szCs w:val="24"/>
        </w:rPr>
        <w:t>（act of will）</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1"/>
      </w:r>
      <w:r>
        <w:rPr>
          <w:rFonts w:hint="eastAsia" w:ascii="宋体" w:hAnsi="宋体" w:eastAsia="宋体" w:cs="宋体"/>
          <w:color w:val="auto"/>
          <w:sz w:val="24"/>
          <w:szCs w:val="24"/>
        </w:rPr>
        <w:t xml:space="preserve"> </w:t>
      </w:r>
      <w:r>
        <w:rPr>
          <w:rFonts w:hint="default" w:ascii="Times New Roman" w:hAnsi="Times New Roman" w:eastAsia="宋体" w:cs="Times New Roman"/>
          <w:color w:val="auto"/>
          <w:sz w:val="24"/>
          <w:szCs w:val="24"/>
        </w:rPr>
        <w:t>Pope Benedict XVI</w:t>
      </w:r>
      <w:r>
        <w:rPr>
          <w:rFonts w:hint="eastAsia" w:ascii="宋体" w:hAnsi="宋体" w:eastAsia="宋体" w:cs="宋体"/>
          <w:color w:val="auto"/>
          <w:sz w:val="24"/>
          <w:szCs w:val="24"/>
        </w:rPr>
        <w:t>在通谕《天主是爱》中重新激活了这一传统，指出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作为教会团体的爱</w:t>
      </w:r>
      <w:r>
        <w:rPr>
          <w:rFonts w:hint="default" w:ascii="Times New Roman" w:hAnsi="Times New Roman" w:eastAsia="宋体" w:cs="Times New Roman"/>
          <w:color w:val="auto"/>
          <w:sz w:val="24"/>
          <w:szCs w:val="24"/>
        </w:rPr>
        <w:t>（charity）</w:t>
      </w:r>
      <w:r>
        <w:rPr>
          <w:rFonts w:hint="eastAsia" w:ascii="宋体" w:hAnsi="宋体" w:eastAsia="宋体" w:cs="宋体"/>
          <w:color w:val="auto"/>
          <w:sz w:val="24"/>
          <w:szCs w:val="24"/>
        </w:rPr>
        <w:t>与作为个人情感的爱</w:t>
      </w:r>
      <w:r>
        <w:rPr>
          <w:rFonts w:hint="default" w:ascii="Times New Roman" w:hAnsi="Times New Roman" w:eastAsia="宋体" w:cs="Times New Roman"/>
          <w:color w:val="auto"/>
          <w:sz w:val="24"/>
          <w:szCs w:val="24"/>
        </w:rPr>
        <w:t>（eros）</w:t>
      </w:r>
      <w:r>
        <w:rPr>
          <w:rFonts w:hint="eastAsia" w:ascii="宋体" w:hAnsi="宋体" w:eastAsia="宋体" w:cs="宋体"/>
          <w:color w:val="auto"/>
          <w:sz w:val="24"/>
          <w:szCs w:val="24"/>
        </w:rPr>
        <w:t>并非对立，而是统一于上帝之爱的完整表达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，并强调教会的社会服务是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爱德的公共实践</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（public practice of charity）</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耶稣关于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为逼迫你们的祷告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的教导（太5:44），以及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的寓言（路10:25-37），都深刻诠释了这种爱的超越性，它要求打破血缘、族群乃至敌友的界限，以一种普遍性的姿态关怀每一个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需要严格区分三组概念：</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、仁爱、仁。</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是基督教神学的本源概念，指向上帝对人类的垂直关系；仁爱是</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的中文神学译介，在中文语境中更接近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恩惠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的世俗化理解；仁则是儒家伦理的核心概念，以血缘亲情为根基的差序性推扩。三者的关系并非简单的线性对应，而是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翻译—转化—再创造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的复杂过程。</w:t>
      </w:r>
    </w:p>
    <w:p w14:paraId="71F29256">
      <w:pPr>
        <w:pStyle w:val="4"/>
        <w:bidi w:val="0"/>
        <w:rPr>
          <w:rFonts w:hint="eastAsia"/>
          <w:color w:val="auto"/>
          <w:lang w:val="en-US" w:eastAsia="zh-CN"/>
        </w:rPr>
      </w:pPr>
      <w:bookmarkStart w:id="308" w:name="_Toc1190600528"/>
      <w:bookmarkStart w:id="309" w:name="_Toc1579641812"/>
      <w:bookmarkStart w:id="310" w:name="_Toc1378926935"/>
      <w:bookmarkStart w:id="311" w:name="_Toc242754189"/>
      <w:bookmarkStart w:id="312" w:name="_Toc1735406950"/>
      <w:bookmarkStart w:id="313" w:name="_Toc1106571898"/>
      <w:bookmarkStart w:id="314" w:name="_Toc1945382432"/>
      <w:bookmarkStart w:id="315" w:name="_Toc329106933"/>
      <w:bookmarkStart w:id="316" w:name="_Toc1836085149"/>
      <w:bookmarkStart w:id="317" w:name="_Toc462921127"/>
      <w:bookmarkStart w:id="318" w:name="_Toc2017313040"/>
      <w:bookmarkStart w:id="319" w:name="_Toc109461081"/>
      <w:bookmarkStart w:id="320" w:name="_Toc2006554123"/>
      <w:r>
        <w:rPr>
          <w:rFonts w:hint="eastAsia"/>
          <w:color w:val="auto"/>
          <w:lang w:val="en-US" w:eastAsia="zh-CN"/>
        </w:rPr>
        <w:t>二、</w:t>
      </w:r>
      <w:r>
        <w:rPr>
          <w:rFonts w:hint="eastAsia"/>
          <w:color w:val="auto"/>
        </w:rPr>
        <w:t>基督教仁爱观念的中国化演进：从</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到三自爱国</w:t>
      </w:r>
      <w:bookmarkEnd w:id="308"/>
      <w:bookmarkEnd w:id="309"/>
      <w:bookmarkEnd w:id="310"/>
      <w:bookmarkEnd w:id="311"/>
      <w:bookmarkEnd w:id="312"/>
      <w:bookmarkEnd w:id="313"/>
      <w:bookmarkEnd w:id="314"/>
      <w:bookmarkEnd w:id="315"/>
      <w:bookmarkEnd w:id="316"/>
      <w:bookmarkEnd w:id="317"/>
      <w:bookmarkEnd w:id="318"/>
      <w:bookmarkEnd w:id="319"/>
      <w:bookmarkEnd w:id="320"/>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基督教传入中国后，仁爱观念的本土化调整始终与整个宗教的社会定位绑定。明清之际，以利玛窦为代表的耶稣会士采取“文化适应”策略，以“仁”释“爱”，以“上帝”译</w:t>
      </w:r>
      <w:r>
        <w:rPr>
          <w:rFonts w:hint="default" w:ascii="Times New Roman" w:hAnsi="Times New Roman" w:eastAsia="宋体" w:cs="Times New Roman"/>
          <w:color w:val="auto"/>
          <w:sz w:val="24"/>
          <w:szCs w:val="24"/>
        </w:rPr>
        <w:t>“Deus”</w:t>
      </w:r>
      <w:r>
        <w:rPr>
          <w:rFonts w:hint="eastAsia" w:ascii="宋体" w:hAnsi="宋体" w:eastAsia="宋体" w:cs="宋体"/>
          <w:color w:val="auto"/>
          <w:sz w:val="24"/>
          <w:szCs w:val="24"/>
        </w:rPr>
        <w:t>，并非简单的语言转换，而是在两种文化符号的碰撞中创造新的神学表达。 刘耘华指出，这种“跨文化诠释”的机制，本质是“以儒释耶”的创造性转化，发生在</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rPr>
        <w:t>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清末民初伴随不平等条约进入中国的基督教会，多以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洋教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思想和基督教伦理的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博爱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思想分别代表了东西方文明的思想精华，二者的差异在于社会历史文化背景不同、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的对象与范围不同、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的表现形式不同、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的实现途径不同。</w:t>
      </w:r>
      <w:r>
        <w:rPr>
          <w:rStyle w:val="29"/>
          <w:rFonts w:hint="eastAsia" w:ascii="宋体" w:hAnsi="宋体" w:eastAsia="宋体" w:cs="宋体"/>
          <w:color w:val="auto"/>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民国时期本土教会发起的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本色化运动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率先开启了仁爱观念的适配调整。赵天恩指出，本色化运动的核心在于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使基督教在中华国土上彻底除去洋教的面貌，建立由中国信徒自主、自养、自传的教会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54"/>
      </w:r>
      <w:r>
        <w:rPr>
          <w:rFonts w:hint="eastAsia" w:ascii="宋体" w:hAnsi="宋体" w:eastAsia="宋体" w:cs="宋体"/>
          <w:color w:val="auto"/>
          <w:sz w:val="24"/>
          <w:szCs w:val="24"/>
        </w:rPr>
        <w:t xml:space="preserve"> 不少教会人士尝试将基督教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的教义与儒家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克己复礼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的思想做互释，弱化教义中的排他性，转而吸纳儒家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color w:val="auto"/>
          <w:sz w:val="24"/>
          <w:szCs w:val="24"/>
        </w:rPr>
        <w:footnoteReference w:id="55"/>
      </w:r>
      <w:r>
        <w:rPr>
          <w:rStyle w:val="29"/>
          <w:rFonts w:hint="eastAsia" w:ascii="宋体" w:hAnsi="宋体" w:eastAsia="宋体" w:cs="宋体"/>
          <w:color w:val="auto"/>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color w:val="auto"/>
          <w:lang w:val="en-US" w:eastAsia="zh-CN"/>
        </w:rPr>
      </w:pPr>
      <w:bookmarkStart w:id="321" w:name="_Toc604009049"/>
      <w:bookmarkStart w:id="322" w:name="_Toc170451350"/>
      <w:bookmarkStart w:id="323" w:name="_Toc2128961768"/>
      <w:bookmarkStart w:id="324" w:name="_Toc2129612055"/>
      <w:bookmarkStart w:id="325" w:name="_Toc1898208870"/>
      <w:bookmarkStart w:id="326" w:name="_Toc2009198743"/>
      <w:bookmarkStart w:id="327" w:name="_Toc508444444"/>
      <w:bookmarkStart w:id="328" w:name="_Toc1890575500"/>
      <w:bookmarkStart w:id="329" w:name="_Toc1529831906"/>
      <w:bookmarkStart w:id="330" w:name="_Toc1847090070"/>
      <w:bookmarkStart w:id="331" w:name="_Toc1466386535"/>
      <w:bookmarkStart w:id="332" w:name="_Toc945506666"/>
      <w:bookmarkStart w:id="333" w:name="_Toc71952773"/>
      <w:r>
        <w:rPr>
          <w:rFonts w:hint="eastAsia"/>
          <w:color w:val="auto"/>
          <w:lang w:val="en-US" w:eastAsia="zh-CN"/>
        </w:rPr>
        <w:t>三、</w:t>
      </w:r>
      <w:r>
        <w:rPr>
          <w:rFonts w:hint="eastAsia"/>
          <w:color w:val="auto"/>
        </w:rPr>
        <w:t>当代中国基督教仁爱观念的实践特征与世俗化趋势</w:t>
      </w:r>
      <w:bookmarkEnd w:id="321"/>
      <w:bookmarkEnd w:id="322"/>
      <w:bookmarkEnd w:id="323"/>
      <w:bookmarkEnd w:id="324"/>
      <w:bookmarkEnd w:id="325"/>
      <w:bookmarkEnd w:id="326"/>
      <w:bookmarkEnd w:id="327"/>
      <w:bookmarkEnd w:id="328"/>
      <w:bookmarkEnd w:id="329"/>
      <w:bookmarkEnd w:id="330"/>
      <w:bookmarkEnd w:id="331"/>
      <w:bookmarkEnd w:id="332"/>
      <w:bookmarkEnd w:id="333"/>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color w:val="auto"/>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同时，教会的公益慈善和社区服务活动也积极响应国家的政策号召，与社会主义社会的发展需求相适应，成为社会公益事业的有益补充。</w:t>
      </w:r>
    </w:p>
    <w:p w14:paraId="3E325887">
      <w:pPr>
        <w:rPr>
          <w:rFonts w:hint="eastAsia"/>
          <w:color w:val="auto"/>
          <w:lang w:val="en-US" w:eastAsia="zh-CN"/>
        </w:rPr>
      </w:pPr>
      <w:bookmarkStart w:id="334" w:name="_Toc1570408173"/>
      <w:bookmarkStart w:id="335" w:name="_Toc588338895"/>
      <w:bookmarkStart w:id="336" w:name="_Toc179418258"/>
      <w:bookmarkStart w:id="337" w:name="_Toc424887174"/>
      <w:bookmarkStart w:id="338" w:name="_Toc63138611"/>
      <w:bookmarkStart w:id="339" w:name="_Toc279863836"/>
      <w:bookmarkStart w:id="340" w:name="_Toc734387488"/>
      <w:bookmarkStart w:id="341" w:name="_Toc1036160773"/>
      <w:bookmarkStart w:id="342" w:name="_Toc1899031309"/>
      <w:bookmarkStart w:id="343" w:name="_Toc19205458"/>
      <w:bookmarkStart w:id="344" w:name="_Toc32654352"/>
      <w:r>
        <w:rPr>
          <w:rFonts w:hint="eastAsia"/>
          <w:color w:val="auto"/>
          <w:lang w:val="en-US" w:eastAsia="zh-CN"/>
        </w:rPr>
        <w:br w:type="page"/>
      </w:r>
    </w:p>
    <w:p w14:paraId="76411055">
      <w:pPr>
        <w:pStyle w:val="3"/>
        <w:bidi w:val="0"/>
        <w:rPr>
          <w:rFonts w:hint="eastAsia"/>
          <w:color w:val="auto"/>
          <w:lang w:val="en-US" w:eastAsia="zh-CN"/>
        </w:rPr>
      </w:pPr>
      <w:bookmarkStart w:id="345" w:name="_Toc87908462"/>
      <w:bookmarkStart w:id="346" w:name="_Toc276962550"/>
      <w:r>
        <w:rPr>
          <w:rFonts w:hint="eastAsia"/>
          <w:color w:val="auto"/>
          <w:lang w:val="en-US" w:eastAsia="zh-CN"/>
        </w:rPr>
        <w:t xml:space="preserve">第二节 </w:t>
      </w:r>
      <w:r>
        <w:rPr>
          <w:rFonts w:hint="eastAsia"/>
          <w:color w:val="auto"/>
        </w:rPr>
        <w:t>社会主义核心价值观的核心要义与价值追求</w:t>
      </w:r>
      <w:bookmarkEnd w:id="334"/>
      <w:bookmarkEnd w:id="335"/>
      <w:bookmarkEnd w:id="336"/>
      <w:bookmarkEnd w:id="337"/>
      <w:bookmarkEnd w:id="338"/>
      <w:bookmarkEnd w:id="339"/>
      <w:bookmarkEnd w:id="340"/>
      <w:bookmarkEnd w:id="341"/>
      <w:bookmarkEnd w:id="342"/>
      <w:bookmarkEnd w:id="343"/>
      <w:bookmarkEnd w:id="344"/>
      <w:bookmarkEnd w:id="345"/>
      <w:bookmarkEnd w:id="346"/>
    </w:p>
    <w:p w14:paraId="4AE00435">
      <w:pPr>
        <w:pStyle w:val="4"/>
        <w:bidi w:val="0"/>
        <w:rPr>
          <w:rFonts w:hint="eastAsia"/>
          <w:color w:val="auto"/>
          <w:lang w:val="en-US" w:eastAsia="zh-CN"/>
        </w:rPr>
      </w:pPr>
      <w:bookmarkStart w:id="347" w:name="_Toc1276141981"/>
      <w:bookmarkStart w:id="348" w:name="_Toc415621818"/>
      <w:bookmarkStart w:id="349" w:name="_Toc1197097477"/>
      <w:bookmarkStart w:id="350" w:name="_Toc663585556"/>
      <w:bookmarkStart w:id="351" w:name="_Toc313713459"/>
      <w:bookmarkStart w:id="352" w:name="_Toc1213364079"/>
      <w:bookmarkStart w:id="353" w:name="_Toc695607143"/>
      <w:bookmarkStart w:id="354" w:name="_Toc682304722"/>
      <w:bookmarkStart w:id="355" w:name="_Toc809218288"/>
      <w:bookmarkStart w:id="356" w:name="_Toc1261991507"/>
      <w:bookmarkStart w:id="357" w:name="_Toc8771698"/>
      <w:bookmarkStart w:id="358" w:name="_Toc1117248649"/>
      <w:bookmarkStart w:id="359" w:name="_Toc1312514801"/>
      <w:r>
        <w:rPr>
          <w:rFonts w:hint="eastAsia"/>
          <w:color w:val="auto"/>
          <w:lang w:val="en-US" w:eastAsia="zh-CN"/>
        </w:rPr>
        <w:t>一、</w:t>
      </w:r>
      <w:r>
        <w:rPr>
          <w:rFonts w:hint="eastAsia"/>
          <w:color w:val="auto"/>
        </w:rPr>
        <w:t>三个层面的价值内涵与逻辑关联</w:t>
      </w:r>
      <w:bookmarkEnd w:id="347"/>
      <w:bookmarkEnd w:id="348"/>
      <w:bookmarkEnd w:id="349"/>
      <w:bookmarkEnd w:id="350"/>
      <w:bookmarkEnd w:id="351"/>
      <w:bookmarkEnd w:id="352"/>
      <w:bookmarkEnd w:id="353"/>
      <w:bookmarkEnd w:id="354"/>
      <w:bookmarkEnd w:id="355"/>
      <w:bookmarkEnd w:id="356"/>
      <w:bookmarkEnd w:id="357"/>
      <w:bookmarkEnd w:id="358"/>
      <w:bookmarkEnd w:id="35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民富国强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color w:val="auto"/>
          <w:lang w:val="en-US" w:eastAsia="zh-CN"/>
        </w:rPr>
      </w:pPr>
      <w:bookmarkStart w:id="360" w:name="_Toc505363841"/>
      <w:bookmarkStart w:id="361" w:name="_Toc1742760377"/>
      <w:bookmarkStart w:id="362" w:name="_Toc1397040290"/>
      <w:bookmarkStart w:id="363" w:name="_Toc999860821"/>
      <w:bookmarkStart w:id="364" w:name="_Toc509752028"/>
      <w:bookmarkStart w:id="365" w:name="_Toc517829965"/>
      <w:bookmarkStart w:id="366" w:name="_Toc1990490843"/>
      <w:bookmarkStart w:id="367" w:name="_Toc1034375"/>
      <w:bookmarkStart w:id="368" w:name="_Toc168278133"/>
      <w:bookmarkStart w:id="369" w:name="_Toc1739075082"/>
      <w:bookmarkStart w:id="370" w:name="_Toc2080271321"/>
      <w:bookmarkStart w:id="371" w:name="_Toc1199092078"/>
      <w:bookmarkStart w:id="372" w:name="_Toc484238423"/>
      <w:r>
        <w:rPr>
          <w:rFonts w:hint="eastAsia"/>
          <w:color w:val="auto"/>
          <w:lang w:val="en-US" w:eastAsia="zh-CN"/>
        </w:rPr>
        <w:t>二、</w:t>
      </w:r>
      <w:r>
        <w:rPr>
          <w:rFonts w:hint="eastAsia"/>
          <w:color w:val="auto"/>
        </w:rPr>
        <w:t>核心价值观对宗教领域的引领功能</w:t>
      </w:r>
      <w:bookmarkEnd w:id="360"/>
      <w:bookmarkEnd w:id="361"/>
      <w:bookmarkEnd w:id="362"/>
      <w:bookmarkEnd w:id="363"/>
      <w:bookmarkEnd w:id="364"/>
      <w:bookmarkEnd w:id="365"/>
      <w:bookmarkEnd w:id="366"/>
      <w:bookmarkEnd w:id="367"/>
      <w:bookmarkEnd w:id="368"/>
      <w:bookmarkEnd w:id="369"/>
      <w:bookmarkEnd w:id="370"/>
      <w:bookmarkEnd w:id="371"/>
      <w:bookmarkEnd w:id="372"/>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98533EB">
      <w:pPr>
        <w:rPr>
          <w:color w:val="auto"/>
        </w:rPr>
      </w:pPr>
      <w:bookmarkStart w:id="373" w:name="_Toc1382467504"/>
      <w:bookmarkStart w:id="374" w:name="_Toc679345335"/>
      <w:bookmarkStart w:id="375" w:name="_Toc352251802"/>
      <w:bookmarkStart w:id="376" w:name="_Toc1044194806"/>
      <w:r>
        <w:rPr>
          <w:color w:val="auto"/>
        </w:rPr>
        <w:br w:type="page"/>
      </w:r>
    </w:p>
    <w:p w14:paraId="0E8F3CFB">
      <w:pPr>
        <w:pStyle w:val="3"/>
        <w:bidi w:val="0"/>
        <w:rPr>
          <w:rFonts w:hint="eastAsia"/>
          <w:color w:val="auto"/>
          <w:lang w:val="en-US" w:eastAsia="zh-CN"/>
        </w:rPr>
      </w:pPr>
      <w:bookmarkStart w:id="377" w:name="_Toc1617441379"/>
      <w:bookmarkStart w:id="378" w:name="_Toc1779636878"/>
      <w:r>
        <w:rPr>
          <w:color w:val="auto"/>
        </w:rPr>
        <w:t>第三节 研究的理论基础与分析框架</w:t>
      </w:r>
      <w:bookmarkEnd w:id="373"/>
      <w:bookmarkEnd w:id="374"/>
      <w:bookmarkEnd w:id="375"/>
      <w:bookmarkEnd w:id="376"/>
      <w:bookmarkEnd w:id="377"/>
      <w:bookmarkEnd w:id="378"/>
    </w:p>
    <w:p w14:paraId="48ABBCA4">
      <w:pPr>
        <w:pStyle w:val="4"/>
        <w:bidi w:val="0"/>
        <w:rPr>
          <w:rFonts w:hint="eastAsia"/>
          <w:color w:val="auto"/>
          <w:lang w:val="en-US" w:eastAsia="zh-CN"/>
        </w:rPr>
      </w:pPr>
      <w:bookmarkStart w:id="379" w:name="_Toc858157202"/>
      <w:bookmarkStart w:id="380" w:name="_Toc875489466"/>
      <w:bookmarkStart w:id="381" w:name="_Toc648545593"/>
      <w:bookmarkStart w:id="382" w:name="_Toc568252834"/>
      <w:bookmarkStart w:id="383" w:name="_Toc1546430829"/>
      <w:bookmarkStart w:id="384" w:name="_Toc1815375869"/>
      <w:bookmarkStart w:id="385" w:name="_Toc1505762835"/>
      <w:bookmarkStart w:id="386" w:name="_Toc545741158"/>
      <w:bookmarkStart w:id="387" w:name="_Toc1733977893"/>
      <w:bookmarkStart w:id="388" w:name="_Toc1489253127"/>
      <w:bookmarkStart w:id="389" w:name="_Toc494679709"/>
      <w:bookmarkStart w:id="390" w:name="_Toc1831105082"/>
      <w:bookmarkStart w:id="391" w:name="_Toc204773130"/>
      <w:r>
        <w:rPr>
          <w:rFonts w:hint="eastAsia"/>
          <w:color w:val="auto"/>
          <w:lang w:val="en-US" w:eastAsia="zh-CN"/>
        </w:rPr>
        <w:t>一、</w:t>
      </w:r>
      <w:r>
        <w:rPr>
          <w:rFonts w:hint="eastAsia"/>
          <w:color w:val="auto"/>
        </w:rPr>
        <w:t>中国特色社会主义宗教理论：政策合法性框架</w:t>
      </w:r>
      <w:bookmarkEnd w:id="379"/>
      <w:bookmarkEnd w:id="380"/>
      <w:bookmarkEnd w:id="381"/>
      <w:bookmarkEnd w:id="382"/>
      <w:bookmarkEnd w:id="383"/>
      <w:bookmarkEnd w:id="384"/>
      <w:bookmarkEnd w:id="385"/>
      <w:bookmarkEnd w:id="386"/>
      <w:bookmarkEnd w:id="387"/>
      <w:bookmarkEnd w:id="388"/>
      <w:bookmarkEnd w:id="389"/>
      <w:bookmarkEnd w:id="390"/>
      <w:bookmarkEnd w:id="391"/>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color w:val="auto"/>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改革开放后，随着社会转型和宗教领域的新变化，理论不断得到丰富和发展。龚学增系统论述了社会主义与宗教的关系，提出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积极引导宗教与社会主义社会相适应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是处理中国宗教问题的根本途径。</w:t>
      </w:r>
      <w:r>
        <w:rPr>
          <w:rStyle w:val="29"/>
          <w:rFonts w:hint="eastAsia" w:ascii="宋体" w:hAnsi="宋体" w:eastAsia="宋体" w:cs="宋体"/>
          <w:color w:val="auto"/>
          <w:sz w:val="24"/>
          <w:szCs w:val="24"/>
        </w:rPr>
        <w:footnoteReference w:id="59"/>
      </w:r>
      <w:r>
        <w:rPr>
          <w:rFonts w:hint="eastAsia" w:ascii="宋体" w:hAnsi="宋体" w:eastAsia="宋体" w:cs="宋体"/>
          <w:color w:val="auto"/>
          <w:sz w:val="24"/>
          <w:szCs w:val="24"/>
        </w:rPr>
        <w:t xml:space="preserve"> 到新时代，习近平总书记提出的坚持宗教中国化方向、以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该理论的核心内容包括几个关键方面：首先是关于我国宗教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的基本判断，即长期性、群众性、民族性、国际性、复杂性；其次是坚持宗教中国化方向的核心要求；最后是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的宗教工作方针，主张积极引导宗教与社会主义社会相适应。</w:t>
      </w:r>
      <w:r>
        <w:rPr>
          <w:rStyle w:val="29"/>
          <w:rFonts w:hint="eastAsia" w:ascii="宋体" w:hAnsi="宋体" w:eastAsia="宋体" w:cs="宋体"/>
          <w:color w:val="auto"/>
          <w:sz w:val="24"/>
          <w:szCs w:val="24"/>
        </w:rPr>
        <w:footnoteReference w:id="60"/>
      </w:r>
      <w:r>
        <w:rPr>
          <w:rFonts w:hint="eastAsia" w:ascii="宋体" w:hAnsi="宋体" w:eastAsia="宋体" w:cs="宋体"/>
          <w:color w:val="auto"/>
          <w:sz w:val="24"/>
          <w:szCs w:val="24"/>
        </w:rPr>
        <w:t xml:space="preserve"> 本文以此作为研究的根本政策遵循，确保分析不偏离正确的政治方向。</w:t>
      </w:r>
    </w:p>
    <w:p w14:paraId="6E62AE12">
      <w:pPr>
        <w:pStyle w:val="4"/>
        <w:bidi w:val="0"/>
        <w:rPr>
          <w:rFonts w:hint="eastAsia"/>
          <w:color w:val="auto"/>
          <w:lang w:val="en-US" w:eastAsia="zh-CN"/>
        </w:rPr>
      </w:pPr>
      <w:bookmarkStart w:id="392" w:name="_Toc1626273026"/>
      <w:bookmarkStart w:id="393" w:name="_Toc1940989465"/>
      <w:bookmarkStart w:id="394" w:name="_Toc1942451664"/>
      <w:bookmarkStart w:id="395" w:name="_Toc1172671626"/>
      <w:bookmarkStart w:id="396" w:name="_Toc1722057354"/>
      <w:bookmarkStart w:id="397" w:name="_Toc368986169"/>
      <w:bookmarkStart w:id="398" w:name="_Toc1613357861"/>
      <w:bookmarkStart w:id="399" w:name="_Toc547920762"/>
      <w:bookmarkStart w:id="400" w:name="_Toc765602829"/>
      <w:bookmarkStart w:id="401" w:name="_Toc1408671597"/>
      <w:bookmarkStart w:id="402" w:name="_Toc955399704"/>
      <w:bookmarkStart w:id="403" w:name="_Toc2015847009"/>
      <w:bookmarkStart w:id="404" w:name="_Toc1353193416"/>
      <w:r>
        <w:rPr>
          <w:rFonts w:hint="eastAsia"/>
          <w:color w:val="auto"/>
          <w:lang w:val="en-US" w:eastAsia="zh-CN"/>
        </w:rPr>
        <w:t>二、</w:t>
      </w:r>
      <w:r>
        <w:rPr>
          <w:rFonts w:hint="eastAsia"/>
          <w:color w:val="auto"/>
        </w:rPr>
        <w:t>文化翻译理论与</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：过程分析框架</w:t>
      </w:r>
      <w:bookmarkEnd w:id="392"/>
      <w:bookmarkEnd w:id="393"/>
      <w:bookmarkEnd w:id="394"/>
      <w:bookmarkEnd w:id="395"/>
      <w:bookmarkEnd w:id="396"/>
      <w:bookmarkEnd w:id="397"/>
      <w:bookmarkEnd w:id="398"/>
      <w:bookmarkEnd w:id="399"/>
      <w:bookmarkEnd w:id="400"/>
      <w:bookmarkEnd w:id="401"/>
      <w:bookmarkEnd w:id="402"/>
      <w:bookmarkEnd w:id="403"/>
      <w:bookmarkEnd w:id="404"/>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Homi Bhabha</w:t>
      </w:r>
      <w:r>
        <w:rPr>
          <w:rFonts w:hint="eastAsia" w:ascii="宋体" w:hAnsi="宋体" w:eastAsia="宋体" w:cs="宋体"/>
          <w:color w:val="auto"/>
          <w:sz w:val="24"/>
          <w:szCs w:val="24"/>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理论指出，文化相遇并非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本土—外来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的二元对立，而是在交互中生成新的意义空间。</w:t>
      </w:r>
      <w:r>
        <w:rPr>
          <w:rStyle w:val="29"/>
          <w:rFonts w:hint="eastAsia" w:ascii="宋体" w:hAnsi="宋体" w:eastAsia="宋体" w:cs="宋体"/>
          <w:color w:val="auto"/>
          <w:sz w:val="24"/>
          <w:szCs w:val="24"/>
        </w:rPr>
        <w:footnoteReference w:id="61"/>
      </w:r>
      <w:r>
        <w:rPr>
          <w:rFonts w:hint="eastAsia" w:ascii="宋体" w:hAnsi="宋体" w:eastAsia="宋体" w:cs="宋体"/>
          <w:color w:val="auto"/>
          <w:sz w:val="24"/>
          <w:szCs w:val="24"/>
        </w:rPr>
        <w:t xml:space="preserve"> 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的实践，正是发生在这一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刘耘华系统分析了这一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跨文化诠释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的机制，指出其本质是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62"/>
      </w:r>
      <w:r>
        <w:rPr>
          <w:rFonts w:hint="eastAsia" w:ascii="宋体" w:hAnsi="宋体" w:eastAsia="宋体" w:cs="宋体"/>
          <w:color w:val="auto"/>
          <w:sz w:val="24"/>
          <w:szCs w:val="24"/>
        </w:rPr>
        <w:t xml:space="preserve"> 本文将当代融合视为这一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文化翻译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的延续：基督教仁爱观念与核心价值观的对话，不是在二者之间寻找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最大公约数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第三空间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中生成兼具双方特质的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新意义。这一理论视角为第三章第三节分析二者文化内核的契合性提供了分析工具。</w:t>
      </w:r>
    </w:p>
    <w:p w14:paraId="6DD6A973">
      <w:pPr>
        <w:pStyle w:val="4"/>
        <w:bidi w:val="0"/>
        <w:rPr>
          <w:rFonts w:hint="eastAsia"/>
          <w:color w:val="auto"/>
          <w:lang w:val="en-US" w:eastAsia="zh-CN"/>
        </w:rPr>
      </w:pPr>
      <w:bookmarkStart w:id="405" w:name="_Toc980838059"/>
      <w:bookmarkStart w:id="406" w:name="_Toc1746372613"/>
      <w:bookmarkStart w:id="407" w:name="_Toc494368598"/>
      <w:bookmarkStart w:id="408" w:name="_Toc1765253494"/>
      <w:bookmarkStart w:id="409" w:name="_Toc1912217826"/>
      <w:bookmarkStart w:id="410" w:name="_Toc1683806251"/>
      <w:bookmarkStart w:id="411" w:name="_Toc1577042805"/>
      <w:bookmarkStart w:id="412" w:name="_Toc1638665191"/>
      <w:bookmarkStart w:id="413" w:name="_Toc667596509"/>
      <w:bookmarkStart w:id="414" w:name="_Toc1634589663"/>
      <w:bookmarkStart w:id="415" w:name="_Toc1933340325"/>
      <w:bookmarkStart w:id="416" w:name="_Toc738715154"/>
      <w:bookmarkStart w:id="417" w:name="_Toc1269920982"/>
      <w:r>
        <w:rPr>
          <w:rFonts w:hint="eastAsia"/>
          <w:color w:val="auto"/>
          <w:lang w:val="en-US" w:eastAsia="zh-CN"/>
        </w:rPr>
        <w:t>三、</w:t>
      </w:r>
      <w:r>
        <w:rPr>
          <w:rFonts w:hint="eastAsia"/>
          <w:color w:val="auto"/>
        </w:rPr>
        <w:t>交叠共识理论：价值对话框架</w:t>
      </w:r>
      <w:bookmarkEnd w:id="405"/>
      <w:bookmarkEnd w:id="406"/>
      <w:bookmarkEnd w:id="407"/>
      <w:bookmarkEnd w:id="408"/>
      <w:bookmarkEnd w:id="409"/>
      <w:bookmarkEnd w:id="410"/>
      <w:bookmarkEnd w:id="411"/>
      <w:bookmarkEnd w:id="412"/>
      <w:bookmarkEnd w:id="413"/>
      <w:bookmarkEnd w:id="414"/>
      <w:bookmarkEnd w:id="415"/>
      <w:bookmarkEnd w:id="416"/>
      <w:bookmarkEnd w:id="417"/>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在价值对话的理论基础方面，</w:t>
      </w:r>
      <w:r>
        <w:rPr>
          <w:rFonts w:hint="default" w:ascii="Times New Roman" w:hAnsi="Times New Roman" w:eastAsia="宋体" w:cs="Times New Roman"/>
          <w:color w:val="auto"/>
          <w:sz w:val="24"/>
          <w:szCs w:val="24"/>
        </w:rPr>
        <w:t>Rawls</w:t>
      </w:r>
      <w:r>
        <w:rPr>
          <w:rFonts w:hint="eastAsia" w:ascii="宋体" w:hAnsi="宋体" w:eastAsia="宋体" w:cs="宋体"/>
          <w:color w:val="auto"/>
          <w:sz w:val="24"/>
          <w:szCs w:val="24"/>
        </w:rPr>
        <w:t>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等实践性价值上形成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63"/>
      </w:r>
      <w:r>
        <w:rPr>
          <w:rStyle w:val="29"/>
          <w:rFonts w:hint="eastAsia" w:ascii="宋体" w:hAnsi="宋体" w:eastAsia="宋体" w:cs="宋体"/>
          <w:color w:val="auto"/>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这一理论视角为第三章第一节分析二者价值追求的契合性提供了分析工具，同时也回应了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的质疑——融合不是掩盖差异，而是承认差异前提下的实践合作。</w:t>
      </w:r>
    </w:p>
    <w:p w14:paraId="6A5BDA40">
      <w:pPr>
        <w:pStyle w:val="4"/>
        <w:bidi w:val="0"/>
        <w:rPr>
          <w:rFonts w:hint="eastAsia"/>
          <w:color w:val="auto"/>
          <w:lang w:val="en-US" w:eastAsia="zh-CN"/>
        </w:rPr>
      </w:pPr>
      <w:bookmarkStart w:id="418" w:name="_Toc982629971"/>
      <w:bookmarkStart w:id="419" w:name="_Toc75779518"/>
      <w:bookmarkStart w:id="420" w:name="_Toc192160391"/>
      <w:bookmarkStart w:id="421" w:name="_Toc1552224227"/>
      <w:bookmarkStart w:id="422" w:name="_Toc1115252361"/>
      <w:bookmarkStart w:id="423" w:name="_Toc1839954835"/>
      <w:bookmarkStart w:id="424" w:name="_Toc860783241"/>
      <w:bookmarkStart w:id="425" w:name="_Toc1715576009"/>
      <w:bookmarkStart w:id="426" w:name="_Toc1937653617"/>
      <w:bookmarkStart w:id="427" w:name="_Toc1625503142"/>
      <w:bookmarkStart w:id="428" w:name="_Toc1128890353"/>
      <w:bookmarkStart w:id="429" w:name="_Toc238796343"/>
      <w:bookmarkStart w:id="430" w:name="_Toc1869460588"/>
      <w:r>
        <w:rPr>
          <w:rFonts w:hint="eastAsia"/>
          <w:color w:val="auto"/>
          <w:lang w:val="en-US" w:eastAsia="zh-CN"/>
        </w:rPr>
        <w:t>四、</w:t>
      </w:r>
      <w:r>
        <w:rPr>
          <w:rFonts w:hint="eastAsia"/>
          <w:color w:val="auto"/>
        </w:rPr>
        <w:t>处境化神学理论：教义诠释创新框架</w:t>
      </w:r>
      <w:bookmarkEnd w:id="418"/>
      <w:bookmarkEnd w:id="419"/>
      <w:bookmarkEnd w:id="420"/>
      <w:bookmarkEnd w:id="421"/>
      <w:bookmarkEnd w:id="422"/>
      <w:bookmarkEnd w:id="423"/>
      <w:bookmarkEnd w:id="424"/>
      <w:bookmarkEnd w:id="425"/>
      <w:bookmarkEnd w:id="426"/>
      <w:bookmarkEnd w:id="427"/>
      <w:bookmarkEnd w:id="428"/>
      <w:bookmarkEnd w:id="429"/>
      <w:bookmarkEnd w:id="430"/>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在教义诠释的方法论方面，</w:t>
      </w:r>
      <w:r>
        <w:rPr>
          <w:rFonts w:hint="default" w:ascii="Times New Roman" w:hAnsi="Times New Roman" w:eastAsia="宋体" w:cs="Times New Roman"/>
          <w:color w:val="auto"/>
          <w:sz w:val="24"/>
          <w:szCs w:val="24"/>
        </w:rPr>
        <w:t>Bevans</w:t>
      </w:r>
      <w:r>
        <w:rPr>
          <w:rFonts w:hint="eastAsia" w:ascii="宋体" w:hAnsi="宋体" w:eastAsia="宋体" w:cs="宋体"/>
          <w:color w:val="auto"/>
          <w:sz w:val="24"/>
          <w:szCs w:val="24"/>
        </w:rPr>
        <w:t>的处境化神学理论为基督教教义的本土化提供了多种路径选择。其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合成模型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主张在基督教传统与本土文化之间寻找综合点，创造新的神学表达；</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自然模型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则主张在本土文化的自然发展中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发现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福音的踪迹，而非强加外来的神学框架。</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进一步指出，本土神学建构需经历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外来神学中的文化霸权元素，然后在本土经验中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福音的意义。本文提出的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与仁的创造性对接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w:t>
      </w:r>
      <w:r>
        <w:rPr>
          <w:rStyle w:val="29"/>
          <w:rFonts w:hint="eastAsia" w:ascii="宋体" w:hAnsi="宋体" w:eastAsia="宋体" w:cs="宋体"/>
          <w:color w:val="auto"/>
          <w:sz w:val="24"/>
          <w:szCs w:val="24"/>
        </w:rPr>
        <w:footnoteReference w:id="65"/>
      </w:r>
      <w:r>
        <w:rPr>
          <w:rStyle w:val="29"/>
          <w:rFonts w:hint="eastAsia" w:ascii="宋体" w:hAnsi="宋体" w:eastAsia="宋体" w:cs="宋体"/>
          <w:color w:val="auto"/>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default" w:ascii="Times New Roman" w:hAnsi="Times New Roman" w:eastAsia="宋体" w:cs="Times New Roman"/>
          <w:color w:val="auto"/>
          <w:sz w:val="24"/>
          <w:szCs w:val="24"/>
        </w:rPr>
        <w:t>Robert Schreiter</w:t>
      </w:r>
      <w:r>
        <w:rPr>
          <w:rFonts w:hint="eastAsia" w:ascii="宋体" w:hAnsi="宋体" w:eastAsia="宋体" w:cs="宋体"/>
          <w:color w:val="auto"/>
          <w:sz w:val="24"/>
          <w:szCs w:val="24"/>
        </w:rPr>
        <w:t>在《建构本土神学》中进一步指出，本土神学建构需要经历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解构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（deconstruction）</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（reconstruction）</w:t>
      </w:r>
      <w:r>
        <w:rPr>
          <w:rFonts w:hint="eastAsia" w:ascii="宋体" w:hAnsi="宋体" w:eastAsia="宋体" w:cs="宋体"/>
          <w:color w:val="auto"/>
          <w:sz w:val="24"/>
          <w:szCs w:val="24"/>
        </w:rPr>
        <w:t>两个阶段：首先解构外来神学中的文化霸权元素，然后在本土经验中重构福音的意义。</w:t>
      </w:r>
      <w:r>
        <w:rPr>
          <w:rStyle w:val="29"/>
          <w:rFonts w:hint="eastAsia" w:ascii="宋体" w:hAnsi="宋体" w:eastAsia="宋体" w:cs="宋体"/>
          <w:color w:val="auto"/>
          <w:sz w:val="24"/>
          <w:szCs w:val="24"/>
        </w:rPr>
        <w:footnoteReference w:id="67"/>
      </w:r>
      <w:r>
        <w:rPr>
          <w:rFonts w:hint="eastAsia" w:ascii="宋体" w:hAnsi="宋体" w:eastAsia="宋体" w:cs="宋体"/>
          <w:color w:val="auto"/>
          <w:sz w:val="24"/>
          <w:szCs w:val="24"/>
        </w:rPr>
        <w:t xml:space="preserve"> 本文提出的</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方案，正是这一方法论的具体应用。2023年《纲要》明确提出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以社会主义核心价值观为引领，用中华优秀传统文化浸润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，这一政策要求与处境化神学理论形成了理论与实践的双向互动。</w:t>
      </w:r>
    </w:p>
    <w:p w14:paraId="37A1B6C4">
      <w:pPr>
        <w:pStyle w:val="4"/>
        <w:bidi w:val="0"/>
        <w:rPr>
          <w:rFonts w:hint="eastAsia"/>
          <w:color w:val="auto"/>
          <w:lang w:val="en-US" w:eastAsia="zh-CN"/>
        </w:rPr>
      </w:pPr>
      <w:bookmarkStart w:id="431" w:name="_Toc1971770096"/>
      <w:bookmarkStart w:id="432" w:name="_Toc1734085295"/>
      <w:bookmarkStart w:id="433" w:name="_Toc356395045"/>
      <w:bookmarkStart w:id="434" w:name="_Toc912677167"/>
      <w:bookmarkStart w:id="435" w:name="_Toc1691834107"/>
      <w:bookmarkStart w:id="436" w:name="_Toc809160311"/>
      <w:bookmarkStart w:id="437" w:name="_Toc1702317811"/>
      <w:bookmarkStart w:id="438" w:name="_Toc1570538641"/>
      <w:bookmarkStart w:id="439" w:name="_Toc168556355"/>
      <w:bookmarkStart w:id="440" w:name="_Toc1950684205"/>
      <w:bookmarkStart w:id="441" w:name="_Toc242141626"/>
      <w:bookmarkStart w:id="442" w:name="_Toc601239433"/>
      <w:bookmarkStart w:id="443" w:name="_Toc190863259"/>
      <w:r>
        <w:rPr>
          <w:rFonts w:hint="eastAsia"/>
          <w:color w:val="auto"/>
          <w:lang w:val="en-US" w:eastAsia="zh-CN"/>
        </w:rPr>
        <w:t>五、</w:t>
      </w:r>
      <w:r>
        <w:rPr>
          <w:rFonts w:hint="eastAsia"/>
          <w:color w:val="auto"/>
        </w:rPr>
        <w:t>研究边界与理论承诺</w:t>
      </w:r>
      <w:bookmarkEnd w:id="431"/>
      <w:bookmarkEnd w:id="432"/>
      <w:bookmarkEnd w:id="433"/>
      <w:bookmarkEnd w:id="434"/>
      <w:bookmarkEnd w:id="435"/>
      <w:bookmarkEnd w:id="436"/>
      <w:bookmarkEnd w:id="437"/>
      <w:bookmarkEnd w:id="438"/>
      <w:bookmarkEnd w:id="439"/>
      <w:bookmarkEnd w:id="440"/>
      <w:bookmarkEnd w:id="441"/>
      <w:bookmarkEnd w:id="442"/>
      <w:bookmarkEnd w:id="443"/>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w:t>
      </w:r>
      <w:r>
        <w:rPr>
          <w:rFonts w:hint="default" w:ascii="Times New Roman" w:hAnsi="Times New Roman" w:eastAsia="宋体" w:cs="Times New Roman"/>
          <w:color w:val="auto"/>
          <w:sz w:val="24"/>
          <w:szCs w:val="24"/>
        </w:rPr>
        <w:t>Peter Berger</w:t>
      </w:r>
      <w:r>
        <w:rPr>
          <w:rFonts w:hint="eastAsia" w:ascii="宋体" w:hAnsi="宋体" w:eastAsia="宋体" w:cs="宋体"/>
          <w:color w:val="auto"/>
          <w:sz w:val="24"/>
          <w:szCs w:val="24"/>
        </w:rPr>
        <w:t>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41F0EDF3">
      <w:pPr>
        <w:pStyle w:val="2"/>
        <w:bidi w:val="0"/>
        <w:rPr>
          <w:rFonts w:hint="eastAsia"/>
          <w:color w:val="auto"/>
          <w:lang w:val="en-US" w:eastAsia="zh-CN"/>
        </w:rPr>
      </w:pPr>
      <w:bookmarkStart w:id="444" w:name="_Toc1690894173"/>
      <w:bookmarkStart w:id="445" w:name="_Toc1664078333"/>
      <w:bookmarkStart w:id="446" w:name="_Toc2078304143"/>
      <w:bookmarkStart w:id="447" w:name="_Toc395728092"/>
      <w:bookmarkStart w:id="448" w:name="_Toc1972350069"/>
      <w:bookmarkStart w:id="449" w:name="_Toc2036938895"/>
      <w:bookmarkStart w:id="450" w:name="_Toc192797117"/>
      <w:bookmarkStart w:id="451" w:name="_Toc1321434010"/>
      <w:bookmarkStart w:id="452" w:name="_Toc1719846615"/>
      <w:bookmarkStart w:id="453" w:name="_Toc599629832"/>
      <w:bookmarkStart w:id="454" w:name="_Toc1270979628"/>
      <w:bookmarkStart w:id="455" w:name="_Toc1120591296"/>
      <w:bookmarkStart w:id="456" w:name="_Toc1645709042"/>
      <w:r>
        <w:rPr>
          <w:rFonts w:hint="eastAsia"/>
          <w:color w:val="auto"/>
          <w:lang w:val="en-US" w:eastAsia="zh-CN"/>
        </w:rPr>
        <w:t>三、</w:t>
      </w:r>
      <w:r>
        <w:rPr>
          <w:rFonts w:hint="eastAsia"/>
          <w:color w:val="auto"/>
        </w:rPr>
        <w:t>基督教仁爱观念与社会主义核心价值观的契合性分析</w:t>
      </w:r>
      <w:bookmarkEnd w:id="444"/>
      <w:bookmarkEnd w:id="445"/>
      <w:bookmarkEnd w:id="446"/>
      <w:bookmarkEnd w:id="447"/>
      <w:bookmarkEnd w:id="448"/>
      <w:bookmarkEnd w:id="449"/>
      <w:bookmarkEnd w:id="450"/>
      <w:bookmarkEnd w:id="451"/>
      <w:bookmarkEnd w:id="452"/>
      <w:bookmarkEnd w:id="453"/>
      <w:bookmarkEnd w:id="454"/>
      <w:bookmarkEnd w:id="455"/>
      <w:bookmarkEnd w:id="456"/>
    </w:p>
    <w:p w14:paraId="15750AA9">
      <w:pPr>
        <w:pStyle w:val="3"/>
        <w:bidi w:val="0"/>
        <w:rPr>
          <w:rFonts w:hint="eastAsia"/>
          <w:color w:val="auto"/>
          <w:lang w:val="en-US" w:eastAsia="zh-CN"/>
        </w:rPr>
      </w:pPr>
      <w:bookmarkStart w:id="457" w:name="_Toc1207264860"/>
      <w:bookmarkStart w:id="458" w:name="_Toc730034591"/>
      <w:bookmarkStart w:id="459" w:name="_Toc65528796"/>
      <w:bookmarkStart w:id="460" w:name="_Toc1935805743"/>
      <w:bookmarkStart w:id="461" w:name="_Toc1236212946"/>
      <w:bookmarkStart w:id="462" w:name="_Toc332169685"/>
      <w:bookmarkStart w:id="463" w:name="_Toc334771087"/>
      <w:bookmarkStart w:id="464" w:name="_Toc346327682"/>
      <w:bookmarkStart w:id="465" w:name="_Toc1485007850"/>
      <w:bookmarkStart w:id="466" w:name="_Toc1795191438"/>
      <w:bookmarkStart w:id="467" w:name="_Toc245187485"/>
      <w:bookmarkStart w:id="468" w:name="_Toc1985314700"/>
      <w:bookmarkStart w:id="469" w:name="_Toc1989979181"/>
      <w:r>
        <w:rPr>
          <w:rFonts w:hint="eastAsia"/>
          <w:color w:val="auto"/>
          <w:lang w:val="en-US" w:eastAsia="zh-CN"/>
        </w:rPr>
        <w:t xml:space="preserve">第一节 </w:t>
      </w:r>
      <w:r>
        <w:rPr>
          <w:rFonts w:hint="eastAsia"/>
          <w:color w:val="auto"/>
        </w:rPr>
        <w:t>价值追求的契合：对人的尊严与福祉的共同关切</w:t>
      </w:r>
      <w:bookmarkEnd w:id="457"/>
      <w:bookmarkEnd w:id="458"/>
      <w:bookmarkEnd w:id="459"/>
      <w:bookmarkEnd w:id="460"/>
      <w:bookmarkEnd w:id="461"/>
      <w:bookmarkEnd w:id="462"/>
      <w:bookmarkEnd w:id="463"/>
      <w:bookmarkEnd w:id="464"/>
      <w:bookmarkEnd w:id="465"/>
      <w:bookmarkEnd w:id="466"/>
      <w:bookmarkEnd w:id="467"/>
      <w:bookmarkEnd w:id="468"/>
      <w:bookmarkEnd w:id="469"/>
    </w:p>
    <w:p w14:paraId="5C38FD65">
      <w:pPr>
        <w:pStyle w:val="4"/>
        <w:bidi w:val="0"/>
        <w:rPr>
          <w:rFonts w:hint="eastAsia"/>
          <w:color w:val="auto"/>
          <w:lang w:val="en-US" w:eastAsia="zh-CN"/>
        </w:rPr>
      </w:pPr>
      <w:bookmarkStart w:id="470" w:name="_Toc1830847108"/>
      <w:bookmarkStart w:id="471" w:name="_Toc1992425449"/>
      <w:bookmarkStart w:id="472" w:name="_Toc1730739461"/>
      <w:bookmarkStart w:id="473" w:name="_Toc471989516"/>
      <w:bookmarkStart w:id="474" w:name="_Toc709870551"/>
      <w:bookmarkStart w:id="475" w:name="_Toc1075005164"/>
      <w:bookmarkStart w:id="476" w:name="_Toc1784741763"/>
      <w:bookmarkStart w:id="477" w:name="_Toc1465897242"/>
      <w:bookmarkStart w:id="478" w:name="_Toc126698697"/>
      <w:bookmarkStart w:id="479" w:name="_Toc90504069"/>
      <w:bookmarkStart w:id="480" w:name="_Toc1048668004"/>
      <w:bookmarkStart w:id="481" w:name="_Toc1117295626"/>
      <w:bookmarkStart w:id="482" w:name="_Toc669776689"/>
      <w:r>
        <w:rPr>
          <w:rFonts w:hint="eastAsia"/>
          <w:color w:val="auto"/>
          <w:lang w:val="en-US" w:eastAsia="zh-CN"/>
        </w:rPr>
        <w:t>一、</w:t>
      </w:r>
      <w:r>
        <w:rPr>
          <w:rFonts w:hint="eastAsia"/>
          <w:color w:val="auto"/>
        </w:rPr>
        <w:t>基督教</w:t>
      </w:r>
      <w:r>
        <w:rPr>
          <w:rFonts w:hint="eastAsia"/>
          <w:color w:val="auto"/>
          <w:lang w:eastAsia="zh-CN"/>
        </w:rPr>
        <w:t>“</w:t>
      </w:r>
      <w:r>
        <w:rPr>
          <w:rFonts w:hint="eastAsia"/>
          <w:color w:val="auto"/>
        </w:rPr>
        <w:t>爱人如己</w:t>
      </w:r>
      <w:r>
        <w:rPr>
          <w:rFonts w:hint="eastAsia"/>
          <w:color w:val="auto"/>
          <w:lang w:eastAsia="zh-CN"/>
        </w:rPr>
        <w:t>”</w:t>
      </w:r>
      <w:r>
        <w:rPr>
          <w:rFonts w:hint="eastAsia"/>
          <w:color w:val="auto"/>
        </w:rPr>
        <w:t>的人本导向解析</w:t>
      </w:r>
      <w:bookmarkEnd w:id="470"/>
      <w:bookmarkEnd w:id="471"/>
      <w:bookmarkEnd w:id="472"/>
      <w:bookmarkEnd w:id="473"/>
      <w:bookmarkEnd w:id="474"/>
      <w:bookmarkEnd w:id="475"/>
      <w:bookmarkEnd w:id="476"/>
      <w:bookmarkEnd w:id="477"/>
      <w:bookmarkEnd w:id="478"/>
      <w:bookmarkEnd w:id="479"/>
      <w:bookmarkEnd w:id="480"/>
      <w:bookmarkEnd w:id="481"/>
      <w:bookmarkEnd w:id="482"/>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color w:val="auto"/>
          <w:sz w:val="24"/>
          <w:szCs w:val="24"/>
        </w:rPr>
        <w:footnoteReference w:id="68"/>
      </w:r>
      <w:r>
        <w:rPr>
          <w:rFonts w:hint="eastAsia" w:ascii="宋体" w:hAnsi="宋体" w:eastAsia="宋体" w:cs="宋体"/>
          <w:color w:val="auto"/>
          <w:sz w:val="24"/>
          <w:szCs w:val="24"/>
        </w:rPr>
        <w:t xml:space="preserve"> 从处境化神学角度看，基督教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的诫命在不同文化语境中必然经历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再语境化</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（recontextualization）</w:t>
      </w:r>
      <w:r>
        <w:rPr>
          <w:rFonts w:hint="eastAsia" w:ascii="宋体" w:hAnsi="宋体" w:eastAsia="宋体" w:cs="宋体"/>
          <w:color w:val="auto"/>
          <w:sz w:val="24"/>
          <w:szCs w:val="24"/>
        </w:rPr>
        <w:t>：在希腊罗马语境中，它表现为对陌生人的接待</w:t>
      </w:r>
      <w:r>
        <w:rPr>
          <w:rFonts w:hint="default" w:ascii="Times New Roman" w:hAnsi="Times New Roman" w:eastAsia="宋体" w:cs="Times New Roman"/>
          <w:color w:val="auto"/>
          <w:sz w:val="24"/>
          <w:szCs w:val="24"/>
        </w:rPr>
        <w:t>（hospitality）</w:t>
      </w:r>
      <w:r>
        <w:rPr>
          <w:rFonts w:hint="eastAsia" w:ascii="宋体" w:hAnsi="宋体" w:eastAsia="宋体" w:cs="宋体"/>
          <w:color w:val="auto"/>
          <w:sz w:val="24"/>
          <w:szCs w:val="24"/>
        </w:rPr>
        <w:t>；在欧洲中世纪语境中，它表现为对贫民的救济</w:t>
      </w:r>
      <w:r>
        <w:rPr>
          <w:rFonts w:hint="default" w:ascii="Times New Roman" w:hAnsi="Times New Roman" w:eastAsia="宋体" w:cs="Times New Roman"/>
          <w:color w:val="auto"/>
          <w:sz w:val="24"/>
          <w:szCs w:val="24"/>
        </w:rPr>
        <w:t>（almsgiving）</w:t>
      </w:r>
      <w:r>
        <w:rPr>
          <w:rFonts w:hint="eastAsia" w:ascii="宋体" w:hAnsi="宋体" w:eastAsia="宋体" w:cs="宋体"/>
          <w:color w:val="auto"/>
          <w:sz w:val="24"/>
          <w:szCs w:val="24"/>
        </w:rPr>
        <w:t>；在当代中国语境中，它则应当表现为对社会主义核心价值观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准则的主动践行。</w:t>
      </w:r>
    </w:p>
    <w:p w14:paraId="6D4EC2B8">
      <w:pPr>
        <w:pStyle w:val="4"/>
        <w:bidi w:val="0"/>
        <w:rPr>
          <w:rFonts w:hint="eastAsia"/>
          <w:color w:val="auto"/>
          <w:lang w:val="en-US" w:eastAsia="zh-CN"/>
        </w:rPr>
      </w:pPr>
      <w:bookmarkStart w:id="483" w:name="_Toc790576814"/>
      <w:bookmarkStart w:id="484" w:name="_Toc2070687041"/>
      <w:bookmarkStart w:id="485" w:name="_Toc831869137"/>
      <w:bookmarkStart w:id="486" w:name="_Toc1268706302"/>
      <w:bookmarkStart w:id="487" w:name="_Toc103229445"/>
      <w:bookmarkStart w:id="488" w:name="_Toc1901649940"/>
      <w:bookmarkStart w:id="489" w:name="_Toc683465607"/>
      <w:bookmarkStart w:id="490" w:name="_Toc1522691572"/>
      <w:bookmarkStart w:id="491" w:name="_Toc564852299"/>
      <w:bookmarkStart w:id="492" w:name="_Toc982013672"/>
      <w:bookmarkStart w:id="493" w:name="_Toc872122412"/>
      <w:bookmarkStart w:id="494" w:name="_Toc1402547910"/>
      <w:bookmarkStart w:id="495" w:name="_Toc1975018096"/>
      <w:r>
        <w:rPr>
          <w:rFonts w:hint="eastAsia"/>
          <w:color w:val="auto"/>
          <w:lang w:val="en-US" w:eastAsia="zh-CN"/>
        </w:rPr>
        <w:t>二、</w:t>
      </w:r>
      <w:r>
        <w:rPr>
          <w:rFonts w:hint="eastAsia"/>
          <w:color w:val="auto"/>
        </w:rPr>
        <w:t>社会主义核心价值观</w:t>
      </w:r>
      <w:r>
        <w:rPr>
          <w:rFonts w:hint="eastAsia"/>
          <w:color w:val="auto"/>
          <w:lang w:eastAsia="zh-CN"/>
        </w:rPr>
        <w:t>“</w:t>
      </w:r>
      <w:r>
        <w:rPr>
          <w:rFonts w:hint="eastAsia"/>
          <w:color w:val="auto"/>
        </w:rPr>
        <w:t>以人为本</w:t>
      </w:r>
      <w:r>
        <w:rPr>
          <w:rFonts w:hint="eastAsia"/>
          <w:color w:val="auto"/>
          <w:lang w:eastAsia="zh-CN"/>
        </w:rPr>
        <w:t>”</w:t>
      </w:r>
      <w:r>
        <w:rPr>
          <w:rFonts w:hint="eastAsia"/>
          <w:color w:val="auto"/>
        </w:rPr>
        <w:t>的价值逻辑</w:t>
      </w:r>
      <w:bookmarkEnd w:id="483"/>
      <w:bookmarkEnd w:id="484"/>
      <w:bookmarkEnd w:id="485"/>
      <w:bookmarkEnd w:id="486"/>
      <w:bookmarkEnd w:id="487"/>
      <w:bookmarkEnd w:id="488"/>
      <w:bookmarkEnd w:id="489"/>
      <w:bookmarkEnd w:id="490"/>
      <w:bookmarkEnd w:id="491"/>
      <w:bookmarkEnd w:id="492"/>
      <w:bookmarkEnd w:id="493"/>
      <w:bookmarkEnd w:id="494"/>
      <w:bookmarkEnd w:id="495"/>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，价值逻辑的起点与归宿均指向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以人民为中心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color w:val="auto"/>
          <w:sz w:val="24"/>
          <w:szCs w:val="24"/>
        </w:rPr>
        <w:t>从理论渊源上看，这一逻辑继承并发展了中华传统文化中源远流长的民本思想，如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民惟邦本，本固邦宁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价值理念在法律制度中的具体落实。</w:t>
      </w:r>
    </w:p>
    <w:p w14:paraId="606A0C73">
      <w:pPr>
        <w:pStyle w:val="4"/>
        <w:bidi w:val="0"/>
        <w:rPr>
          <w:rFonts w:hint="eastAsia"/>
          <w:color w:val="auto"/>
          <w:lang w:val="en-US" w:eastAsia="zh-CN"/>
        </w:rPr>
      </w:pPr>
      <w:bookmarkStart w:id="496" w:name="_Toc1842213898"/>
      <w:bookmarkStart w:id="497" w:name="_Toc31423279"/>
      <w:bookmarkStart w:id="498" w:name="_Toc1957978986"/>
      <w:bookmarkStart w:id="499" w:name="_Toc116429046"/>
      <w:bookmarkStart w:id="500" w:name="_Toc314629305"/>
      <w:bookmarkStart w:id="501" w:name="_Toc743188909"/>
      <w:bookmarkStart w:id="502" w:name="_Toc781686651"/>
      <w:bookmarkStart w:id="503" w:name="_Toc2064598452"/>
      <w:bookmarkStart w:id="504" w:name="_Toc1291958109"/>
      <w:bookmarkStart w:id="505" w:name="_Toc1185487709"/>
      <w:bookmarkStart w:id="506" w:name="_Toc1106043589"/>
      <w:bookmarkStart w:id="507" w:name="_Toc1594869553"/>
      <w:bookmarkStart w:id="508" w:name="_Toc474407793"/>
      <w:r>
        <w:rPr>
          <w:rFonts w:hint="eastAsia"/>
          <w:color w:val="auto"/>
          <w:lang w:val="en-US" w:eastAsia="zh-CN"/>
        </w:rPr>
        <w:t>三、</w:t>
      </w:r>
      <w:r>
        <w:rPr>
          <w:rFonts w:hint="eastAsia"/>
          <w:color w:val="auto"/>
        </w:rPr>
        <w:t>二者价值追求的交叠共识：差异中的统一</w:t>
      </w:r>
      <w:bookmarkEnd w:id="496"/>
      <w:bookmarkEnd w:id="497"/>
      <w:bookmarkEnd w:id="498"/>
      <w:bookmarkEnd w:id="499"/>
      <w:bookmarkEnd w:id="500"/>
      <w:bookmarkEnd w:id="501"/>
      <w:bookmarkEnd w:id="502"/>
      <w:bookmarkEnd w:id="503"/>
      <w:bookmarkEnd w:id="504"/>
      <w:bookmarkEnd w:id="505"/>
      <w:bookmarkEnd w:id="506"/>
      <w:bookmarkEnd w:id="507"/>
      <w:bookmarkEnd w:id="508"/>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与此相应，社会主义核心价值观将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从政治哲学的视角看，基督教仁爱观念与核心价值观属于两种不同的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整全性学说</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（Comprehensive Doctrines）</w:t>
      </w:r>
      <w:r>
        <w:rPr>
          <w:rFonts w:hint="eastAsia" w:ascii="宋体" w:hAnsi="宋体" w:eastAsia="宋体" w:cs="宋体"/>
          <w:color w:val="auto"/>
          <w:sz w:val="24"/>
          <w:szCs w:val="24"/>
        </w:rPr>
        <w:t>，前者以上帝为价值根基，后者以人民为主体，二者在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终极关切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层面不可通约。但在公共伦理层面，二者可以就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尊重人的尊严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促进社会福祉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等实践性价值达成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交叠共识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——这不是掩盖差异的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虚假共识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，而是承认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不可通约性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前提下的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差异中的统一</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keepNext w:val="0"/>
        <w:keepLines w:val="0"/>
        <w:pageBreakBefore w:val="0"/>
        <w:widowControl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rPr>
        <w:t>以原典文本为参照，可以更清晰地看到这一交叠共识的生成机制。儒家之</w:t>
      </w:r>
      <w:r>
        <w:rPr>
          <w:rFonts w:hint="eastAsia" w:ascii="宋体" w:hAnsi="宋体" w:eastAsia="宋体" w:cs="宋体"/>
          <w:color w:val="auto"/>
          <w:lang w:eastAsia="zh-CN"/>
        </w:rPr>
        <w:t>“</w:t>
      </w:r>
      <w:r>
        <w:rPr>
          <w:rFonts w:hint="eastAsia" w:ascii="宋体" w:hAnsi="宋体" w:eastAsia="宋体" w:cs="宋体"/>
          <w:color w:val="auto"/>
        </w:rPr>
        <w:t>仁</w:t>
      </w:r>
      <w:r>
        <w:rPr>
          <w:rFonts w:hint="eastAsia" w:ascii="宋体" w:hAnsi="宋体" w:eastAsia="宋体" w:cs="宋体"/>
          <w:color w:val="auto"/>
          <w:lang w:eastAsia="zh-CN"/>
        </w:rPr>
        <w:t>”</w:t>
      </w:r>
      <w:r>
        <w:rPr>
          <w:rFonts w:hint="eastAsia" w:ascii="宋体" w:hAnsi="宋体" w:eastAsia="宋体" w:cs="宋体"/>
          <w:color w:val="auto"/>
        </w:rPr>
        <w:t>的核心要义即在于</w:t>
      </w:r>
      <w:r>
        <w:rPr>
          <w:rFonts w:hint="eastAsia" w:ascii="宋体" w:hAnsi="宋体" w:eastAsia="宋体" w:cs="宋体"/>
          <w:color w:val="auto"/>
          <w:lang w:eastAsia="zh-CN"/>
        </w:rPr>
        <w:t>“</w:t>
      </w:r>
      <w:r>
        <w:rPr>
          <w:rFonts w:hint="eastAsia" w:ascii="宋体" w:hAnsi="宋体" w:eastAsia="宋体" w:cs="宋体"/>
          <w:color w:val="auto"/>
        </w:rPr>
        <w:t>爱人</w:t>
      </w:r>
      <w:r>
        <w:rPr>
          <w:rFonts w:hint="eastAsia" w:ascii="宋体" w:hAnsi="宋体" w:eastAsia="宋体" w:cs="宋体"/>
          <w:color w:val="auto"/>
          <w:lang w:eastAsia="zh-CN"/>
        </w:rPr>
        <w:t>”</w:t>
      </w:r>
      <w:r>
        <w:rPr>
          <w:rFonts w:hint="eastAsia" w:ascii="宋体" w:hAnsi="宋体" w:eastAsia="宋体" w:cs="宋体"/>
          <w:color w:val="auto"/>
        </w:rPr>
        <w:t>，这一思想在《论语·颜渊》中得到了明确表达；而《礼记·礼运》则提出了</w:t>
      </w:r>
      <w:r>
        <w:rPr>
          <w:rFonts w:hint="eastAsia" w:ascii="宋体" w:hAnsi="宋体" w:eastAsia="宋体" w:cs="宋体"/>
          <w:color w:val="auto"/>
          <w:lang w:eastAsia="zh-CN"/>
        </w:rPr>
        <w:t>“</w:t>
      </w:r>
      <w:r>
        <w:rPr>
          <w:rFonts w:hint="eastAsia" w:ascii="宋体" w:hAnsi="宋体" w:eastAsia="宋体" w:cs="宋体"/>
          <w:color w:val="auto"/>
        </w:rPr>
        <w:t>天下为公</w:t>
      </w:r>
      <w:r>
        <w:rPr>
          <w:rFonts w:hint="eastAsia" w:ascii="宋体" w:hAnsi="宋体" w:eastAsia="宋体" w:cs="宋体"/>
          <w:color w:val="auto"/>
          <w:lang w:eastAsia="zh-CN"/>
        </w:rPr>
        <w:t>”</w:t>
      </w:r>
      <w:r>
        <w:rPr>
          <w:rFonts w:hint="eastAsia" w:ascii="宋体" w:hAnsi="宋体" w:eastAsia="宋体" w:cs="宋体"/>
          <w:color w:val="auto"/>
        </w:rPr>
        <w:t>的社会理想，确立了中华文明对社会公义的追求。这些经典论述与基督教</w:t>
      </w:r>
      <w:r>
        <w:rPr>
          <w:rFonts w:hint="eastAsia" w:ascii="宋体" w:hAnsi="宋体" w:eastAsia="宋体" w:cs="宋体"/>
          <w:color w:val="auto"/>
          <w:lang w:eastAsia="zh-CN"/>
        </w:rPr>
        <w:t>“</w:t>
      </w:r>
      <w:r>
        <w:rPr>
          <w:rFonts w:hint="eastAsia" w:ascii="宋体" w:hAnsi="宋体" w:eastAsia="宋体" w:cs="宋体"/>
          <w:color w:val="auto"/>
        </w:rPr>
        <w:t>爱人如己</w:t>
      </w:r>
      <w:r>
        <w:rPr>
          <w:rFonts w:hint="eastAsia" w:ascii="宋体" w:hAnsi="宋体" w:eastAsia="宋体" w:cs="宋体"/>
          <w:color w:val="auto"/>
          <w:lang w:eastAsia="zh-CN"/>
        </w:rPr>
        <w:t>”</w:t>
      </w:r>
      <w:r>
        <w:rPr>
          <w:rFonts w:hint="eastAsia" w:ascii="宋体" w:hAnsi="宋体" w:eastAsia="宋体" w:cs="宋体"/>
          <w:color w:val="auto"/>
        </w:rPr>
        <w:t>的伦理训导、以及</w:t>
      </w:r>
      <w:r>
        <w:rPr>
          <w:rFonts w:hint="eastAsia" w:ascii="宋体" w:hAnsi="宋体" w:eastAsia="宋体" w:cs="宋体"/>
          <w:color w:val="auto"/>
          <w:lang w:eastAsia="zh-CN"/>
        </w:rPr>
        <w:t>“</w:t>
      </w:r>
      <w:r>
        <w:rPr>
          <w:rFonts w:hint="eastAsia" w:ascii="宋体" w:hAnsi="宋体" w:eastAsia="宋体" w:cs="宋体"/>
          <w:color w:val="auto"/>
        </w:rPr>
        <w:t>行公义，好怜悯</w:t>
      </w:r>
      <w:r>
        <w:rPr>
          <w:rFonts w:hint="eastAsia" w:ascii="宋体" w:hAnsi="宋体" w:eastAsia="宋体" w:cs="宋体"/>
          <w:color w:val="auto"/>
          <w:lang w:eastAsia="zh-CN"/>
        </w:rPr>
        <w:t>”</w:t>
      </w:r>
      <w:r>
        <w:rPr>
          <w:rFonts w:hint="eastAsia" w:ascii="宋体" w:hAnsi="宋体" w:eastAsia="宋体" w:cs="宋体"/>
          <w:color w:val="auto"/>
        </w:rPr>
        <w:t>的宗教教导（弥6:8）在伦理实践层面形成了深刻的呼应。值得注意的是，这种呼应不是简单的概念等同，而是在文化交融的</w:t>
      </w:r>
      <w:r>
        <w:rPr>
          <w:rFonts w:hint="eastAsia" w:ascii="宋体" w:hAnsi="宋体" w:eastAsia="宋体" w:cs="宋体"/>
          <w:color w:val="auto"/>
          <w:lang w:eastAsia="zh-CN"/>
        </w:rPr>
        <w:t>“</w:t>
      </w:r>
      <w:r>
        <w:rPr>
          <w:rFonts w:hint="eastAsia" w:ascii="宋体" w:hAnsi="宋体" w:eastAsia="宋体" w:cs="宋体"/>
          <w:color w:val="auto"/>
        </w:rPr>
        <w:t>第三空间</w:t>
      </w:r>
      <w:r>
        <w:rPr>
          <w:rFonts w:hint="eastAsia" w:ascii="宋体" w:hAnsi="宋体" w:eastAsia="宋体" w:cs="宋体"/>
          <w:color w:val="auto"/>
          <w:lang w:eastAsia="zh-CN"/>
        </w:rPr>
        <w:t>”</w:t>
      </w:r>
      <w:r>
        <w:rPr>
          <w:rFonts w:hint="eastAsia" w:ascii="宋体" w:hAnsi="宋体" w:eastAsia="宋体" w:cs="宋体"/>
          <w:color w:val="auto"/>
        </w:rPr>
        <w:t>中生成的创造性诠释——儒家之</w:t>
      </w:r>
      <w:r>
        <w:rPr>
          <w:rFonts w:hint="eastAsia" w:ascii="宋体" w:hAnsi="宋体" w:eastAsia="宋体" w:cs="宋体"/>
          <w:color w:val="auto"/>
          <w:lang w:eastAsia="zh-CN"/>
        </w:rPr>
        <w:t>“</w:t>
      </w:r>
      <w:r>
        <w:rPr>
          <w:rFonts w:hint="eastAsia" w:ascii="宋体" w:hAnsi="宋体" w:eastAsia="宋体" w:cs="宋体"/>
          <w:color w:val="auto"/>
        </w:rPr>
        <w:t>仁</w:t>
      </w:r>
      <w:r>
        <w:rPr>
          <w:rFonts w:hint="eastAsia" w:ascii="宋体" w:hAnsi="宋体" w:eastAsia="宋体" w:cs="宋体"/>
          <w:color w:val="auto"/>
          <w:lang w:eastAsia="zh-CN"/>
        </w:rPr>
        <w:t>”</w:t>
      </w:r>
      <w:r>
        <w:rPr>
          <w:rFonts w:hint="eastAsia" w:ascii="宋体" w:hAnsi="宋体" w:eastAsia="宋体" w:cs="宋体"/>
          <w:color w:val="auto"/>
        </w:rPr>
        <w:t>为基督教</w:t>
      </w:r>
      <w:r>
        <w:rPr>
          <w:rFonts w:hint="default" w:ascii="Times New Roman" w:hAnsi="Times New Roman" w:eastAsia="宋体" w:cs="Times New Roman"/>
          <w:color w:val="auto"/>
        </w:rPr>
        <w:t>Agape</w:t>
      </w:r>
      <w:r>
        <w:rPr>
          <w:rFonts w:hint="eastAsia" w:ascii="宋体" w:hAnsi="宋体" w:eastAsia="宋体" w:cs="宋体"/>
          <w:color w:val="auto"/>
        </w:rPr>
        <w:t>提供了</w:t>
      </w:r>
      <w:r>
        <w:rPr>
          <w:rFonts w:hint="eastAsia" w:ascii="宋体" w:hAnsi="宋体" w:eastAsia="宋体" w:cs="宋体"/>
          <w:color w:val="auto"/>
          <w:lang w:eastAsia="zh-CN"/>
        </w:rPr>
        <w:t>“</w:t>
      </w:r>
      <w:r>
        <w:rPr>
          <w:rFonts w:hint="eastAsia" w:ascii="宋体" w:hAnsi="宋体" w:eastAsia="宋体" w:cs="宋体"/>
          <w:color w:val="auto"/>
        </w:rPr>
        <w:t>差序推扩</w:t>
      </w:r>
      <w:r>
        <w:rPr>
          <w:rFonts w:hint="eastAsia" w:ascii="宋体" w:hAnsi="宋体" w:eastAsia="宋体" w:cs="宋体"/>
          <w:color w:val="auto"/>
          <w:lang w:eastAsia="zh-CN"/>
        </w:rPr>
        <w:t>”</w:t>
      </w:r>
      <w:r>
        <w:rPr>
          <w:rFonts w:hint="eastAsia" w:ascii="宋体" w:hAnsi="宋体" w:eastAsia="宋体" w:cs="宋体"/>
          <w:color w:val="auto"/>
        </w:rPr>
        <w:t>的本土化路径，而基督教</w:t>
      </w:r>
      <w:r>
        <w:rPr>
          <w:rFonts w:hint="default" w:ascii="Times New Roman" w:hAnsi="Times New Roman" w:eastAsia="宋体" w:cs="Times New Roman"/>
          <w:color w:val="auto"/>
        </w:rPr>
        <w:t>Agape</w:t>
      </w:r>
      <w:r>
        <w:rPr>
          <w:rFonts w:hint="eastAsia" w:ascii="宋体" w:hAnsi="宋体" w:eastAsia="宋体" w:cs="宋体"/>
          <w:color w:val="auto"/>
        </w:rPr>
        <w:t>的普遍主义则为儒家</w:t>
      </w:r>
      <w:r>
        <w:rPr>
          <w:rFonts w:hint="eastAsia" w:ascii="宋体" w:hAnsi="宋体" w:eastAsia="宋体" w:cs="宋体"/>
          <w:color w:val="auto"/>
          <w:lang w:eastAsia="zh-CN"/>
        </w:rPr>
        <w:t>“</w:t>
      </w:r>
      <w:r>
        <w:rPr>
          <w:rFonts w:hint="eastAsia" w:ascii="宋体" w:hAnsi="宋体" w:eastAsia="宋体" w:cs="宋体"/>
          <w:color w:val="auto"/>
        </w:rPr>
        <w:t>仁</w:t>
      </w:r>
      <w:r>
        <w:rPr>
          <w:rFonts w:hint="eastAsia" w:ascii="宋体" w:hAnsi="宋体" w:eastAsia="宋体" w:cs="宋体"/>
          <w:color w:val="auto"/>
          <w:lang w:eastAsia="zh-CN"/>
        </w:rPr>
        <w:t>”</w:t>
      </w:r>
      <w:r>
        <w:rPr>
          <w:rFonts w:hint="eastAsia" w:ascii="宋体" w:hAnsi="宋体" w:eastAsia="宋体" w:cs="宋体"/>
          <w:color w:val="auto"/>
        </w:rPr>
        <w:t>突破了</w:t>
      </w:r>
      <w:r>
        <w:rPr>
          <w:rFonts w:hint="eastAsia" w:ascii="宋体" w:hAnsi="宋体" w:eastAsia="宋体" w:cs="宋体"/>
          <w:color w:val="auto"/>
          <w:lang w:eastAsia="zh-CN"/>
        </w:rPr>
        <w:t>“</w:t>
      </w:r>
      <w:r>
        <w:rPr>
          <w:rFonts w:hint="eastAsia" w:ascii="宋体" w:hAnsi="宋体" w:eastAsia="宋体" w:cs="宋体"/>
          <w:color w:val="auto"/>
        </w:rPr>
        <w:t>爱有差等</w:t>
      </w:r>
      <w:r>
        <w:rPr>
          <w:rFonts w:hint="eastAsia" w:ascii="宋体" w:hAnsi="宋体" w:eastAsia="宋体" w:cs="宋体"/>
          <w:color w:val="auto"/>
          <w:lang w:eastAsia="zh-CN"/>
        </w:rPr>
        <w:t>”</w:t>
      </w:r>
      <w:r>
        <w:rPr>
          <w:rFonts w:hint="eastAsia" w:ascii="宋体" w:hAnsi="宋体" w:eastAsia="宋体" w:cs="宋体"/>
          <w:color w:val="auto"/>
        </w:rPr>
        <w:t>的局限，二者在对话中各自获得了新的理论生命力。</w:t>
      </w:r>
    </w:p>
    <w:p w14:paraId="3AE4CC9E">
      <w:pPr>
        <w:pStyle w:val="4"/>
        <w:bidi w:val="0"/>
        <w:rPr>
          <w:rFonts w:hint="eastAsia"/>
          <w:color w:val="auto"/>
          <w:lang w:val="en-US" w:eastAsia="zh-CN"/>
        </w:rPr>
      </w:pPr>
      <w:bookmarkStart w:id="509" w:name="_Toc138648297"/>
      <w:bookmarkStart w:id="510" w:name="_Toc665414538"/>
      <w:bookmarkStart w:id="511" w:name="_Toc1817244887"/>
      <w:bookmarkStart w:id="512" w:name="_Toc732783146"/>
      <w:bookmarkStart w:id="513" w:name="_Toc869990221"/>
      <w:bookmarkStart w:id="514" w:name="_Toc1860894721"/>
      <w:bookmarkStart w:id="515" w:name="_Toc656151891"/>
      <w:bookmarkStart w:id="516" w:name="_Toc1011102611"/>
      <w:bookmarkStart w:id="517" w:name="_Toc1912479287"/>
      <w:r>
        <w:rPr>
          <w:rFonts w:hint="eastAsia"/>
          <w:color w:val="auto"/>
        </w:rPr>
        <w:t>四、“公正”与“平等”：基督教社会伦理与核心价值观的深层契合</w:t>
      </w:r>
      <w:bookmarkEnd w:id="509"/>
      <w:bookmarkEnd w:id="510"/>
      <w:bookmarkEnd w:id="511"/>
      <w:bookmarkEnd w:id="512"/>
      <w:bookmarkEnd w:id="513"/>
      <w:bookmarkEnd w:id="514"/>
      <w:bookmarkEnd w:id="515"/>
      <w:bookmarkEnd w:id="516"/>
      <w:bookmarkEnd w:id="517"/>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w:t>
      </w:r>
      <w:r>
        <w:rPr>
          <w:rFonts w:hint="default" w:ascii="Times New Roman" w:hAnsi="Times New Roman" w:eastAsia="宋体" w:cs="Times New Roman"/>
          <w:color w:val="auto"/>
          <w:sz w:val="24"/>
          <w:szCs w:val="24"/>
        </w:rPr>
        <w:t>（Justice/Righteousness）</w:t>
      </w:r>
      <w:r>
        <w:rPr>
          <w:rFonts w:hint="eastAsia" w:ascii="宋体" w:hAnsi="宋体" w:eastAsia="宋体" w:cs="宋体"/>
          <w:color w:val="auto"/>
          <w:sz w:val="24"/>
          <w:szCs w:val="24"/>
        </w:rPr>
        <w:t>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2B41803B">
      <w:pPr>
        <w:rPr>
          <w:rFonts w:hint="eastAsia"/>
          <w:color w:val="auto"/>
          <w:lang w:val="en-US" w:eastAsia="zh-CN"/>
        </w:rPr>
      </w:pPr>
      <w:bookmarkStart w:id="518" w:name="_Toc67619277"/>
      <w:bookmarkStart w:id="519" w:name="_Toc922388175"/>
      <w:bookmarkStart w:id="520" w:name="_Toc465373705"/>
      <w:bookmarkStart w:id="521" w:name="_Toc1674790237"/>
      <w:bookmarkStart w:id="522" w:name="_Toc1856975571"/>
      <w:bookmarkStart w:id="523" w:name="_Toc812823086"/>
      <w:bookmarkStart w:id="524" w:name="_Toc105740939"/>
      <w:bookmarkStart w:id="525" w:name="_Toc1997556638"/>
      <w:bookmarkStart w:id="526" w:name="_Toc1650074658"/>
      <w:bookmarkStart w:id="527" w:name="_Toc563484366"/>
      <w:bookmarkStart w:id="528" w:name="_Toc616304692"/>
      <w:r>
        <w:rPr>
          <w:rFonts w:hint="eastAsia"/>
          <w:color w:val="auto"/>
          <w:lang w:val="en-US" w:eastAsia="zh-CN"/>
        </w:rPr>
        <w:br w:type="page"/>
      </w:r>
    </w:p>
    <w:p w14:paraId="471E2D32">
      <w:pPr>
        <w:pStyle w:val="3"/>
        <w:bidi w:val="0"/>
        <w:rPr>
          <w:rFonts w:hint="eastAsia"/>
          <w:color w:val="auto"/>
          <w:lang w:val="en-US" w:eastAsia="zh-CN"/>
        </w:rPr>
      </w:pPr>
      <w:bookmarkStart w:id="529" w:name="_Toc242170684"/>
      <w:bookmarkStart w:id="530" w:name="_Toc1651631960"/>
      <w:r>
        <w:rPr>
          <w:rFonts w:hint="eastAsia"/>
          <w:color w:val="auto"/>
          <w:lang w:val="en-US" w:eastAsia="zh-CN"/>
        </w:rPr>
        <w:t xml:space="preserve">第二节 </w:t>
      </w:r>
      <w:r>
        <w:rPr>
          <w:rFonts w:hint="eastAsia"/>
          <w:color w:val="auto"/>
        </w:rPr>
        <w:t>社会功能的契合：对社会和谐与稳定的共同维护</w:t>
      </w:r>
      <w:bookmarkEnd w:id="518"/>
      <w:bookmarkEnd w:id="519"/>
      <w:bookmarkEnd w:id="520"/>
      <w:bookmarkEnd w:id="521"/>
      <w:bookmarkEnd w:id="522"/>
      <w:bookmarkEnd w:id="523"/>
      <w:bookmarkEnd w:id="524"/>
      <w:bookmarkEnd w:id="525"/>
      <w:bookmarkEnd w:id="526"/>
      <w:bookmarkEnd w:id="527"/>
      <w:bookmarkEnd w:id="528"/>
      <w:bookmarkEnd w:id="529"/>
      <w:bookmarkEnd w:id="530"/>
    </w:p>
    <w:p w14:paraId="0FEC4982">
      <w:pPr>
        <w:pStyle w:val="4"/>
        <w:bidi w:val="0"/>
        <w:rPr>
          <w:rFonts w:hint="eastAsia"/>
          <w:color w:val="auto"/>
          <w:lang w:val="en-US" w:eastAsia="zh-CN"/>
        </w:rPr>
      </w:pPr>
      <w:bookmarkStart w:id="531" w:name="_Toc78856092"/>
      <w:bookmarkStart w:id="532" w:name="_Toc974127835"/>
      <w:bookmarkStart w:id="533" w:name="_Toc1131352030"/>
      <w:bookmarkStart w:id="534" w:name="_Toc1218985704"/>
      <w:bookmarkStart w:id="535" w:name="_Toc1322561315"/>
      <w:bookmarkStart w:id="536" w:name="_Toc400417561"/>
      <w:bookmarkStart w:id="537" w:name="_Toc919328963"/>
      <w:bookmarkStart w:id="538" w:name="_Toc808579946"/>
      <w:bookmarkStart w:id="539" w:name="_Toc200959648"/>
      <w:bookmarkStart w:id="540" w:name="_Toc2041093179"/>
      <w:bookmarkStart w:id="541" w:name="_Toc681174923"/>
      <w:bookmarkStart w:id="542" w:name="_Toc458339276"/>
      <w:bookmarkStart w:id="543" w:name="_Toc604730598"/>
      <w:r>
        <w:rPr>
          <w:rFonts w:hint="eastAsia"/>
          <w:color w:val="auto"/>
          <w:lang w:val="en-US" w:eastAsia="zh-CN"/>
        </w:rPr>
        <w:t>一、</w:t>
      </w:r>
      <w:r>
        <w:rPr>
          <w:rFonts w:hint="eastAsia"/>
          <w:color w:val="auto"/>
        </w:rPr>
        <w:t>基督教仁爱观念的社会调节与伦理约束功能</w:t>
      </w:r>
      <w:bookmarkEnd w:id="531"/>
      <w:bookmarkEnd w:id="532"/>
      <w:bookmarkEnd w:id="533"/>
      <w:bookmarkEnd w:id="534"/>
      <w:bookmarkEnd w:id="535"/>
      <w:bookmarkEnd w:id="536"/>
      <w:bookmarkEnd w:id="537"/>
      <w:bookmarkEnd w:id="538"/>
      <w:bookmarkEnd w:id="539"/>
      <w:bookmarkEnd w:id="540"/>
      <w:bookmarkEnd w:id="541"/>
      <w:bookmarkEnd w:id="542"/>
      <w:bookmarkEnd w:id="543"/>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color w:val="auto"/>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color w:val="auto"/>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Stanley Hauerwas</w:t>
      </w:r>
      <w:r>
        <w:rPr>
          <w:rFonts w:hint="eastAsia" w:ascii="宋体" w:hAnsi="宋体" w:eastAsia="宋体" w:cs="宋体"/>
          <w:color w:val="auto"/>
          <w:sz w:val="24"/>
          <w:szCs w:val="24"/>
        </w:rPr>
        <w:t>在《品格的社群》中指出，基督教伦理的核心功能不在于提供普遍适用的道德法则，而在于塑造具有特定品格</w:t>
      </w:r>
      <w:r>
        <w:rPr>
          <w:rFonts w:hint="default" w:ascii="Times New Roman" w:hAnsi="Times New Roman" w:eastAsia="宋体" w:cs="Times New Roman"/>
          <w:color w:val="auto"/>
          <w:sz w:val="24"/>
          <w:szCs w:val="24"/>
        </w:rPr>
        <w:t>（character）</w:t>
      </w:r>
      <w:r>
        <w:rPr>
          <w:rFonts w:hint="eastAsia" w:ascii="宋体" w:hAnsi="宋体" w:eastAsia="宋体" w:cs="宋体"/>
          <w:color w:val="auto"/>
          <w:sz w:val="24"/>
          <w:szCs w:val="24"/>
        </w:rPr>
        <w:t>的社群成员，这些成员通过日常实践中的“叙事性认同”</w:t>
      </w:r>
      <w:r>
        <w:rPr>
          <w:rFonts w:hint="default" w:ascii="Times New Roman" w:hAnsi="Times New Roman" w:eastAsia="宋体" w:cs="Times New Roman"/>
          <w:color w:val="auto"/>
          <w:sz w:val="24"/>
          <w:szCs w:val="24"/>
        </w:rPr>
        <w:t>（narrative identity）</w:t>
      </w:r>
      <w:r>
        <w:rPr>
          <w:rFonts w:hint="eastAsia" w:ascii="宋体" w:hAnsi="宋体" w:eastAsia="宋体" w:cs="宋体"/>
          <w:color w:val="auto"/>
          <w:sz w:val="24"/>
          <w:szCs w:val="24"/>
        </w:rPr>
        <w:t>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color w:val="auto"/>
          <w:sz w:val="24"/>
          <w:szCs w:val="24"/>
        </w:rPr>
        <w:footnoteReference w:id="71"/>
      </w:r>
    </w:p>
    <w:p w14:paraId="585457D2">
      <w:pPr>
        <w:pStyle w:val="4"/>
        <w:bidi w:val="0"/>
        <w:rPr>
          <w:rFonts w:hint="eastAsia"/>
          <w:color w:val="auto"/>
          <w:lang w:val="en-US" w:eastAsia="zh-CN"/>
        </w:rPr>
      </w:pPr>
      <w:bookmarkStart w:id="544" w:name="_Toc17040976"/>
      <w:bookmarkStart w:id="545" w:name="_Toc1751681676"/>
      <w:bookmarkStart w:id="546" w:name="_Toc271608704"/>
      <w:bookmarkStart w:id="547" w:name="_Toc1832274755"/>
      <w:bookmarkStart w:id="548" w:name="_Toc284369943"/>
      <w:bookmarkStart w:id="549" w:name="_Toc813357672"/>
      <w:bookmarkStart w:id="550" w:name="_Toc749282275"/>
      <w:bookmarkStart w:id="551" w:name="_Toc1898681764"/>
      <w:bookmarkStart w:id="552" w:name="_Toc526634206"/>
      <w:bookmarkStart w:id="553" w:name="_Toc336928045"/>
      <w:bookmarkStart w:id="554" w:name="_Toc1684510852"/>
      <w:bookmarkStart w:id="555" w:name="_Toc498734748"/>
      <w:bookmarkStart w:id="556" w:name="_Toc1814542982"/>
      <w:r>
        <w:rPr>
          <w:rFonts w:hint="eastAsia"/>
          <w:color w:val="auto"/>
          <w:lang w:val="en-US" w:eastAsia="zh-CN"/>
        </w:rPr>
        <w:t>二、</w:t>
      </w:r>
      <w:r>
        <w:rPr>
          <w:rFonts w:hint="eastAsia"/>
          <w:color w:val="auto"/>
        </w:rPr>
        <w:t>核心价值观的社会整合与公序良俗维护功能</w:t>
      </w:r>
      <w:bookmarkEnd w:id="544"/>
      <w:bookmarkEnd w:id="545"/>
      <w:bookmarkEnd w:id="546"/>
      <w:bookmarkEnd w:id="547"/>
      <w:bookmarkEnd w:id="548"/>
      <w:bookmarkEnd w:id="549"/>
      <w:bookmarkEnd w:id="550"/>
      <w:bookmarkEnd w:id="551"/>
      <w:bookmarkEnd w:id="552"/>
      <w:bookmarkEnd w:id="553"/>
      <w:bookmarkEnd w:id="554"/>
      <w:bookmarkEnd w:id="555"/>
      <w:bookmarkEnd w:id="556"/>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富强、民主、文明、和谐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国家目标，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自由、平等、公正、法治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社会取向，以及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爱国、敬业、诚信、友善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法治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通过将这些价值理念融入法律法规、政策制度和社会治理的方方面面，能够潜移默化地规范社会行为，调节人际关系。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价值倡导下社会信用体系的建设，不仅惩戒失信，更激励守信，优化了市场环境和社会交往环境；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color w:val="auto"/>
          <w:lang w:val="en-US" w:eastAsia="zh-CN"/>
        </w:rPr>
      </w:pPr>
      <w:bookmarkStart w:id="557" w:name="_Toc1524738253"/>
      <w:bookmarkStart w:id="558" w:name="_Toc126309305"/>
      <w:bookmarkStart w:id="559" w:name="_Toc1684896775"/>
      <w:bookmarkStart w:id="560" w:name="_Toc1360990955"/>
      <w:bookmarkStart w:id="561" w:name="_Toc1368980149"/>
      <w:bookmarkStart w:id="562" w:name="_Toc1296971163"/>
      <w:bookmarkStart w:id="563" w:name="_Toc792358581"/>
      <w:bookmarkStart w:id="564" w:name="_Toc1982758823"/>
      <w:bookmarkStart w:id="565" w:name="_Toc660611809"/>
      <w:bookmarkStart w:id="566" w:name="_Toc343089917"/>
      <w:bookmarkStart w:id="567" w:name="_Toc1254517426"/>
      <w:bookmarkStart w:id="568" w:name="_Toc606235395"/>
      <w:bookmarkStart w:id="569" w:name="_Toc608627427"/>
      <w:r>
        <w:rPr>
          <w:rFonts w:hint="eastAsia"/>
          <w:color w:val="auto"/>
          <w:lang w:val="en-US" w:eastAsia="zh-CN"/>
        </w:rPr>
        <w:t>三、</w:t>
      </w:r>
      <w:r>
        <w:rPr>
          <w:rFonts w:hint="eastAsia"/>
          <w:color w:val="auto"/>
        </w:rPr>
        <w:t>二者社会功能的互补性竞争关系</w:t>
      </w:r>
      <w:bookmarkEnd w:id="557"/>
      <w:bookmarkEnd w:id="558"/>
      <w:bookmarkEnd w:id="559"/>
      <w:bookmarkEnd w:id="560"/>
      <w:bookmarkEnd w:id="561"/>
      <w:bookmarkEnd w:id="562"/>
      <w:bookmarkEnd w:id="563"/>
      <w:bookmarkEnd w:id="564"/>
      <w:bookmarkEnd w:id="565"/>
      <w:bookmarkEnd w:id="566"/>
      <w:bookmarkEnd w:id="567"/>
      <w:bookmarkEnd w:id="568"/>
      <w:bookmarkEnd w:id="569"/>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社会服务版本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——通过满足社会的公共需求来获取社会认可度。当这一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与核心价值观倡导的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公共伦理产品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形成功能替代时，二者便构成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互补性竞争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szCs w:val="24"/>
        </w:rPr>
        <w:t>José Casanova</w:t>
      </w:r>
      <w:r>
        <w:rPr>
          <w:rFonts w:hint="eastAsia" w:ascii="宋体" w:hAnsi="宋体" w:eastAsia="宋体" w:cs="宋体"/>
          <w:color w:val="auto"/>
          <w:sz w:val="24"/>
          <w:szCs w:val="24"/>
        </w:rPr>
        <w:t>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公共宗教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color w:val="auto"/>
          <w:sz w:val="24"/>
          <w:szCs w:val="24"/>
        </w:rPr>
        <w:footnoteReference w:id="72"/>
      </w:r>
      <w:r>
        <w:rPr>
          <w:rFonts w:hint="eastAsia" w:ascii="宋体" w:hAnsi="宋体" w:eastAsia="宋体" w:cs="宋体"/>
          <w:color w:val="auto"/>
          <w:sz w:val="24"/>
          <w:szCs w:val="24"/>
        </w:rPr>
        <w:t xml:space="preserve"> 在这一框架下，基督教仁爱实践与核心价值观的社会整合功能不是相互排斥的，而是可以在公共领域中形成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分工合作</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综上可得出明确结论：基督教仁爱观念与社会主义核心价值观的社会功能没有本质冲突，二者正向功能的目标一致性，是两类价值体系实现融合的核心功能基础。</w:t>
      </w:r>
    </w:p>
    <w:p w14:paraId="1F82F289">
      <w:pPr>
        <w:rPr>
          <w:rFonts w:hint="eastAsia"/>
          <w:color w:val="auto"/>
          <w:lang w:val="en-US" w:eastAsia="zh-CN"/>
        </w:rPr>
      </w:pPr>
      <w:bookmarkStart w:id="570" w:name="_Toc1340728083"/>
      <w:bookmarkStart w:id="571" w:name="_Toc624575820"/>
      <w:bookmarkStart w:id="572" w:name="_Toc1166645899"/>
      <w:bookmarkStart w:id="573" w:name="_Toc679932536"/>
      <w:bookmarkStart w:id="574" w:name="_Toc318642824"/>
      <w:bookmarkStart w:id="575" w:name="_Toc1723787662"/>
      <w:bookmarkStart w:id="576" w:name="_Toc1326656488"/>
      <w:bookmarkStart w:id="577" w:name="_Toc412218873"/>
      <w:bookmarkStart w:id="578" w:name="_Toc1335862397"/>
      <w:bookmarkStart w:id="579" w:name="_Toc309570285"/>
      <w:bookmarkStart w:id="580" w:name="_Toc1235319491"/>
      <w:r>
        <w:rPr>
          <w:rFonts w:hint="eastAsia"/>
          <w:color w:val="auto"/>
          <w:lang w:val="en-US" w:eastAsia="zh-CN"/>
        </w:rPr>
        <w:br w:type="page"/>
      </w:r>
    </w:p>
    <w:p w14:paraId="4B6D25E1">
      <w:pPr>
        <w:pStyle w:val="3"/>
        <w:bidi w:val="0"/>
        <w:rPr>
          <w:rFonts w:hint="eastAsia"/>
          <w:color w:val="auto"/>
          <w:lang w:val="en-US" w:eastAsia="zh-CN"/>
        </w:rPr>
      </w:pPr>
      <w:bookmarkStart w:id="581" w:name="_Toc353458520"/>
      <w:bookmarkStart w:id="582" w:name="_Toc736554928"/>
      <w:r>
        <w:rPr>
          <w:rFonts w:hint="eastAsia"/>
          <w:color w:val="auto"/>
          <w:lang w:val="en-US" w:eastAsia="zh-CN"/>
        </w:rPr>
        <w:t xml:space="preserve">第三节 </w:t>
      </w:r>
      <w:r>
        <w:rPr>
          <w:rFonts w:hint="eastAsia"/>
          <w:color w:val="auto"/>
        </w:rPr>
        <w:t>文化内核的契合：对中华优秀传统文化的共同吸纳</w:t>
      </w:r>
      <w:bookmarkEnd w:id="570"/>
      <w:bookmarkEnd w:id="571"/>
      <w:bookmarkEnd w:id="572"/>
      <w:bookmarkEnd w:id="573"/>
      <w:bookmarkEnd w:id="574"/>
      <w:bookmarkEnd w:id="575"/>
      <w:bookmarkEnd w:id="576"/>
      <w:bookmarkEnd w:id="577"/>
      <w:bookmarkEnd w:id="578"/>
      <w:bookmarkEnd w:id="579"/>
      <w:bookmarkEnd w:id="580"/>
      <w:bookmarkEnd w:id="581"/>
      <w:bookmarkEnd w:id="582"/>
    </w:p>
    <w:p w14:paraId="37B2AE37">
      <w:pPr>
        <w:pStyle w:val="4"/>
        <w:bidi w:val="0"/>
        <w:rPr>
          <w:rFonts w:hint="eastAsia"/>
          <w:color w:val="auto"/>
          <w:lang w:val="en-US" w:eastAsia="zh-CN"/>
        </w:rPr>
      </w:pPr>
      <w:bookmarkStart w:id="583" w:name="_Toc345740204"/>
      <w:bookmarkStart w:id="584" w:name="_Toc2144837204"/>
      <w:bookmarkStart w:id="585" w:name="_Toc865646865"/>
      <w:bookmarkStart w:id="586" w:name="_Toc1742386961"/>
      <w:bookmarkStart w:id="587" w:name="_Toc637578038"/>
      <w:bookmarkStart w:id="588" w:name="_Toc142786041"/>
      <w:bookmarkStart w:id="589" w:name="_Toc2045260641"/>
      <w:bookmarkStart w:id="590" w:name="_Toc1940370662"/>
      <w:bookmarkStart w:id="591" w:name="_Toc1291927383"/>
      <w:bookmarkStart w:id="592" w:name="_Toc380353289"/>
      <w:bookmarkStart w:id="593" w:name="_Toc70983010"/>
      <w:bookmarkStart w:id="594" w:name="_Toc1753210997"/>
      <w:bookmarkStart w:id="595" w:name="_Toc1182933588"/>
      <w:r>
        <w:rPr>
          <w:rFonts w:hint="eastAsia"/>
          <w:color w:val="auto"/>
          <w:lang w:val="en-US" w:eastAsia="zh-CN"/>
        </w:rPr>
        <w:t>一、</w:t>
      </w:r>
      <w:r>
        <w:rPr>
          <w:rFonts w:hint="eastAsia"/>
          <w:color w:val="auto"/>
        </w:rPr>
        <w:t>基督教仁爱对儒家</w:t>
      </w:r>
      <w:r>
        <w:rPr>
          <w:rFonts w:hint="eastAsia"/>
          <w:color w:val="auto"/>
          <w:lang w:eastAsia="zh-CN"/>
        </w:rPr>
        <w:t>“</w:t>
      </w:r>
      <w:r>
        <w:rPr>
          <w:rFonts w:hint="eastAsia"/>
          <w:color w:val="auto"/>
        </w:rPr>
        <w:t>仁</w:t>
      </w:r>
      <w:r>
        <w:rPr>
          <w:rFonts w:hint="eastAsia"/>
          <w:color w:val="auto"/>
          <w:lang w:eastAsia="zh-CN"/>
        </w:rPr>
        <w:t>”</w:t>
      </w:r>
      <w:r>
        <w:rPr>
          <w:rFonts w:hint="eastAsia"/>
          <w:color w:val="auto"/>
        </w:rPr>
        <w:t>文化的创造性吸纳</w:t>
      </w:r>
      <w:bookmarkEnd w:id="583"/>
      <w:bookmarkEnd w:id="584"/>
      <w:bookmarkEnd w:id="585"/>
      <w:bookmarkEnd w:id="586"/>
      <w:bookmarkEnd w:id="587"/>
      <w:bookmarkEnd w:id="588"/>
      <w:bookmarkEnd w:id="589"/>
      <w:bookmarkEnd w:id="590"/>
      <w:bookmarkEnd w:id="591"/>
      <w:bookmarkEnd w:id="592"/>
      <w:bookmarkEnd w:id="593"/>
      <w:bookmarkEnd w:id="594"/>
      <w:bookmarkEnd w:id="595"/>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基督教仁爱观念的中国化，本身就是一个持续的文化翻译过程。如前文所述，</w:t>
      </w:r>
      <w:r>
        <w:rPr>
          <w:rFonts w:hint="default" w:ascii="Times New Roman" w:hAnsi="Times New Roman" w:eastAsia="宋体" w:cs="Times New Roman"/>
          <w:color w:val="auto"/>
          <w:sz w:val="24"/>
          <w:szCs w:val="24"/>
        </w:rPr>
        <w:t>Bhabha</w:t>
      </w:r>
      <w:r>
        <w:rPr>
          <w:rFonts w:hint="eastAsia" w:ascii="宋体" w:hAnsi="宋体" w:eastAsia="宋体" w:cs="宋体"/>
          <w:color w:val="auto"/>
          <w:sz w:val="24"/>
          <w:szCs w:val="24"/>
        </w:rPr>
        <w:t>的文化翻译理论强调，文化相遇不是简单的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原文—译文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对应，而是在交互中生成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混杂性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的新意义。利玛窦以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的实践正是这一理论的早期历史例证：他并非在寻找</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的完全等价物，而是在两种文化符号的碰撞中创造新的神学表达。刘耘华将这一机制概括为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以儒释耶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的创造性转化。</w:t>
      </w:r>
      <w:r>
        <w:rPr>
          <w:rStyle w:val="29"/>
          <w:rFonts w:hint="eastAsia" w:ascii="宋体" w:hAnsi="宋体" w:eastAsia="宋体" w:cs="宋体"/>
          <w:color w:val="auto"/>
          <w:sz w:val="24"/>
          <w:szCs w:val="24"/>
        </w:rPr>
        <w:footnoteReference w:id="73"/>
      </w:r>
      <w:r>
        <w:rPr>
          <w:rStyle w:val="29"/>
          <w:rFonts w:hint="eastAsia" w:ascii="宋体" w:hAnsi="宋体" w:eastAsia="宋体" w:cs="宋体"/>
          <w:color w:val="auto"/>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w:t>
      </w:r>
      <w:r>
        <w:rPr>
          <w:rFonts w:hint="default" w:ascii="Times New Roman" w:hAnsi="Times New Roman" w:eastAsia="宋体" w:cs="Times New Roman"/>
          <w:color w:val="auto"/>
          <w:sz w:val="24"/>
          <w:szCs w:val="24"/>
        </w:rPr>
        <w:t>Roger Ames</w:t>
      </w:r>
      <w:r>
        <w:rPr>
          <w:rFonts w:hint="eastAsia" w:ascii="宋体" w:hAnsi="宋体" w:eastAsia="宋体" w:cs="宋体"/>
          <w:color w:val="auto"/>
          <w:sz w:val="24"/>
          <w:szCs w:val="24"/>
        </w:rPr>
        <w:t>指出，利玛窦的翻译策略实际上是一种“哲学创造”</w:t>
      </w:r>
      <w:r>
        <w:rPr>
          <w:rFonts w:hint="default" w:ascii="Times New Roman" w:hAnsi="Times New Roman" w:eastAsia="宋体" w:cs="Times New Roman"/>
          <w:color w:val="auto"/>
          <w:sz w:val="24"/>
          <w:szCs w:val="24"/>
        </w:rPr>
        <w:t>（philosophical creation）</w:t>
      </w:r>
      <w:r>
        <w:rPr>
          <w:rFonts w:hint="eastAsia" w:ascii="宋体" w:hAnsi="宋体" w:eastAsia="宋体" w:cs="宋体"/>
          <w:color w:val="auto"/>
          <w:sz w:val="24"/>
          <w:szCs w:val="24"/>
        </w:rPr>
        <w:t>，他并非在寻找“对等词”，而是在建构“可比性”</w:t>
      </w:r>
      <w:r>
        <w:rPr>
          <w:rFonts w:hint="default" w:ascii="Times New Roman" w:hAnsi="Times New Roman" w:eastAsia="宋体" w:cs="Times New Roman"/>
          <w:color w:val="auto"/>
          <w:sz w:val="24"/>
          <w:szCs w:val="24"/>
        </w:rPr>
        <w:t>（comparability）</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color w:val="auto"/>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color w:val="auto"/>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这些例子说明，基督教仁爱观念在与儒家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文化接触中，不断吸纳核心内容，形成中国特色表达形式。这种吸纳不是简单照搬，而是基于文化适配性的选择——儒家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文化中的人文关怀、社会责任感与基督教仁爱观念中的爱人如己、服务他人有天然共通之处，为两者融合提供基础。</w:t>
      </w:r>
    </w:p>
    <w:p w14:paraId="54B27E3B">
      <w:pPr>
        <w:pStyle w:val="4"/>
        <w:bidi w:val="0"/>
        <w:rPr>
          <w:rFonts w:hint="eastAsia"/>
          <w:color w:val="auto"/>
          <w:lang w:val="en-US" w:eastAsia="zh-CN"/>
        </w:rPr>
      </w:pPr>
      <w:bookmarkStart w:id="596" w:name="_Toc1872635277"/>
      <w:bookmarkStart w:id="597" w:name="_Toc1065757388"/>
      <w:bookmarkStart w:id="598" w:name="_Toc1686394751"/>
      <w:bookmarkStart w:id="599" w:name="_Toc1158024985"/>
      <w:bookmarkStart w:id="600" w:name="_Toc1912343493"/>
      <w:bookmarkStart w:id="601" w:name="_Toc1210643035"/>
      <w:bookmarkStart w:id="602" w:name="_Toc2072339405"/>
      <w:bookmarkStart w:id="603" w:name="_Toc618389086"/>
      <w:bookmarkStart w:id="604" w:name="_Toc594106092"/>
      <w:bookmarkStart w:id="605" w:name="_Toc1978169783"/>
      <w:bookmarkStart w:id="606" w:name="_Toc123052892"/>
      <w:bookmarkStart w:id="607" w:name="_Toc216371264"/>
      <w:bookmarkStart w:id="608" w:name="_Toc161209590"/>
      <w:r>
        <w:rPr>
          <w:rFonts w:hint="eastAsia"/>
          <w:color w:val="auto"/>
          <w:lang w:val="en-US" w:eastAsia="zh-CN"/>
        </w:rPr>
        <w:t>二、</w:t>
      </w:r>
      <w:r>
        <w:rPr>
          <w:rFonts w:hint="eastAsia"/>
          <w:color w:val="auto"/>
        </w:rPr>
        <w:t>社会主义核心价值观对中华优秀传统文化的传承发展</w:t>
      </w:r>
      <w:bookmarkEnd w:id="596"/>
      <w:bookmarkEnd w:id="597"/>
      <w:bookmarkEnd w:id="598"/>
      <w:bookmarkEnd w:id="599"/>
      <w:bookmarkEnd w:id="600"/>
      <w:bookmarkEnd w:id="601"/>
      <w:bookmarkEnd w:id="602"/>
      <w:bookmarkEnd w:id="603"/>
      <w:bookmarkEnd w:id="604"/>
      <w:bookmarkEnd w:id="605"/>
      <w:bookmarkEnd w:id="606"/>
      <w:bookmarkEnd w:id="607"/>
      <w:bookmarkEnd w:id="608"/>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社会主义核心价值观同样深深植根于中华优秀传统文化的沃土之中。它所倡导的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等价值理念，都可以在中华传统文化中找到源头。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对应着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的思想，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人无信不立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的处世原则，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则与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color w:val="auto"/>
          <w:sz w:val="24"/>
          <w:szCs w:val="24"/>
        </w:rPr>
        <w:footnoteReference w:id="78"/>
      </w:r>
    </w:p>
    <w:p w14:paraId="0976DA2C">
      <w:pPr>
        <w:pStyle w:val="4"/>
        <w:bidi w:val="0"/>
        <w:rPr>
          <w:rFonts w:hint="eastAsia"/>
          <w:color w:val="auto"/>
          <w:lang w:val="en-US" w:eastAsia="zh-CN"/>
        </w:rPr>
      </w:pPr>
      <w:bookmarkStart w:id="609" w:name="_Toc1489613341"/>
      <w:bookmarkStart w:id="610" w:name="_Toc23320489"/>
      <w:bookmarkStart w:id="611" w:name="_Toc281630134"/>
      <w:bookmarkStart w:id="612" w:name="_Toc2008253754"/>
      <w:bookmarkStart w:id="613" w:name="_Toc123203783"/>
      <w:bookmarkStart w:id="614" w:name="_Toc1918592789"/>
      <w:bookmarkStart w:id="615" w:name="_Toc747406951"/>
      <w:bookmarkStart w:id="616" w:name="_Toc1516825849"/>
      <w:bookmarkStart w:id="617" w:name="_Toc1592000569"/>
      <w:bookmarkStart w:id="618" w:name="_Toc1905203674"/>
      <w:bookmarkStart w:id="619" w:name="_Toc862019677"/>
      <w:bookmarkStart w:id="620" w:name="_Toc2017417567"/>
      <w:bookmarkStart w:id="621" w:name="_Toc1472700263"/>
      <w:r>
        <w:rPr>
          <w:rFonts w:hint="eastAsia"/>
          <w:color w:val="auto"/>
          <w:lang w:val="en-US" w:eastAsia="zh-CN"/>
        </w:rPr>
        <w:t>三、</w:t>
      </w:r>
      <w:r>
        <w:rPr>
          <w:rFonts w:hint="eastAsia"/>
          <w:color w:val="auto"/>
          <w:lang w:eastAsia="zh-CN"/>
        </w:rPr>
        <w:t>“</w:t>
      </w:r>
      <w:r>
        <w:rPr>
          <w:rFonts w:hint="eastAsia"/>
          <w:color w:val="auto"/>
        </w:rPr>
        <w:t>第三空间</w:t>
      </w:r>
      <w:r>
        <w:rPr>
          <w:rFonts w:hint="eastAsia"/>
          <w:color w:val="auto"/>
          <w:lang w:eastAsia="zh-CN"/>
        </w:rPr>
        <w:t>”</w:t>
      </w:r>
      <w:r>
        <w:rPr>
          <w:rFonts w:hint="eastAsia"/>
          <w:color w:val="auto"/>
        </w:rPr>
        <w:t>中的文化共通性：从利玛窦到当代</w:t>
      </w:r>
      <w:bookmarkEnd w:id="609"/>
      <w:bookmarkEnd w:id="610"/>
      <w:bookmarkEnd w:id="611"/>
      <w:bookmarkEnd w:id="612"/>
      <w:bookmarkEnd w:id="613"/>
      <w:bookmarkEnd w:id="614"/>
      <w:bookmarkEnd w:id="615"/>
      <w:bookmarkEnd w:id="616"/>
      <w:bookmarkEnd w:id="617"/>
      <w:bookmarkEnd w:id="618"/>
      <w:bookmarkEnd w:id="619"/>
      <w:bookmarkEnd w:id="620"/>
      <w:bookmarkEnd w:id="621"/>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的神学深度，又吸纳了儒家“仁”的文化厚度，还融入了马克思主义“人民性”的时代高度，形成了一种具有中国特色的“仁爱”公共伦理。</w:t>
      </w:r>
      <w:r>
        <w:rPr>
          <w:rStyle w:val="29"/>
          <w:rFonts w:hint="eastAsia" w:ascii="宋体" w:hAnsi="宋体" w:eastAsia="宋体" w:cs="宋体"/>
          <w:color w:val="auto"/>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2B3A16DA">
      <w:pPr>
        <w:pStyle w:val="2"/>
        <w:bidi w:val="0"/>
        <w:rPr>
          <w:rFonts w:hint="eastAsia"/>
          <w:color w:val="auto"/>
          <w:lang w:val="en-US" w:eastAsia="zh-CN"/>
        </w:rPr>
      </w:pPr>
      <w:bookmarkStart w:id="622" w:name="_Toc303704150"/>
      <w:bookmarkStart w:id="623" w:name="_Toc511745173"/>
      <w:bookmarkStart w:id="624" w:name="_Toc117746086"/>
      <w:bookmarkStart w:id="625" w:name="_Toc1254805210"/>
      <w:bookmarkStart w:id="626" w:name="_Toc720363579"/>
      <w:bookmarkStart w:id="627" w:name="_Toc1776972148"/>
      <w:bookmarkStart w:id="628" w:name="_Toc1040028677"/>
      <w:bookmarkStart w:id="629" w:name="_Toc1105434869"/>
      <w:bookmarkStart w:id="630" w:name="_Toc567065461"/>
      <w:bookmarkStart w:id="631" w:name="_Toc1322045018"/>
      <w:bookmarkStart w:id="632" w:name="_Toc1036774154"/>
      <w:bookmarkStart w:id="633" w:name="_Toc513670606"/>
      <w:bookmarkStart w:id="634" w:name="_Toc1924288566"/>
      <w:r>
        <w:rPr>
          <w:rFonts w:hint="eastAsia"/>
          <w:color w:val="auto"/>
          <w:lang w:val="en-US" w:eastAsia="zh-CN"/>
        </w:rPr>
        <w:t>四、</w:t>
      </w:r>
      <w:r>
        <w:rPr>
          <w:rFonts w:hint="eastAsia"/>
          <w:color w:val="auto"/>
        </w:rPr>
        <w:t>基督教仁爱观念与核心价值观融合的现实障碍</w:t>
      </w:r>
      <w:bookmarkEnd w:id="622"/>
      <w:bookmarkEnd w:id="623"/>
      <w:bookmarkEnd w:id="624"/>
      <w:bookmarkEnd w:id="625"/>
      <w:bookmarkEnd w:id="626"/>
      <w:bookmarkEnd w:id="627"/>
      <w:bookmarkEnd w:id="628"/>
      <w:bookmarkEnd w:id="629"/>
      <w:bookmarkEnd w:id="630"/>
      <w:bookmarkEnd w:id="631"/>
      <w:bookmarkEnd w:id="632"/>
      <w:bookmarkEnd w:id="633"/>
      <w:bookmarkEnd w:id="634"/>
    </w:p>
    <w:p w14:paraId="27361B50">
      <w:pPr>
        <w:pStyle w:val="3"/>
        <w:bidi w:val="0"/>
        <w:rPr>
          <w:rFonts w:hint="eastAsia"/>
          <w:color w:val="auto"/>
          <w:lang w:val="en-US" w:eastAsia="zh-CN"/>
        </w:rPr>
      </w:pPr>
      <w:bookmarkStart w:id="635" w:name="_Toc1934503778"/>
      <w:bookmarkStart w:id="636" w:name="_Toc1744805664"/>
      <w:bookmarkStart w:id="637" w:name="_Toc229116376"/>
      <w:bookmarkStart w:id="638" w:name="_Toc1126028515"/>
      <w:bookmarkStart w:id="639" w:name="_Toc1785354114"/>
      <w:bookmarkStart w:id="640" w:name="_Toc1221750930"/>
      <w:bookmarkStart w:id="641" w:name="_Toc1392571406"/>
      <w:bookmarkStart w:id="642" w:name="_Toc515812607"/>
      <w:bookmarkStart w:id="643" w:name="_Toc380894520"/>
      <w:bookmarkStart w:id="644" w:name="_Toc136777641"/>
      <w:bookmarkStart w:id="645" w:name="_Toc1162813086"/>
      <w:bookmarkStart w:id="646" w:name="_Toc377614102"/>
      <w:bookmarkStart w:id="647" w:name="_Toc414204942"/>
      <w:r>
        <w:rPr>
          <w:rFonts w:hint="eastAsia"/>
          <w:color w:val="auto"/>
          <w:lang w:val="en-US" w:eastAsia="zh-CN"/>
        </w:rPr>
        <w:t xml:space="preserve">第一节 </w:t>
      </w:r>
      <w:r>
        <w:rPr>
          <w:rFonts w:hint="eastAsia"/>
          <w:color w:val="auto"/>
        </w:rPr>
        <w:t>认知层面的结构性壁垒</w:t>
      </w:r>
      <w:bookmarkEnd w:id="635"/>
      <w:bookmarkEnd w:id="636"/>
      <w:bookmarkEnd w:id="637"/>
      <w:bookmarkEnd w:id="638"/>
      <w:bookmarkEnd w:id="639"/>
      <w:bookmarkEnd w:id="640"/>
      <w:bookmarkEnd w:id="641"/>
      <w:bookmarkEnd w:id="642"/>
      <w:bookmarkEnd w:id="643"/>
      <w:bookmarkEnd w:id="644"/>
      <w:bookmarkEnd w:id="645"/>
      <w:bookmarkEnd w:id="646"/>
      <w:bookmarkEnd w:id="647"/>
    </w:p>
    <w:p w14:paraId="0216203B">
      <w:pPr>
        <w:pStyle w:val="4"/>
        <w:bidi w:val="0"/>
        <w:rPr>
          <w:rFonts w:hint="eastAsia"/>
          <w:color w:val="auto"/>
          <w:lang w:val="en-US" w:eastAsia="zh-CN"/>
        </w:rPr>
      </w:pPr>
      <w:bookmarkStart w:id="648" w:name="_Toc1535354241"/>
      <w:bookmarkStart w:id="649" w:name="_Toc1059595063"/>
      <w:bookmarkStart w:id="650" w:name="_Toc45445933"/>
      <w:bookmarkStart w:id="651" w:name="_Toc746035429"/>
      <w:bookmarkStart w:id="652" w:name="_Toc1014309997"/>
      <w:bookmarkStart w:id="653" w:name="_Toc302581266"/>
      <w:bookmarkStart w:id="654" w:name="_Toc320752361"/>
      <w:bookmarkStart w:id="655" w:name="_Toc1298348702"/>
      <w:bookmarkStart w:id="656" w:name="_Toc1876731543"/>
      <w:bookmarkStart w:id="657" w:name="_Toc1670835636"/>
      <w:bookmarkStart w:id="658" w:name="_Toc1805078114"/>
      <w:bookmarkStart w:id="659" w:name="_Toc2018486557"/>
      <w:bookmarkStart w:id="660" w:name="_Toc1547960267"/>
      <w:r>
        <w:rPr>
          <w:rFonts w:hint="eastAsia"/>
          <w:color w:val="auto"/>
          <w:lang w:val="en-US" w:eastAsia="zh-CN"/>
        </w:rPr>
        <w:t>一、</w:t>
      </w:r>
      <w:r>
        <w:rPr>
          <w:rFonts w:hint="eastAsia"/>
          <w:color w:val="auto"/>
        </w:rPr>
        <w:t>部分信众的</w:t>
      </w:r>
      <w:r>
        <w:rPr>
          <w:rFonts w:hint="eastAsia"/>
          <w:color w:val="auto"/>
          <w:lang w:eastAsia="zh-CN"/>
        </w:rPr>
        <w:t>“</w:t>
      </w:r>
      <w:r>
        <w:rPr>
          <w:rFonts w:hint="eastAsia"/>
          <w:color w:val="auto"/>
        </w:rPr>
        <w:t>叠合身份</w:t>
      </w:r>
      <w:r>
        <w:rPr>
          <w:rFonts w:hint="eastAsia"/>
          <w:color w:val="auto"/>
          <w:lang w:eastAsia="zh-CN"/>
        </w:rPr>
        <w:t>”</w:t>
      </w:r>
      <w:r>
        <w:rPr>
          <w:rFonts w:hint="eastAsia"/>
          <w:color w:val="auto"/>
        </w:rPr>
        <w:t>困境与认知偏差</w:t>
      </w:r>
      <w:bookmarkEnd w:id="648"/>
      <w:bookmarkEnd w:id="649"/>
      <w:bookmarkEnd w:id="650"/>
      <w:bookmarkEnd w:id="651"/>
      <w:bookmarkEnd w:id="652"/>
      <w:bookmarkEnd w:id="653"/>
      <w:bookmarkEnd w:id="654"/>
      <w:bookmarkEnd w:id="655"/>
      <w:bookmarkEnd w:id="656"/>
      <w:bookmarkEnd w:id="657"/>
      <w:bookmarkEnd w:id="658"/>
      <w:bookmarkEnd w:id="659"/>
      <w:bookmarkEnd w:id="660"/>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color w:val="auto"/>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的要求看，这种认知偏差本质上是对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认同中国特色社会主义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认同中华文化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等要求的理解不到位，需要在教育引导中予以纠正。</w:t>
      </w:r>
    </w:p>
    <w:p w14:paraId="3BE9FF81">
      <w:pPr>
        <w:pStyle w:val="4"/>
        <w:bidi w:val="0"/>
        <w:rPr>
          <w:rFonts w:hint="eastAsia"/>
          <w:color w:val="auto"/>
          <w:lang w:val="en-US" w:eastAsia="zh-CN"/>
        </w:rPr>
      </w:pPr>
      <w:bookmarkStart w:id="661" w:name="_Toc782929693"/>
      <w:bookmarkStart w:id="662" w:name="_Toc2134719712"/>
      <w:bookmarkStart w:id="663" w:name="_Toc242061566"/>
      <w:bookmarkStart w:id="664" w:name="_Toc535226135"/>
      <w:bookmarkStart w:id="665" w:name="_Toc1607924017"/>
      <w:bookmarkStart w:id="666" w:name="_Toc1679822917"/>
      <w:bookmarkStart w:id="667" w:name="_Toc765297347"/>
      <w:bookmarkStart w:id="668" w:name="_Toc446380829"/>
      <w:bookmarkStart w:id="669" w:name="_Toc1453101246"/>
      <w:bookmarkStart w:id="670" w:name="_Toc700977357"/>
      <w:bookmarkStart w:id="671" w:name="_Toc904391840"/>
      <w:bookmarkStart w:id="672" w:name="_Toc1238366080"/>
      <w:bookmarkStart w:id="673" w:name="_Toc1951307711"/>
      <w:r>
        <w:rPr>
          <w:rFonts w:hint="eastAsia"/>
          <w:color w:val="auto"/>
          <w:lang w:val="en-US" w:eastAsia="zh-CN"/>
        </w:rPr>
        <w:t>二、</w:t>
      </w:r>
      <w:r>
        <w:rPr>
          <w:rFonts w:hint="eastAsia"/>
          <w:color w:val="auto"/>
        </w:rPr>
        <w:t>非信众群体的历史记忆与刻板印象</w:t>
      </w:r>
      <w:bookmarkEnd w:id="661"/>
      <w:bookmarkEnd w:id="662"/>
      <w:bookmarkEnd w:id="663"/>
      <w:bookmarkEnd w:id="664"/>
      <w:bookmarkEnd w:id="665"/>
      <w:bookmarkEnd w:id="666"/>
      <w:bookmarkEnd w:id="667"/>
      <w:bookmarkEnd w:id="668"/>
      <w:bookmarkEnd w:id="669"/>
      <w:bookmarkEnd w:id="670"/>
      <w:bookmarkEnd w:id="671"/>
      <w:bookmarkEnd w:id="672"/>
      <w:bookmarkEnd w:id="673"/>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外来文化渗透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陈金羽对</w:t>
      </w:r>
      <w:r>
        <w:rPr>
          <w:rFonts w:hint="default" w:ascii="Times New Roman" w:hAnsi="Times New Roman" w:eastAsia="宋体" w:cs="Times New Roman"/>
          <w:color w:val="auto"/>
          <w:sz w:val="24"/>
          <w:szCs w:val="24"/>
        </w:rPr>
        <w:t>Q</w:t>
      </w:r>
      <w:r>
        <w:rPr>
          <w:rFonts w:hint="eastAsia" w:ascii="宋体" w:hAnsi="宋体" w:eastAsia="宋体" w:cs="宋体"/>
          <w:color w:val="auto"/>
          <w:sz w:val="24"/>
          <w:szCs w:val="24"/>
        </w:rPr>
        <w:t>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color w:val="auto"/>
          <w:sz w:val="24"/>
          <w:szCs w:val="24"/>
        </w:rPr>
        <w:footnoteReference w:id="81"/>
      </w:r>
    </w:p>
    <w:p w14:paraId="1E43B99C">
      <w:pPr>
        <w:pStyle w:val="4"/>
        <w:bidi w:val="0"/>
        <w:rPr>
          <w:rFonts w:hint="eastAsia"/>
          <w:color w:val="auto"/>
          <w:lang w:val="en-US" w:eastAsia="zh-CN"/>
        </w:rPr>
      </w:pPr>
      <w:bookmarkStart w:id="674" w:name="_Toc1884137309"/>
      <w:bookmarkStart w:id="675" w:name="_Toc444739871"/>
      <w:bookmarkStart w:id="676" w:name="_Toc231151657"/>
      <w:bookmarkStart w:id="677" w:name="_Toc224401414"/>
      <w:bookmarkStart w:id="678" w:name="_Toc1067045082"/>
      <w:bookmarkStart w:id="679" w:name="_Toc1954683483"/>
      <w:bookmarkStart w:id="680" w:name="_Toc994712344"/>
      <w:bookmarkStart w:id="681" w:name="_Toc1072949146"/>
      <w:bookmarkStart w:id="682" w:name="_Toc1162214032"/>
      <w:bookmarkStart w:id="683" w:name="_Toc224909155"/>
      <w:bookmarkStart w:id="684" w:name="_Toc1088607838"/>
      <w:bookmarkStart w:id="685" w:name="_Toc1963742557"/>
      <w:bookmarkStart w:id="686" w:name="_Toc1405925440"/>
      <w:r>
        <w:rPr>
          <w:rFonts w:hint="eastAsia"/>
          <w:color w:val="auto"/>
          <w:lang w:val="en-US" w:eastAsia="zh-CN"/>
        </w:rPr>
        <w:t>三、</w:t>
      </w:r>
      <w:r>
        <w:rPr>
          <w:rFonts w:hint="eastAsia"/>
          <w:color w:val="auto"/>
        </w:rPr>
        <w:t>神学话语与政治话语的沟通鸿沟</w:t>
      </w:r>
      <w:bookmarkEnd w:id="674"/>
      <w:bookmarkEnd w:id="675"/>
      <w:bookmarkEnd w:id="676"/>
      <w:bookmarkEnd w:id="677"/>
      <w:bookmarkEnd w:id="678"/>
      <w:bookmarkEnd w:id="679"/>
      <w:bookmarkEnd w:id="680"/>
      <w:bookmarkEnd w:id="681"/>
      <w:bookmarkEnd w:id="682"/>
      <w:bookmarkEnd w:id="683"/>
      <w:bookmarkEnd w:id="684"/>
      <w:bookmarkEnd w:id="685"/>
      <w:bookmarkEnd w:id="686"/>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color w:val="auto"/>
        </w:rPr>
        <w:t>话语体系的差异进一步加剧了认知壁垒。基督教仁爱观念的表达深深植根于其神学传统，核心概念如</w:t>
      </w:r>
      <w:r>
        <w:rPr>
          <w:rFonts w:hint="eastAsia"/>
          <w:color w:val="auto"/>
          <w:lang w:eastAsia="zh-CN"/>
        </w:rPr>
        <w:t>“</w:t>
      </w:r>
      <w:r>
        <w:rPr>
          <w:color w:val="auto"/>
        </w:rPr>
        <w:t>博爱</w:t>
      </w:r>
      <w:r>
        <w:rPr>
          <w:rFonts w:hint="eastAsia"/>
          <w:color w:val="auto"/>
          <w:lang w:eastAsia="zh-CN"/>
        </w:rPr>
        <w:t>”“</w:t>
      </w:r>
      <w:r>
        <w:rPr>
          <w:color w:val="auto"/>
        </w:rPr>
        <w:t>爱人如己</w:t>
      </w:r>
      <w:r>
        <w:rPr>
          <w:rFonts w:hint="eastAsia"/>
          <w:color w:val="auto"/>
          <w:lang w:eastAsia="zh-CN"/>
        </w:rPr>
        <w:t>”</w:t>
      </w:r>
      <w:r>
        <w:rPr>
          <w:color w:val="auto"/>
        </w:rPr>
        <w:t>以对上帝信仰为前提，论述逻辑往往从</w:t>
      </w:r>
      <w:r>
        <w:rPr>
          <w:rFonts w:hint="eastAsia"/>
          <w:color w:val="auto"/>
          <w:lang w:eastAsia="zh-CN"/>
        </w:rPr>
        <w:t>“</w:t>
      </w:r>
      <w:r>
        <w:rPr>
          <w:color w:val="auto"/>
        </w:rPr>
        <w:t>神的启示</w:t>
      </w:r>
      <w:r>
        <w:rPr>
          <w:rFonts w:hint="eastAsia"/>
          <w:color w:val="auto"/>
          <w:lang w:eastAsia="zh-CN"/>
        </w:rPr>
        <w:t>”“</w:t>
      </w:r>
      <w:r>
        <w:rPr>
          <w:color w:val="auto"/>
        </w:rPr>
        <w:t>人的罪性</w:t>
      </w:r>
      <w:r>
        <w:rPr>
          <w:rFonts w:hint="eastAsia"/>
          <w:color w:val="auto"/>
          <w:lang w:eastAsia="zh-CN"/>
        </w:rPr>
        <w:t>”</w:t>
      </w:r>
      <w:r>
        <w:rPr>
          <w:color w:val="auto"/>
        </w:rPr>
        <w:t>出发，强调通过践行仁爱来荣耀神。相比之下，社会主义核心价值观的话语体系建立在马克思主义理论基础之上，融合中华优秀传统文化与中国特色社会主义实践经验，侧重集体利益、社会和谐与国家发展，多使用</w:t>
      </w:r>
      <w:r>
        <w:rPr>
          <w:rFonts w:hint="eastAsia"/>
          <w:color w:val="auto"/>
          <w:lang w:eastAsia="zh-CN"/>
        </w:rPr>
        <w:t>“</w:t>
      </w:r>
      <w:r>
        <w:rPr>
          <w:color w:val="auto"/>
        </w:rPr>
        <w:t>富强</w:t>
      </w:r>
      <w:r>
        <w:rPr>
          <w:rFonts w:hint="eastAsia"/>
          <w:color w:val="auto"/>
          <w:lang w:eastAsia="zh-CN"/>
        </w:rPr>
        <w:t>”“</w:t>
      </w:r>
      <w:r>
        <w:rPr>
          <w:color w:val="auto"/>
        </w:rPr>
        <w:t>民主</w:t>
      </w:r>
      <w:r>
        <w:rPr>
          <w:rFonts w:hint="eastAsia"/>
          <w:color w:val="auto"/>
          <w:lang w:eastAsia="zh-CN"/>
        </w:rPr>
        <w:t>”“</w:t>
      </w:r>
      <w:r>
        <w:rPr>
          <w:color w:val="auto"/>
        </w:rPr>
        <w:t>文明</w:t>
      </w:r>
      <w:r>
        <w:rPr>
          <w:rFonts w:hint="eastAsia"/>
          <w:color w:val="auto"/>
          <w:lang w:eastAsia="zh-CN"/>
        </w:rPr>
        <w:t>”“</w:t>
      </w:r>
      <w:r>
        <w:rPr>
          <w:color w:val="auto"/>
        </w:rPr>
        <w:t>和谐</w:t>
      </w:r>
      <w:r>
        <w:rPr>
          <w:rFonts w:hint="eastAsia"/>
          <w:color w:val="auto"/>
          <w:lang w:eastAsia="zh-CN"/>
        </w:rPr>
        <w:t>”</w:t>
      </w:r>
      <w:r>
        <w:rPr>
          <w:color w:val="auto"/>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这种话语差异导致双方在交流时难以准确把握对方意图：当基督教徒以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传福音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0660E517">
      <w:pPr>
        <w:rPr>
          <w:rFonts w:hint="eastAsia"/>
          <w:color w:val="auto"/>
          <w:lang w:val="en-US" w:eastAsia="zh-CN"/>
        </w:rPr>
      </w:pPr>
      <w:bookmarkStart w:id="687" w:name="_Toc636112963"/>
      <w:bookmarkStart w:id="688" w:name="_Toc190757077"/>
      <w:bookmarkStart w:id="689" w:name="_Toc2117657360"/>
      <w:bookmarkStart w:id="690" w:name="_Toc2092468403"/>
      <w:bookmarkStart w:id="691" w:name="_Toc1818744473"/>
      <w:bookmarkStart w:id="692" w:name="_Toc1499920337"/>
      <w:bookmarkStart w:id="693" w:name="_Toc1967466359"/>
      <w:bookmarkStart w:id="694" w:name="_Toc2049377348"/>
      <w:bookmarkStart w:id="695" w:name="_Toc160466975"/>
      <w:bookmarkStart w:id="696" w:name="_Toc476949365"/>
      <w:bookmarkStart w:id="697" w:name="_Toc167981776"/>
      <w:r>
        <w:rPr>
          <w:rFonts w:hint="eastAsia"/>
          <w:color w:val="auto"/>
          <w:lang w:val="en-US" w:eastAsia="zh-CN"/>
        </w:rPr>
        <w:br w:type="page"/>
      </w:r>
    </w:p>
    <w:p w14:paraId="74D0D42F">
      <w:pPr>
        <w:pStyle w:val="3"/>
        <w:bidi w:val="0"/>
        <w:rPr>
          <w:rFonts w:hint="eastAsia"/>
          <w:color w:val="auto"/>
          <w:lang w:val="en-US" w:eastAsia="zh-CN"/>
        </w:rPr>
      </w:pPr>
      <w:bookmarkStart w:id="698" w:name="_Toc533280966"/>
      <w:bookmarkStart w:id="699" w:name="_Toc626302139"/>
      <w:r>
        <w:rPr>
          <w:rFonts w:hint="eastAsia"/>
          <w:color w:val="auto"/>
          <w:lang w:val="en-US" w:eastAsia="zh-CN"/>
        </w:rPr>
        <w:t xml:space="preserve">第二节 </w:t>
      </w:r>
      <w:r>
        <w:rPr>
          <w:rFonts w:hint="eastAsia"/>
          <w:color w:val="auto"/>
        </w:rPr>
        <w:t>实践层面的形式化与功利化问题</w:t>
      </w:r>
      <w:bookmarkEnd w:id="687"/>
      <w:bookmarkEnd w:id="688"/>
      <w:bookmarkEnd w:id="689"/>
      <w:bookmarkEnd w:id="690"/>
      <w:bookmarkEnd w:id="691"/>
      <w:bookmarkEnd w:id="692"/>
      <w:bookmarkEnd w:id="693"/>
      <w:bookmarkEnd w:id="694"/>
      <w:bookmarkEnd w:id="695"/>
      <w:bookmarkEnd w:id="696"/>
      <w:bookmarkEnd w:id="697"/>
      <w:bookmarkEnd w:id="698"/>
      <w:bookmarkEnd w:id="699"/>
    </w:p>
    <w:p w14:paraId="07C0D58A">
      <w:pPr>
        <w:pStyle w:val="4"/>
        <w:bidi w:val="0"/>
        <w:rPr>
          <w:rFonts w:hint="eastAsia"/>
          <w:color w:val="auto"/>
          <w:lang w:val="en-US" w:eastAsia="zh-CN"/>
        </w:rPr>
      </w:pPr>
      <w:bookmarkStart w:id="700" w:name="_Toc1876471840"/>
      <w:bookmarkStart w:id="701" w:name="_Toc1679006951"/>
      <w:bookmarkStart w:id="702" w:name="_Toc1998055473"/>
      <w:bookmarkStart w:id="703" w:name="_Toc1476197074"/>
      <w:bookmarkStart w:id="704" w:name="_Toc253899207"/>
      <w:bookmarkStart w:id="705" w:name="_Toc1403936631"/>
      <w:bookmarkStart w:id="706" w:name="_Toc394873603"/>
      <w:bookmarkStart w:id="707" w:name="_Toc1220767789"/>
      <w:bookmarkStart w:id="708" w:name="_Toc356126313"/>
      <w:bookmarkStart w:id="709" w:name="_Toc976974375"/>
      <w:bookmarkStart w:id="710" w:name="_Toc924245949"/>
      <w:bookmarkStart w:id="711" w:name="_Toc2008591815"/>
      <w:bookmarkStart w:id="712" w:name="_Toc1442696226"/>
      <w:r>
        <w:rPr>
          <w:rFonts w:hint="eastAsia"/>
          <w:color w:val="auto"/>
          <w:lang w:val="en-US" w:eastAsia="zh-CN"/>
        </w:rPr>
        <w:t>一、</w:t>
      </w:r>
      <w:r>
        <w:rPr>
          <w:rFonts w:hint="eastAsia"/>
          <w:color w:val="auto"/>
        </w:rPr>
        <w:t>融合活动的象征性执行与形式化困境</w:t>
      </w:r>
      <w:bookmarkEnd w:id="700"/>
      <w:bookmarkEnd w:id="701"/>
      <w:bookmarkEnd w:id="702"/>
      <w:bookmarkEnd w:id="703"/>
      <w:bookmarkEnd w:id="704"/>
      <w:bookmarkEnd w:id="705"/>
      <w:bookmarkEnd w:id="706"/>
      <w:bookmarkEnd w:id="707"/>
      <w:bookmarkEnd w:id="708"/>
      <w:bookmarkEnd w:id="709"/>
      <w:bookmarkEnd w:id="710"/>
      <w:bookmarkEnd w:id="711"/>
      <w:bookmarkEnd w:id="712"/>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重宣传、轻实效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表面功夫</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color w:val="auto"/>
          <w:lang w:val="en-US" w:eastAsia="zh-CN"/>
        </w:rPr>
      </w:pPr>
      <w:bookmarkStart w:id="713" w:name="_Toc2064858685"/>
      <w:bookmarkStart w:id="714" w:name="_Toc233965460"/>
      <w:bookmarkStart w:id="715" w:name="_Toc1052446092"/>
      <w:bookmarkStart w:id="716" w:name="_Toc565648927"/>
      <w:bookmarkStart w:id="717" w:name="_Toc385466285"/>
      <w:bookmarkStart w:id="718" w:name="_Toc1134703877"/>
      <w:bookmarkStart w:id="719" w:name="_Toc348355663"/>
      <w:bookmarkStart w:id="720" w:name="_Toc1560127628"/>
      <w:bookmarkStart w:id="721" w:name="_Toc1116546572"/>
      <w:bookmarkStart w:id="722" w:name="_Toc378018402"/>
      <w:bookmarkStart w:id="723" w:name="_Toc916176391"/>
      <w:bookmarkStart w:id="724" w:name="_Toc2107187512"/>
      <w:bookmarkStart w:id="725" w:name="_Toc157612105"/>
      <w:r>
        <w:rPr>
          <w:rFonts w:hint="eastAsia"/>
          <w:color w:val="auto"/>
          <w:lang w:val="en-US" w:eastAsia="zh-CN"/>
        </w:rPr>
        <w:t>二、</w:t>
      </w:r>
      <w:r>
        <w:rPr>
          <w:rFonts w:hint="eastAsia"/>
          <w:color w:val="auto"/>
        </w:rPr>
        <w:t>慈善实践中的功利化倾向与</w:t>
      </w:r>
      <w:r>
        <w:rPr>
          <w:rFonts w:hint="eastAsia"/>
          <w:color w:val="auto"/>
          <w:lang w:eastAsia="zh-CN"/>
        </w:rPr>
        <w:t>“</w:t>
      </w:r>
      <w:r>
        <w:rPr>
          <w:rFonts w:hint="eastAsia"/>
          <w:color w:val="auto"/>
        </w:rPr>
        <w:t>以慈善传教</w:t>
      </w:r>
      <w:r>
        <w:rPr>
          <w:rFonts w:hint="eastAsia"/>
          <w:color w:val="auto"/>
          <w:lang w:eastAsia="zh-CN"/>
        </w:rPr>
        <w:t>”</w:t>
      </w:r>
      <w:r>
        <w:rPr>
          <w:rFonts w:hint="eastAsia"/>
          <w:color w:val="auto"/>
        </w:rPr>
        <w:t>风险</w:t>
      </w:r>
      <w:bookmarkEnd w:id="713"/>
      <w:bookmarkEnd w:id="714"/>
      <w:bookmarkEnd w:id="715"/>
      <w:bookmarkEnd w:id="716"/>
      <w:bookmarkEnd w:id="717"/>
      <w:bookmarkEnd w:id="718"/>
      <w:bookmarkEnd w:id="719"/>
      <w:bookmarkEnd w:id="720"/>
      <w:bookmarkEnd w:id="721"/>
      <w:bookmarkEnd w:id="722"/>
      <w:bookmarkEnd w:id="723"/>
      <w:bookmarkEnd w:id="724"/>
      <w:bookmarkEnd w:id="725"/>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color w:val="auto"/>
          <w:lang w:val="en-US" w:eastAsia="zh-CN"/>
        </w:rPr>
      </w:pPr>
      <w:bookmarkStart w:id="726" w:name="_Toc289713926"/>
      <w:bookmarkStart w:id="727" w:name="_Toc1098654588"/>
      <w:bookmarkStart w:id="728" w:name="_Toc1786151552"/>
      <w:bookmarkStart w:id="729" w:name="_Toc744183275"/>
      <w:bookmarkStart w:id="730" w:name="_Toc773206319"/>
      <w:bookmarkStart w:id="731" w:name="_Toc1347691507"/>
      <w:bookmarkStart w:id="732" w:name="_Toc1086128118"/>
      <w:bookmarkStart w:id="733" w:name="_Toc2098894467"/>
      <w:bookmarkStart w:id="734" w:name="_Toc718854547"/>
      <w:bookmarkStart w:id="735" w:name="_Toc214928563"/>
      <w:bookmarkStart w:id="736" w:name="_Toc1721172643"/>
      <w:bookmarkStart w:id="737" w:name="_Toc1313275379"/>
      <w:bookmarkStart w:id="738" w:name="_Toc1139311984"/>
      <w:r>
        <w:rPr>
          <w:rFonts w:hint="eastAsia"/>
          <w:color w:val="auto"/>
          <w:lang w:val="en-US" w:eastAsia="zh-CN"/>
        </w:rPr>
        <w:t>三、</w:t>
      </w:r>
      <w:r>
        <w:rPr>
          <w:rFonts w:hint="eastAsia"/>
          <w:color w:val="auto"/>
        </w:rPr>
        <w:t>融合内容与群众真实需求的结构性脱节</w:t>
      </w:r>
      <w:bookmarkEnd w:id="726"/>
      <w:bookmarkEnd w:id="727"/>
      <w:bookmarkEnd w:id="728"/>
      <w:bookmarkEnd w:id="729"/>
      <w:bookmarkEnd w:id="730"/>
      <w:bookmarkEnd w:id="731"/>
      <w:bookmarkEnd w:id="732"/>
      <w:bookmarkEnd w:id="733"/>
      <w:bookmarkEnd w:id="734"/>
      <w:bookmarkEnd w:id="735"/>
      <w:bookmarkEnd w:id="736"/>
      <w:bookmarkEnd w:id="737"/>
      <w:bookmarkEnd w:id="738"/>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最后是融合内容与群众需求的脱节。部分宣传材料停留在抽象概念的简单叠加，如将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color w:val="auto"/>
          <w:lang w:val="en-US" w:eastAsia="zh-CN"/>
        </w:rPr>
      </w:pPr>
      <w:bookmarkStart w:id="739" w:name="_Toc1552921247"/>
      <w:bookmarkStart w:id="740" w:name="_Toc45373407"/>
      <w:bookmarkStart w:id="741" w:name="_Toc175233051"/>
      <w:bookmarkStart w:id="742" w:name="_Toc382370987"/>
      <w:bookmarkStart w:id="743" w:name="_Toc236864087"/>
      <w:bookmarkStart w:id="744" w:name="_Toc876526533"/>
      <w:bookmarkStart w:id="745" w:name="_Toc944279726"/>
      <w:bookmarkStart w:id="746" w:name="_Toc1141133240"/>
      <w:bookmarkStart w:id="747" w:name="_Toc1452318436"/>
      <w:r>
        <w:rPr>
          <w:rFonts w:hint="eastAsia"/>
          <w:color w:val="auto"/>
        </w:rPr>
        <w:t>四、“公正”、“平等”价值在融合实践中的边缘化问题</w:t>
      </w:r>
      <w:bookmarkEnd w:id="739"/>
      <w:bookmarkEnd w:id="740"/>
      <w:bookmarkEnd w:id="741"/>
      <w:bookmarkEnd w:id="742"/>
      <w:bookmarkEnd w:id="743"/>
      <w:bookmarkEnd w:id="744"/>
      <w:bookmarkEnd w:id="745"/>
      <w:bookmarkEnd w:id="746"/>
      <w:bookmarkEnd w:id="747"/>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值得注意的是，当前基督教界在推进融合工作时，对社会主义核心价值观的理解往往偏重于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等个人道德层面，而对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平等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等社会制度层面的价值关注不足。这种倾向导致融合工作更多停留在慈善公益的道德实践层面，未能充分发挥基督教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行公义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重道德、轻制度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的倾向，不仅限制了融合工作的深度，也使得基督教社会伦理中最具变革潜力的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维度未能得到充分释放。</w:t>
      </w:r>
    </w:p>
    <w:p w14:paraId="51B85303">
      <w:pPr>
        <w:pStyle w:val="3"/>
        <w:bidi w:val="0"/>
        <w:rPr>
          <w:rFonts w:hint="eastAsia"/>
          <w:color w:val="auto"/>
          <w:lang w:val="en-US" w:eastAsia="zh-CN"/>
        </w:rPr>
      </w:pPr>
      <w:bookmarkStart w:id="748" w:name="_Toc1578636338"/>
      <w:bookmarkStart w:id="749" w:name="_Toc941808120"/>
      <w:bookmarkStart w:id="750" w:name="_Toc1015217533"/>
      <w:bookmarkStart w:id="751" w:name="_Toc43621711"/>
      <w:bookmarkStart w:id="752" w:name="_Toc1687512318"/>
      <w:bookmarkStart w:id="753" w:name="_Toc605203552"/>
      <w:bookmarkStart w:id="754" w:name="_Toc1023263610"/>
      <w:bookmarkStart w:id="755" w:name="_Toc1238106685"/>
      <w:bookmarkStart w:id="756" w:name="_Toc543542797"/>
      <w:bookmarkStart w:id="757" w:name="_Toc855055436"/>
      <w:bookmarkStart w:id="758" w:name="_Toc1997396970"/>
      <w:bookmarkStart w:id="759" w:name="_Toc234156764"/>
      <w:bookmarkStart w:id="760" w:name="_Toc816822050"/>
      <w:r>
        <w:rPr>
          <w:rFonts w:hint="eastAsia"/>
          <w:color w:val="auto"/>
          <w:lang w:val="en-US" w:eastAsia="zh-CN"/>
        </w:rPr>
        <w:t xml:space="preserve">第三节 </w:t>
      </w:r>
      <w:r>
        <w:rPr>
          <w:rFonts w:hint="eastAsia"/>
          <w:color w:val="auto"/>
        </w:rPr>
        <w:t>制度层面的保障缺位</w:t>
      </w:r>
      <w:bookmarkEnd w:id="748"/>
      <w:bookmarkEnd w:id="749"/>
      <w:bookmarkEnd w:id="750"/>
      <w:bookmarkEnd w:id="751"/>
      <w:bookmarkEnd w:id="752"/>
      <w:bookmarkEnd w:id="753"/>
      <w:bookmarkEnd w:id="754"/>
      <w:bookmarkEnd w:id="755"/>
      <w:bookmarkEnd w:id="756"/>
      <w:bookmarkEnd w:id="757"/>
      <w:bookmarkEnd w:id="758"/>
      <w:bookmarkEnd w:id="759"/>
      <w:bookmarkEnd w:id="760"/>
    </w:p>
    <w:p w14:paraId="280B9A6B">
      <w:pPr>
        <w:pStyle w:val="4"/>
        <w:bidi w:val="0"/>
        <w:rPr>
          <w:rFonts w:hint="eastAsia"/>
          <w:color w:val="auto"/>
          <w:lang w:val="en-US" w:eastAsia="zh-CN"/>
        </w:rPr>
      </w:pPr>
      <w:bookmarkStart w:id="761" w:name="_Toc1889999012"/>
      <w:bookmarkStart w:id="762" w:name="_Toc2075838488"/>
      <w:bookmarkStart w:id="763" w:name="_Toc2103630775"/>
      <w:bookmarkStart w:id="764" w:name="_Toc1173546272"/>
      <w:bookmarkStart w:id="765" w:name="_Toc786504886"/>
      <w:bookmarkStart w:id="766" w:name="_Toc203002697"/>
      <w:bookmarkStart w:id="767" w:name="_Toc942448094"/>
      <w:bookmarkStart w:id="768" w:name="_Toc2127957728"/>
      <w:bookmarkStart w:id="769" w:name="_Toc1003501716"/>
      <w:bookmarkStart w:id="770" w:name="_Toc858173150"/>
      <w:bookmarkStart w:id="771" w:name="_Toc1282691244"/>
      <w:bookmarkStart w:id="772" w:name="_Toc2014594450"/>
      <w:bookmarkStart w:id="773" w:name="_Toc1612722726"/>
      <w:r>
        <w:rPr>
          <w:rFonts w:hint="eastAsia"/>
          <w:color w:val="auto"/>
          <w:lang w:val="en-US" w:eastAsia="zh-CN"/>
        </w:rPr>
        <w:t>一、</w:t>
      </w:r>
      <w:r>
        <w:rPr>
          <w:rFonts w:hint="eastAsia"/>
          <w:color w:val="auto"/>
        </w:rPr>
        <w:t>引导机制的不健全与权责模糊</w:t>
      </w:r>
      <w:bookmarkEnd w:id="761"/>
      <w:bookmarkEnd w:id="762"/>
      <w:bookmarkEnd w:id="763"/>
      <w:bookmarkEnd w:id="764"/>
      <w:bookmarkEnd w:id="765"/>
      <w:bookmarkEnd w:id="766"/>
      <w:bookmarkEnd w:id="767"/>
      <w:bookmarkEnd w:id="768"/>
      <w:bookmarkEnd w:id="769"/>
      <w:bookmarkEnd w:id="770"/>
      <w:bookmarkEnd w:id="771"/>
      <w:bookmarkEnd w:id="772"/>
      <w:bookmarkEnd w:id="773"/>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color w:val="auto"/>
          <w:lang w:val="en-US" w:eastAsia="zh-CN"/>
        </w:rPr>
      </w:pPr>
      <w:bookmarkStart w:id="774" w:name="_Toc1782771907"/>
      <w:bookmarkStart w:id="775" w:name="_Toc815958798"/>
      <w:bookmarkStart w:id="776" w:name="_Toc1664260921"/>
      <w:bookmarkStart w:id="777" w:name="_Toc392877358"/>
      <w:bookmarkStart w:id="778" w:name="_Toc1662297043"/>
      <w:bookmarkStart w:id="779" w:name="_Toc1750889322"/>
      <w:bookmarkStart w:id="780" w:name="_Toc2033219233"/>
      <w:bookmarkStart w:id="781" w:name="_Toc1025771717"/>
      <w:bookmarkStart w:id="782" w:name="_Toc598138654"/>
      <w:bookmarkStart w:id="783" w:name="_Toc1302379456"/>
      <w:bookmarkStart w:id="784" w:name="_Toc2061742548"/>
      <w:bookmarkStart w:id="785" w:name="_Toc1699154864"/>
      <w:bookmarkStart w:id="786" w:name="_Toc1639747095"/>
      <w:r>
        <w:rPr>
          <w:rFonts w:hint="eastAsia"/>
          <w:color w:val="auto"/>
          <w:lang w:val="en-US" w:eastAsia="zh-CN"/>
        </w:rPr>
        <w:t>二、</w:t>
      </w:r>
      <w:r>
        <w:rPr>
          <w:rFonts w:hint="eastAsia"/>
          <w:color w:val="auto"/>
        </w:rPr>
        <w:t>评估监督体系的缺位与指标虚化</w:t>
      </w:r>
      <w:bookmarkEnd w:id="774"/>
      <w:bookmarkEnd w:id="775"/>
      <w:bookmarkEnd w:id="776"/>
      <w:bookmarkEnd w:id="777"/>
      <w:bookmarkEnd w:id="778"/>
      <w:bookmarkEnd w:id="779"/>
      <w:bookmarkEnd w:id="780"/>
      <w:bookmarkEnd w:id="781"/>
      <w:bookmarkEnd w:id="782"/>
      <w:bookmarkEnd w:id="783"/>
      <w:bookmarkEnd w:id="784"/>
      <w:bookmarkEnd w:id="785"/>
      <w:bookmarkEnd w:id="786"/>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对违规开展的融合活动也缺乏有效的监管手段，部分教会打着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color w:val="auto"/>
          <w:lang w:val="en-US" w:eastAsia="zh-CN"/>
        </w:rPr>
      </w:pPr>
      <w:bookmarkStart w:id="787" w:name="_Toc2058359891"/>
      <w:bookmarkStart w:id="788" w:name="_Toc228420013"/>
      <w:bookmarkStart w:id="789" w:name="_Toc1938186768"/>
      <w:bookmarkStart w:id="790" w:name="_Toc1725025028"/>
      <w:bookmarkStart w:id="791" w:name="_Toc146529503"/>
      <w:bookmarkStart w:id="792" w:name="_Toc1355598005"/>
      <w:bookmarkStart w:id="793" w:name="_Toc2136431891"/>
      <w:bookmarkStart w:id="794" w:name="_Toc258797072"/>
      <w:bookmarkStart w:id="795" w:name="_Toc458261442"/>
      <w:bookmarkStart w:id="796" w:name="_Toc545406171"/>
      <w:bookmarkStart w:id="797" w:name="_Toc1555857967"/>
      <w:bookmarkStart w:id="798" w:name="_Toc1611637878"/>
      <w:bookmarkStart w:id="799" w:name="_Toc571783714"/>
      <w:r>
        <w:rPr>
          <w:rFonts w:hint="eastAsia"/>
          <w:color w:val="auto"/>
          <w:lang w:val="en-US" w:eastAsia="zh-CN"/>
        </w:rPr>
        <w:t>三、</w:t>
      </w:r>
      <w:r>
        <w:rPr>
          <w:rFonts w:hint="eastAsia"/>
          <w:color w:val="auto"/>
        </w:rPr>
        <w:t>基层宗教工作队伍的能力短板与培训缺失</w:t>
      </w:r>
      <w:bookmarkEnd w:id="787"/>
      <w:bookmarkEnd w:id="788"/>
      <w:bookmarkEnd w:id="789"/>
      <w:bookmarkEnd w:id="790"/>
      <w:bookmarkEnd w:id="791"/>
      <w:bookmarkEnd w:id="792"/>
      <w:bookmarkEnd w:id="793"/>
      <w:bookmarkEnd w:id="794"/>
      <w:bookmarkEnd w:id="795"/>
      <w:bookmarkEnd w:id="796"/>
      <w:bookmarkEnd w:id="797"/>
      <w:bookmarkEnd w:id="798"/>
      <w:bookmarkEnd w:id="799"/>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因此</w:t>
      </w:r>
      <w:r>
        <w:rPr>
          <w:rFonts w:hint="eastAsia" w:ascii="宋体" w:hAnsi="宋体" w:eastAsia="宋体" w:cs="宋体"/>
          <w:color w:val="auto"/>
          <w:sz w:val="24"/>
          <w:szCs w:val="24"/>
        </w:rPr>
        <w:t>基层宗教工作队伍分层培训</w:t>
      </w:r>
      <w:r>
        <w:rPr>
          <w:rFonts w:hint="eastAsia" w:ascii="宋体" w:hAnsi="宋体" w:eastAsia="宋体" w:cs="宋体"/>
          <w:color w:val="auto"/>
          <w:sz w:val="24"/>
          <w:szCs w:val="24"/>
          <w:lang w:val="en-US" w:eastAsia="zh-CN"/>
        </w:rPr>
        <w:t>就非常的重要，培训的内容可以包括：</w:t>
      </w:r>
      <w:r>
        <w:rPr>
          <w:rFonts w:hint="eastAsia" w:ascii="宋体" w:hAnsi="宋体" w:eastAsia="宋体" w:cs="宋体"/>
          <w:color w:val="auto"/>
          <w:sz w:val="24"/>
          <w:szCs w:val="24"/>
        </w:rPr>
        <w:t>政策理论：中国特色社会主义宗教理论核心要义、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的政策内涵、《宗教事务条例》解读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宗教常识：基督教基本教义概述、仁爱观念的本源与本土化演进、基督教公益慈善的历史传统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价值融合方法：两类价值契合点的梳理技巧、融合活动的策划与实施、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的引导艺术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实操演练：宗教团体公益项目审批流程模拟、讲经内容审核实操、社区融合活动组织演练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最终</w:t>
      </w:r>
      <w:r>
        <w:rPr>
          <w:rFonts w:hint="eastAsia" w:ascii="宋体" w:hAnsi="宋体" w:eastAsia="宋体" w:cs="宋体"/>
          <w:color w:val="auto"/>
          <w:sz w:val="24"/>
          <w:szCs w:val="24"/>
        </w:rPr>
        <w:t>培训评估：采用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理论学习+案例分析+情景模拟+实操考核</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的综合评估方式，确保参训</w:t>
      </w:r>
      <w:r>
        <w:rPr>
          <w:rFonts w:hint="eastAsia" w:ascii="宋体" w:hAnsi="宋体" w:eastAsia="宋体" w:cs="宋体"/>
          <w:color w:val="auto"/>
          <w:sz w:val="24"/>
          <w:szCs w:val="24"/>
          <w:lang w:val="en-US" w:eastAsia="zh-CN"/>
        </w:rPr>
        <w:t>人员</w:t>
      </w:r>
      <w:r>
        <w:rPr>
          <w:rFonts w:hint="eastAsia" w:ascii="宋体" w:hAnsi="宋体" w:eastAsia="宋体" w:cs="宋体"/>
          <w:color w:val="auto"/>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不敢管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不愿管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的消极回避，或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简单化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一刀切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14:paraId="6BA3EE47">
      <w:pPr>
        <w:pStyle w:val="2"/>
        <w:bidi w:val="0"/>
        <w:rPr>
          <w:rFonts w:hint="eastAsia"/>
          <w:color w:val="auto"/>
          <w:lang w:val="en-US" w:eastAsia="zh-CN"/>
        </w:rPr>
      </w:pPr>
      <w:bookmarkStart w:id="800" w:name="_Toc1123697552"/>
      <w:bookmarkStart w:id="801" w:name="_Toc1705097459"/>
      <w:bookmarkStart w:id="802" w:name="_Toc1181310601"/>
      <w:bookmarkStart w:id="803" w:name="_Toc2073052080"/>
      <w:bookmarkStart w:id="804" w:name="_Toc586575935"/>
      <w:bookmarkStart w:id="805" w:name="_Toc1501881302"/>
      <w:bookmarkStart w:id="806" w:name="_Toc1084214197"/>
      <w:bookmarkStart w:id="807" w:name="_Toc1040618514"/>
      <w:bookmarkStart w:id="808" w:name="_Toc1543965497"/>
      <w:bookmarkStart w:id="809" w:name="_Toc948003929"/>
      <w:bookmarkStart w:id="810" w:name="_Toc881659012"/>
      <w:bookmarkStart w:id="811" w:name="_Toc1466411096"/>
      <w:bookmarkStart w:id="812" w:name="_Toc2127044520"/>
      <w:r>
        <w:rPr>
          <w:rFonts w:hint="eastAsia"/>
          <w:color w:val="auto"/>
          <w:lang w:val="en-US" w:eastAsia="zh-CN"/>
        </w:rPr>
        <w:t>五、</w:t>
      </w:r>
      <w:r>
        <w:rPr>
          <w:rFonts w:hint="eastAsia"/>
          <w:color w:val="auto"/>
        </w:rPr>
        <w:t>基督教仁爱观念与核心价值观的融合途径构建</w:t>
      </w:r>
      <w:bookmarkEnd w:id="800"/>
      <w:bookmarkEnd w:id="801"/>
      <w:bookmarkEnd w:id="802"/>
      <w:bookmarkEnd w:id="803"/>
      <w:bookmarkEnd w:id="804"/>
      <w:bookmarkEnd w:id="805"/>
      <w:bookmarkEnd w:id="806"/>
      <w:bookmarkEnd w:id="807"/>
      <w:bookmarkEnd w:id="808"/>
      <w:bookmarkEnd w:id="809"/>
      <w:bookmarkEnd w:id="810"/>
      <w:bookmarkEnd w:id="811"/>
      <w:bookmarkEnd w:id="812"/>
    </w:p>
    <w:p w14:paraId="746E5CE8">
      <w:pPr>
        <w:pStyle w:val="3"/>
        <w:bidi w:val="0"/>
        <w:rPr>
          <w:rFonts w:hint="eastAsia"/>
          <w:color w:val="auto"/>
          <w:lang w:val="en-US" w:eastAsia="zh-CN"/>
        </w:rPr>
      </w:pPr>
      <w:bookmarkStart w:id="813" w:name="_Toc989264184"/>
      <w:bookmarkStart w:id="814" w:name="_Toc920857610"/>
      <w:bookmarkStart w:id="815" w:name="_Toc1383201378"/>
      <w:bookmarkStart w:id="816" w:name="_Toc568543630"/>
      <w:bookmarkStart w:id="817" w:name="_Toc1551207845"/>
      <w:bookmarkStart w:id="818" w:name="_Toc1011619632"/>
      <w:bookmarkStart w:id="819" w:name="_Toc1013564746"/>
      <w:bookmarkStart w:id="820" w:name="_Toc405850384"/>
      <w:bookmarkStart w:id="821" w:name="_Toc1631799815"/>
      <w:bookmarkStart w:id="822" w:name="_Toc800954492"/>
      <w:bookmarkStart w:id="823" w:name="_Toc596255876"/>
      <w:bookmarkStart w:id="824" w:name="_Toc1448957500"/>
      <w:bookmarkStart w:id="825" w:name="_Toc76976031"/>
      <w:r>
        <w:rPr>
          <w:rFonts w:hint="eastAsia"/>
          <w:color w:val="auto"/>
          <w:lang w:val="en-US" w:eastAsia="zh-CN"/>
        </w:rPr>
        <w:t xml:space="preserve">第一节 </w:t>
      </w:r>
      <w:r>
        <w:rPr>
          <w:rFonts w:hint="eastAsia"/>
          <w:color w:val="auto"/>
        </w:rPr>
        <w:t>教义阐释维度：构建本土化、时代化的仁爱话语体系</w:t>
      </w:r>
      <w:bookmarkEnd w:id="813"/>
      <w:bookmarkEnd w:id="814"/>
      <w:bookmarkEnd w:id="815"/>
      <w:bookmarkEnd w:id="816"/>
      <w:bookmarkEnd w:id="817"/>
      <w:bookmarkEnd w:id="818"/>
      <w:bookmarkEnd w:id="819"/>
      <w:bookmarkEnd w:id="820"/>
      <w:bookmarkEnd w:id="821"/>
      <w:bookmarkEnd w:id="822"/>
      <w:bookmarkEnd w:id="823"/>
      <w:bookmarkEnd w:id="824"/>
      <w:bookmarkEnd w:id="825"/>
    </w:p>
    <w:p w14:paraId="7907FF9B">
      <w:pPr>
        <w:pStyle w:val="4"/>
        <w:bidi w:val="0"/>
        <w:rPr>
          <w:rFonts w:hint="eastAsia"/>
          <w:color w:val="auto"/>
          <w:lang w:val="en-US" w:eastAsia="zh-CN"/>
        </w:rPr>
      </w:pPr>
      <w:bookmarkStart w:id="826" w:name="_Toc1142398018"/>
      <w:bookmarkStart w:id="827" w:name="_Toc744745414"/>
      <w:bookmarkStart w:id="828" w:name="_Toc1214647648"/>
      <w:bookmarkStart w:id="829" w:name="_Toc698776335"/>
      <w:bookmarkStart w:id="830" w:name="_Toc955081271"/>
      <w:bookmarkStart w:id="831" w:name="_Toc663121725"/>
      <w:bookmarkStart w:id="832" w:name="_Toc164145520"/>
      <w:bookmarkStart w:id="833" w:name="_Toc2086690988"/>
      <w:bookmarkStart w:id="834" w:name="_Toc1113811030"/>
      <w:bookmarkStart w:id="835" w:name="_Toc145834868"/>
      <w:bookmarkStart w:id="836" w:name="_Toc1358043907"/>
      <w:bookmarkStart w:id="837" w:name="_Toc719341016"/>
      <w:bookmarkStart w:id="838" w:name="_Toc950997523"/>
      <w:r>
        <w:rPr>
          <w:rFonts w:hint="eastAsia"/>
          <w:color w:val="auto"/>
          <w:lang w:val="en-US" w:eastAsia="zh-CN"/>
        </w:rPr>
        <w:t>一、</w:t>
      </w:r>
      <w:r>
        <w:rPr>
          <w:rFonts w:hint="eastAsia"/>
          <w:color w:val="auto"/>
          <w:lang w:eastAsia="zh-CN"/>
        </w:rPr>
        <w:t>“</w:t>
      </w:r>
      <w:r>
        <w:rPr>
          <w:rFonts w:hint="eastAsia"/>
          <w:color w:val="auto"/>
        </w:rPr>
        <w:t>以儒释耶</w:t>
      </w:r>
      <w:r>
        <w:rPr>
          <w:rFonts w:hint="eastAsia"/>
          <w:color w:val="auto"/>
          <w:lang w:eastAsia="zh-CN"/>
        </w:rPr>
        <w:t>”</w:t>
      </w:r>
      <w:r>
        <w:rPr>
          <w:rFonts w:hint="eastAsia"/>
          <w:color w:val="auto"/>
        </w:rPr>
        <w:t>的当代创新：从利玛窦到新时代</w:t>
      </w:r>
      <w:bookmarkEnd w:id="826"/>
      <w:bookmarkEnd w:id="827"/>
      <w:bookmarkEnd w:id="828"/>
      <w:bookmarkEnd w:id="829"/>
      <w:bookmarkEnd w:id="830"/>
      <w:bookmarkEnd w:id="831"/>
      <w:bookmarkEnd w:id="832"/>
      <w:bookmarkEnd w:id="833"/>
      <w:bookmarkEnd w:id="834"/>
      <w:bookmarkEnd w:id="835"/>
      <w:bookmarkEnd w:id="836"/>
      <w:bookmarkEnd w:id="837"/>
      <w:bookmarkEnd w:id="838"/>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上帝</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译</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Deus</w:t>
      </w:r>
      <w:r>
        <w:rPr>
          <w:rFonts w:hint="default" w:ascii="Times New Roman" w:hAnsi="Times New Roman" w:eastAsia="宋体" w:cs="Times New Roman"/>
          <w:color w:val="auto"/>
          <w:sz w:val="24"/>
          <w:szCs w:val="24"/>
          <w:lang w:eastAsia="zh-CN"/>
        </w:rPr>
        <w:t>”</w:t>
      </w:r>
      <w:r>
        <w:rPr>
          <w:rFonts w:hint="eastAsia" w:ascii="宋体" w:hAnsi="宋体" w:eastAsia="宋体" w:cs="宋体"/>
          <w:color w:val="auto"/>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进行对接。这种对接不是概念替换，而是在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讲仁爱、尚和合、重民本、求大同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等价值理念融入宗教经典教义诠释。</w:t>
      </w:r>
      <w:r>
        <w:rPr>
          <w:rStyle w:val="29"/>
          <w:rFonts w:hint="eastAsia" w:ascii="宋体" w:hAnsi="宋体" w:eastAsia="宋体" w:cs="宋体"/>
          <w:color w:val="auto"/>
          <w:sz w:val="24"/>
          <w:szCs w:val="24"/>
        </w:rPr>
        <w:footnoteReference w:id="82"/>
      </w:r>
      <w:r>
        <w:rPr>
          <w:rFonts w:hint="eastAsia" w:ascii="宋体" w:hAnsi="宋体" w:eastAsia="宋体" w:cs="宋体"/>
          <w:color w:val="auto"/>
          <w:sz w:val="24"/>
          <w:szCs w:val="24"/>
        </w:rPr>
        <w:t xml:space="preserve"> 例如，在阐释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时，可以引入儒家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己欲立而立人，己欲达而达人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（《论语·雍也》）的忠恕之道，说明基督教之爱与儒家之仁在实践伦理层面的相通性；在阐释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爱仇敌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时，可以结合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和而不同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以德报怨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的中华传统智慧，赋予其更具中国文化气质的表达方式。</w:t>
      </w:r>
    </w:p>
    <w:p w14:paraId="0A990621">
      <w:pPr>
        <w:pStyle w:val="4"/>
        <w:bidi w:val="0"/>
        <w:rPr>
          <w:rFonts w:hint="eastAsia"/>
          <w:color w:val="auto"/>
        </w:rPr>
      </w:pPr>
      <w:bookmarkStart w:id="839" w:name="_Toc1187744633"/>
      <w:bookmarkStart w:id="840" w:name="_Toc1779684346"/>
      <w:bookmarkStart w:id="841" w:name="_Toc207030311"/>
      <w:bookmarkStart w:id="842" w:name="_Toc1893280549"/>
      <w:bookmarkStart w:id="843" w:name="_Toc767785249"/>
      <w:bookmarkStart w:id="844" w:name="_Toc1794187792"/>
      <w:bookmarkStart w:id="845" w:name="_Toc1779006949"/>
      <w:bookmarkStart w:id="846" w:name="_Toc1758144019"/>
      <w:bookmarkStart w:id="847" w:name="_Toc1401478382"/>
      <w:bookmarkStart w:id="848" w:name="_Toc603471554"/>
      <w:bookmarkStart w:id="849" w:name="_Toc459996159"/>
      <w:bookmarkStart w:id="850" w:name="_Toc1424751892"/>
      <w:bookmarkStart w:id="851" w:name="_Toc1842068087"/>
      <w:r>
        <w:rPr>
          <w:rFonts w:hint="eastAsia"/>
          <w:color w:val="auto"/>
          <w:lang w:val="en-US" w:eastAsia="zh-CN"/>
        </w:rPr>
        <w:t>二、</w:t>
      </w:r>
      <w:r>
        <w:rPr>
          <w:rFonts w:hint="eastAsia"/>
          <w:color w:val="auto"/>
        </w:rPr>
        <w:t>Agape与</w:t>
      </w:r>
      <w:r>
        <w:rPr>
          <w:rFonts w:hint="eastAsia"/>
          <w:color w:val="auto"/>
          <w:lang w:eastAsia="zh-CN"/>
        </w:rPr>
        <w:t>“</w:t>
      </w:r>
      <w:r>
        <w:rPr>
          <w:rFonts w:hint="eastAsia"/>
          <w:color w:val="auto"/>
        </w:rPr>
        <w:t>仁</w:t>
      </w:r>
      <w:r>
        <w:rPr>
          <w:rFonts w:hint="eastAsia"/>
          <w:color w:val="auto"/>
          <w:lang w:eastAsia="zh-CN"/>
        </w:rPr>
        <w:t>”</w:t>
      </w:r>
      <w:r>
        <w:rPr>
          <w:rFonts w:hint="eastAsia"/>
          <w:color w:val="auto"/>
        </w:rPr>
        <w:t>的创造性对接：差序与普遍的辩证统一</w:t>
      </w:r>
      <w:bookmarkEnd w:id="839"/>
      <w:bookmarkEnd w:id="840"/>
      <w:bookmarkEnd w:id="841"/>
      <w:bookmarkEnd w:id="842"/>
      <w:bookmarkEnd w:id="843"/>
      <w:bookmarkEnd w:id="844"/>
      <w:bookmarkEnd w:id="845"/>
      <w:bookmarkEnd w:id="846"/>
      <w:bookmarkEnd w:id="847"/>
      <w:bookmarkEnd w:id="848"/>
      <w:bookmarkEnd w:id="849"/>
      <w:bookmarkEnd w:id="850"/>
      <w:bookmarkEnd w:id="851"/>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w:t>
      </w:r>
      <w:r>
        <w:rPr>
          <w:rFonts w:hint="eastAsia" w:ascii="宋体" w:hAnsi="宋体" w:eastAsia="宋体" w:cs="宋体"/>
          <w:color w:val="auto"/>
          <w:sz w:val="24"/>
          <w:szCs w:val="24"/>
          <w:lang w:eastAsia="zh-CN"/>
        </w:rPr>
        <w:t>“</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方案，核心在于将儒家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的普遍主义进行辩证统一，形成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第一层：家国情怀（爱家爱国）。儒家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孝悌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为根基，由亲亲而仁民，由仁民而爱物。基督教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虽然强调普遍性，但在《圣经》中同样重视家庭伦理（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当孝敬父母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，《出埃及记》20:12）。当代教义阐释可以将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衔接，论证基督徒爱国爱教的一致性：爱上帝要求信徒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在上有权柄的，人人当顺服他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（罗13:1），而在中国语境中，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顺服权柄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第二层：社区互助（爱人如己）。这是融合实践的核心层面。儒家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在社区层面表现为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邻里守望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敦亲睦邻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则表现为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式的邻人关爱。二者可以在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概念中实现对接：基督徒参与社区养老、困境儿童帮扶，既是践行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第三层：人类关怀（博爱大同）。儒家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天下大同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万人得救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的普世关怀可以在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人类命运共同体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理念中实现对接。这种诠释既保留了基督教</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这种三层结构不是对基督教教义的篡改，而是“处境化诠释”</w:t>
      </w:r>
      <w:r>
        <w:rPr>
          <w:rFonts w:hint="default" w:ascii="Times New Roman" w:hAnsi="Times New Roman" w:eastAsia="宋体" w:cs="Times New Roman"/>
          <w:color w:val="auto"/>
          <w:sz w:val="24"/>
          <w:szCs w:val="24"/>
        </w:rPr>
        <w:t>（contextual hermeneutics）</w:t>
      </w:r>
      <w:r>
        <w:rPr>
          <w:rFonts w:hint="eastAsia" w:ascii="宋体" w:hAnsi="宋体" w:eastAsia="宋体" w:cs="宋体"/>
          <w:color w:val="auto"/>
          <w:sz w:val="24"/>
          <w:szCs w:val="24"/>
        </w:rPr>
        <w:t>的必然要求。正如</w:t>
      </w:r>
      <w:r>
        <w:rPr>
          <w:rFonts w:hint="default" w:ascii="Times New Roman" w:hAnsi="Times New Roman" w:eastAsia="宋体" w:cs="Times New Roman"/>
          <w:color w:val="auto"/>
          <w:sz w:val="24"/>
          <w:szCs w:val="24"/>
        </w:rPr>
        <w:t>Schreiter</w:t>
      </w:r>
      <w:r>
        <w:rPr>
          <w:rFonts w:hint="eastAsia" w:ascii="宋体" w:hAnsi="宋体" w:eastAsia="宋体" w:cs="宋体"/>
          <w:color w:val="auto"/>
          <w:sz w:val="24"/>
          <w:szCs w:val="24"/>
        </w:rPr>
        <w:t>所言，本土神学建构需要在本土经验中“重新发现”福音的意义，而非将外来意义“强加”于本土经验。 2023年《纲要》明确提出“以社会主义核心价值观为引领，用中华优秀传统文化浸润”，这一政策要求为“</w:t>
      </w:r>
      <w:r>
        <w:rPr>
          <w:rFonts w:hint="default" w:ascii="Times New Roman" w:hAnsi="Times New Roman" w:eastAsia="宋体" w:cs="Times New Roman"/>
          <w:color w:val="auto"/>
          <w:sz w:val="24"/>
          <w:szCs w:val="24"/>
        </w:rPr>
        <w:t>Agape</w:t>
      </w:r>
      <w:r>
        <w:rPr>
          <w:rFonts w:hint="eastAsia" w:ascii="宋体" w:hAnsi="宋体" w:eastAsia="宋体" w:cs="宋体"/>
          <w:color w:val="auto"/>
          <w:sz w:val="24"/>
          <w:szCs w:val="24"/>
        </w:rPr>
        <w:t>与‘仁’的创造性对接”提供了制度支撑。</w:t>
      </w:r>
    </w:p>
    <w:p w14:paraId="522CDC5F">
      <w:pPr>
        <w:pStyle w:val="4"/>
        <w:bidi w:val="0"/>
        <w:rPr>
          <w:rFonts w:hint="eastAsia"/>
          <w:color w:val="auto"/>
        </w:rPr>
      </w:pPr>
      <w:bookmarkStart w:id="852" w:name="_Toc2096332617"/>
      <w:bookmarkStart w:id="853" w:name="_Toc1002567806"/>
      <w:bookmarkStart w:id="854" w:name="_Toc2128626944"/>
      <w:bookmarkStart w:id="855" w:name="_Toc214315113"/>
      <w:bookmarkStart w:id="856" w:name="_Toc2084928767"/>
      <w:bookmarkStart w:id="857" w:name="_Toc1046525978"/>
      <w:bookmarkStart w:id="858" w:name="_Toc634928837"/>
      <w:bookmarkStart w:id="859" w:name="_Toc1563547966"/>
      <w:bookmarkStart w:id="860" w:name="_Toc1362384794"/>
      <w:bookmarkStart w:id="861" w:name="_Toc1100989444"/>
      <w:bookmarkStart w:id="862" w:name="_Toc354974662"/>
      <w:bookmarkStart w:id="863" w:name="_Toc1899028260"/>
      <w:bookmarkStart w:id="864" w:name="_Toc1514083057"/>
      <w:r>
        <w:rPr>
          <w:rFonts w:hint="eastAsia"/>
          <w:color w:val="auto"/>
          <w:lang w:val="en-US" w:eastAsia="zh-CN"/>
        </w:rPr>
        <w:t>三、</w:t>
      </w:r>
      <w:r>
        <w:rPr>
          <w:rFonts w:hint="eastAsia"/>
          <w:color w:val="auto"/>
        </w:rPr>
        <w:t>浙江神学院神学思想建设的实践引领</w:t>
      </w:r>
      <w:bookmarkEnd w:id="852"/>
      <w:bookmarkEnd w:id="853"/>
      <w:bookmarkEnd w:id="854"/>
      <w:bookmarkEnd w:id="855"/>
      <w:bookmarkEnd w:id="856"/>
      <w:bookmarkEnd w:id="857"/>
      <w:bookmarkEnd w:id="858"/>
      <w:bookmarkEnd w:id="859"/>
      <w:bookmarkEnd w:id="860"/>
      <w:bookmarkEnd w:id="861"/>
      <w:bookmarkEnd w:id="862"/>
      <w:bookmarkEnd w:id="863"/>
      <w:bookmarkEnd w:id="864"/>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为谁培养人、培养什么人、怎样培养人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三个基本问题开展教育教学工作，推动特色教育多元融合，实行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爱心培养理念、提倡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五能精品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教学、开展课外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生命操守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爱心培养理念将知识传授、品格塑造、能力培养、社会实践融为一体，强调神学教育不仅要培养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宗教上有造诣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的人才，更要培养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政治上靠得住、品德上能服众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的复合型人才。这一理念与社会主义核心价值观的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敬业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浙江神学院还定期举办神学思想建设研讨会。2019年12月，浙江省基督教两会在浙江神学院举办</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基督教中国化神学思想建设第十九次研讨会暨浙江神学院三十五周年感恩活动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，研讨会以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基督教促进社会主义经济发展作贡献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为主题，探讨了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马太效应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的积极运用、敬业精神的神学基础、社会主要矛盾变化对基督教的考验等议题。</w:t>
      </w:r>
      <w:r>
        <w:rPr>
          <w:rStyle w:val="29"/>
          <w:rFonts w:hint="eastAsia" w:ascii="宋体" w:hAnsi="宋体" w:eastAsia="宋体" w:cs="宋体"/>
          <w:color w:val="auto"/>
          <w:sz w:val="24"/>
          <w:szCs w:val="24"/>
        </w:rPr>
        <w:footnoteReference w:id="83"/>
      </w:r>
      <w:r>
        <w:rPr>
          <w:rFonts w:hint="eastAsia" w:ascii="宋体" w:hAnsi="宋体" w:eastAsia="宋体" w:cs="宋体"/>
          <w:color w:val="auto"/>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color w:val="auto"/>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张忠成牧师在研讨会上以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基督教伦理与社会主义核心价值观之刍议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为题发言，直接论证了基督教伦理与核心价值观的契合性。</w:t>
      </w:r>
      <w:r>
        <w:rPr>
          <w:rStyle w:val="29"/>
          <w:rFonts w:hint="eastAsia" w:ascii="宋体" w:hAnsi="宋体" w:eastAsia="宋体" w:cs="宋体"/>
          <w:color w:val="auto"/>
          <w:sz w:val="24"/>
          <w:szCs w:val="24"/>
        </w:rPr>
        <w:footnoteReference w:id="85"/>
      </w:r>
      <w:r>
        <w:rPr>
          <w:rFonts w:hint="eastAsia" w:ascii="宋体" w:hAnsi="宋体" w:eastAsia="宋体" w:cs="宋体"/>
          <w:color w:val="auto"/>
          <w:sz w:val="24"/>
          <w:szCs w:val="24"/>
        </w:rPr>
        <w:t xml:space="preserve"> 这种由宗教界代表人士主动发起的价值对话，比外部强加的政策宣讲更具说服力，是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邻舍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color w:val="auto"/>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为增强教义阐释的可操作性，本文提供以下讲经讲道示范框架。以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绵羊与山羊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寓言（太25:31-46）为例，传统讲道侧重于末日审判的神学含义，在社会主义核心价值观引领下的处境化诠释中，可将讲道重心转向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给最小的弟兄做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的实践伦理：</w:t>
      </w:r>
      <w:r>
        <w:rPr>
          <w:rFonts w:hint="eastAsia" w:ascii="宋体" w:hAnsi="宋体" w:eastAsia="宋体" w:cs="宋体"/>
          <w:color w:val="auto"/>
          <w:sz w:val="24"/>
          <w:szCs w:val="24"/>
          <w:lang w:val="en-US" w:eastAsia="zh-CN"/>
        </w:rPr>
        <w:t>如讲道</w:t>
      </w:r>
      <w:r>
        <w:rPr>
          <w:rFonts w:hint="eastAsia" w:ascii="宋体" w:hAnsi="宋体" w:eastAsia="宋体" w:cs="宋体"/>
          <w:color w:val="auto"/>
          <w:sz w:val="24"/>
          <w:szCs w:val="24"/>
        </w:rPr>
        <w:t>主题：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价值的信仰实践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采用</w:t>
      </w:r>
      <w:r>
        <w:rPr>
          <w:rFonts w:hint="eastAsia" w:ascii="宋体" w:hAnsi="宋体" w:eastAsia="宋体" w:cs="宋体"/>
          <w:color w:val="auto"/>
          <w:sz w:val="24"/>
          <w:szCs w:val="24"/>
        </w:rPr>
        <w:t>经文：《马太福音》22:37-39</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最大的诫命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第一点</w:t>
      </w:r>
      <w:r>
        <w:rPr>
          <w:rFonts w:hint="eastAsia" w:ascii="宋体" w:hAnsi="宋体" w:eastAsia="宋体" w:cs="宋体"/>
          <w:color w:val="auto"/>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四合一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爱心培养理念中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品格塑造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的要求，说明基督徒的爱国情怀是信仰的自然延伸。</w:t>
      </w:r>
      <w:r>
        <w:rPr>
          <w:rFonts w:hint="eastAsia" w:ascii="宋体" w:hAnsi="宋体" w:eastAsia="宋体" w:cs="宋体"/>
          <w:color w:val="auto"/>
          <w:sz w:val="24"/>
          <w:szCs w:val="24"/>
          <w:lang w:val="en-US" w:eastAsia="zh-CN"/>
        </w:rPr>
        <w:t>第二点：</w:t>
      </w:r>
      <w:r>
        <w:rPr>
          <w:rFonts w:hint="eastAsia" w:ascii="宋体" w:hAnsi="宋体" w:eastAsia="宋体" w:cs="宋体"/>
          <w:color w:val="auto"/>
          <w:sz w:val="24"/>
          <w:szCs w:val="24"/>
        </w:rPr>
        <w:t>爱人如己与友善价值的对接。将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与社会主义核心价值观公民层面的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进行对照。引用《论语》中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己欲立而立人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的忠恕之道，说明基督教之爱与儒家之仁在实践伦理层面的相通性。结合浙江光盐爱心基金会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光盐助学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项目的具体案例，说明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如何在当代转化为对弱势群体的实际关怀。第三</w:t>
      </w:r>
      <w:r>
        <w:rPr>
          <w:rFonts w:hint="eastAsia" w:ascii="宋体" w:hAnsi="宋体" w:eastAsia="宋体" w:cs="宋体"/>
          <w:color w:val="auto"/>
          <w:sz w:val="24"/>
          <w:szCs w:val="24"/>
          <w:lang w:val="en-US" w:eastAsia="zh-CN"/>
        </w:rPr>
        <w:t>点</w:t>
      </w:r>
      <w:r>
        <w:rPr>
          <w:rFonts w:hint="eastAsia" w:ascii="宋体" w:hAnsi="宋体" w:eastAsia="宋体" w:cs="宋体"/>
          <w:color w:val="auto"/>
          <w:sz w:val="24"/>
          <w:szCs w:val="24"/>
        </w:rPr>
        <w:t>：从社区互助到社会和谐。引用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好撒玛利亚人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寓言（路10:25-37），论证基督徒参与社区养老、困境儿童帮扶既是践行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，也是实现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价值。结合杭州圣爱康复医院的社区服务实践，说明信仰如何转化为具体的社会服务行动。</w:t>
      </w:r>
    </w:p>
    <w:p w14:paraId="04283793">
      <w:pPr>
        <w:rPr>
          <w:rFonts w:hint="eastAsia"/>
          <w:color w:val="auto"/>
          <w:lang w:val="en-US" w:eastAsia="zh-CN"/>
        </w:rPr>
      </w:pPr>
      <w:bookmarkStart w:id="865" w:name="_Toc349572868"/>
      <w:bookmarkStart w:id="866" w:name="_Toc902972435"/>
      <w:bookmarkStart w:id="867" w:name="_Toc402721516"/>
      <w:bookmarkStart w:id="868" w:name="_Toc1610482756"/>
      <w:bookmarkStart w:id="869" w:name="_Toc907118870"/>
      <w:bookmarkStart w:id="870" w:name="_Toc1000421080"/>
      <w:bookmarkStart w:id="871" w:name="_Toc1445581237"/>
      <w:bookmarkStart w:id="872" w:name="_Toc1130588444"/>
      <w:bookmarkStart w:id="873" w:name="_Toc1940759870"/>
      <w:bookmarkStart w:id="874" w:name="_Toc1066004106"/>
      <w:bookmarkStart w:id="875" w:name="_Toc664028172"/>
      <w:r>
        <w:rPr>
          <w:rFonts w:hint="eastAsia"/>
          <w:color w:val="auto"/>
          <w:lang w:val="en-US" w:eastAsia="zh-CN"/>
        </w:rPr>
        <w:br w:type="page"/>
      </w:r>
    </w:p>
    <w:p w14:paraId="1E9C7281">
      <w:pPr>
        <w:pStyle w:val="3"/>
        <w:bidi w:val="0"/>
        <w:rPr>
          <w:rFonts w:hint="eastAsia"/>
          <w:color w:val="auto"/>
          <w:lang w:val="en-US" w:eastAsia="zh-CN"/>
        </w:rPr>
      </w:pPr>
      <w:bookmarkStart w:id="876" w:name="_Toc1071043316"/>
      <w:bookmarkStart w:id="877" w:name="_Toc1660205696"/>
      <w:r>
        <w:rPr>
          <w:rFonts w:hint="eastAsia"/>
          <w:color w:val="auto"/>
          <w:lang w:val="en-US" w:eastAsia="zh-CN"/>
        </w:rPr>
        <w:t xml:space="preserve">第二节 </w:t>
      </w:r>
      <w:r>
        <w:rPr>
          <w:rFonts w:hint="eastAsia"/>
          <w:color w:val="auto"/>
        </w:rPr>
        <w:t>教育引导维度：</w:t>
      </w:r>
      <w:r>
        <w:rPr>
          <w:rFonts w:hint="eastAsia"/>
          <w:color w:val="auto"/>
          <w:lang w:eastAsia="zh-CN"/>
        </w:rPr>
        <w:t>“</w:t>
      </w:r>
      <w:r>
        <w:rPr>
          <w:rFonts w:hint="eastAsia"/>
          <w:color w:val="auto"/>
        </w:rPr>
        <w:t>润物细无声</w:t>
      </w:r>
      <w:r>
        <w:rPr>
          <w:rFonts w:hint="eastAsia"/>
          <w:color w:val="auto"/>
          <w:lang w:eastAsia="zh-CN"/>
        </w:rPr>
        <w:t>”</w:t>
      </w:r>
      <w:r>
        <w:rPr>
          <w:rFonts w:hint="eastAsia"/>
          <w:color w:val="auto"/>
        </w:rPr>
        <w:t>的价值浸润机制</w:t>
      </w:r>
      <w:bookmarkEnd w:id="865"/>
      <w:bookmarkEnd w:id="866"/>
      <w:bookmarkEnd w:id="867"/>
      <w:bookmarkEnd w:id="868"/>
      <w:bookmarkEnd w:id="869"/>
      <w:bookmarkEnd w:id="870"/>
      <w:bookmarkEnd w:id="871"/>
      <w:bookmarkEnd w:id="872"/>
      <w:bookmarkEnd w:id="873"/>
      <w:bookmarkEnd w:id="874"/>
      <w:bookmarkEnd w:id="875"/>
      <w:bookmarkEnd w:id="876"/>
      <w:bookmarkEnd w:id="877"/>
    </w:p>
    <w:p w14:paraId="17C94084">
      <w:pPr>
        <w:pStyle w:val="4"/>
        <w:bidi w:val="0"/>
        <w:rPr>
          <w:rFonts w:hint="eastAsia"/>
          <w:color w:val="auto"/>
          <w:lang w:val="en-US" w:eastAsia="zh-CN"/>
        </w:rPr>
      </w:pPr>
      <w:bookmarkStart w:id="878" w:name="_Toc817082858"/>
      <w:bookmarkStart w:id="879" w:name="_Toc2138265343"/>
      <w:bookmarkStart w:id="880" w:name="_Toc1401351748"/>
      <w:bookmarkStart w:id="881" w:name="_Toc2022426268"/>
      <w:bookmarkStart w:id="882" w:name="_Toc499793304"/>
      <w:bookmarkStart w:id="883" w:name="_Toc1819547715"/>
      <w:bookmarkStart w:id="884" w:name="_Toc1427619197"/>
      <w:bookmarkStart w:id="885" w:name="_Toc222020807"/>
      <w:bookmarkStart w:id="886" w:name="_Toc960438037"/>
      <w:bookmarkStart w:id="887" w:name="_Toc1996456992"/>
      <w:bookmarkStart w:id="888" w:name="_Toc1903417931"/>
      <w:bookmarkStart w:id="889" w:name="_Toc864669652"/>
      <w:bookmarkStart w:id="890" w:name="_Toc822107201"/>
      <w:r>
        <w:rPr>
          <w:rFonts w:hint="eastAsia"/>
          <w:color w:val="auto"/>
          <w:lang w:val="en-US" w:eastAsia="zh-CN"/>
        </w:rPr>
        <w:t>一、</w:t>
      </w:r>
      <w:r>
        <w:rPr>
          <w:rFonts w:hint="eastAsia"/>
          <w:color w:val="auto"/>
        </w:rPr>
        <w:t>分层分类的</w:t>
      </w:r>
      <w:r>
        <w:rPr>
          <w:rFonts w:hint="eastAsia"/>
          <w:color w:val="auto"/>
          <w:lang w:eastAsia="zh-CN"/>
        </w:rPr>
        <w:t>“</w:t>
      </w:r>
      <w:r>
        <w:rPr>
          <w:rFonts w:hint="eastAsia"/>
          <w:color w:val="auto"/>
        </w:rPr>
        <w:t>浸润式</w:t>
      </w:r>
      <w:r>
        <w:rPr>
          <w:rFonts w:hint="eastAsia"/>
          <w:color w:val="auto"/>
          <w:lang w:eastAsia="zh-CN"/>
        </w:rPr>
        <w:t>”</w:t>
      </w:r>
      <w:r>
        <w:rPr>
          <w:rFonts w:hint="eastAsia"/>
          <w:color w:val="auto"/>
        </w:rPr>
        <w:t>教育策略</w:t>
      </w:r>
      <w:bookmarkEnd w:id="878"/>
      <w:bookmarkEnd w:id="879"/>
      <w:bookmarkEnd w:id="880"/>
      <w:bookmarkEnd w:id="881"/>
      <w:bookmarkEnd w:id="882"/>
      <w:bookmarkEnd w:id="883"/>
      <w:bookmarkEnd w:id="884"/>
      <w:bookmarkEnd w:id="885"/>
      <w:bookmarkEnd w:id="886"/>
      <w:bookmarkEnd w:id="887"/>
      <w:bookmarkEnd w:id="888"/>
      <w:bookmarkEnd w:id="889"/>
      <w:bookmarkEnd w:id="890"/>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教义阐释的深化，需要与教育引导相互配合。有效的价值教育，必须考虑受众的文化背景与接受习惯，避免将官方话语生硬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编码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互助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为增强教育引导的可操作性，</w:t>
      </w:r>
      <w:r>
        <w:rPr>
          <w:rFonts w:hint="eastAsia" w:ascii="宋体" w:hAnsi="宋体" w:eastAsia="宋体" w:cs="宋体"/>
          <w:color w:val="auto"/>
          <w:sz w:val="24"/>
          <w:szCs w:val="24"/>
          <w:lang w:val="en-US" w:eastAsia="zh-CN"/>
        </w:rPr>
        <w:t>可以</w:t>
      </w:r>
      <w:r>
        <w:rPr>
          <w:rFonts w:hint="eastAsia" w:ascii="宋体" w:hAnsi="宋体" w:eastAsia="宋体" w:cs="宋体"/>
          <w:color w:val="auto"/>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第一讲：从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第二讲：《圣经》中的慈善传统与中国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扶贫济困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第四讲：儒家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己所不欲，勿施于人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与基督教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金规则</w:t>
      </w:r>
      <w:r>
        <w:rPr>
          <w:rFonts w:hint="eastAsia" w:ascii="宋体" w:hAnsi="宋体" w:eastAsia="宋体" w:cs="宋体"/>
          <w:color w:val="auto"/>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第五讲：公益慈善中的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第六讲：基督徒的公民责任与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教学方法：采用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经典阅读+案例讨论+实践体验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评估方式：采用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学习心得+实践报告+同伴互评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的综合评估方式，避免考试式的知识检测，注重价值内化与行为转化。</w:t>
      </w:r>
    </w:p>
    <w:p w14:paraId="032EEBCC">
      <w:pPr>
        <w:pStyle w:val="4"/>
        <w:bidi w:val="0"/>
        <w:rPr>
          <w:rFonts w:hint="eastAsia"/>
          <w:color w:val="auto"/>
          <w:lang w:val="en-US" w:eastAsia="zh-CN"/>
        </w:rPr>
      </w:pPr>
      <w:bookmarkStart w:id="891" w:name="_Toc161056048"/>
      <w:bookmarkStart w:id="892" w:name="_Toc20680169"/>
      <w:bookmarkStart w:id="893" w:name="_Toc547121560"/>
      <w:bookmarkStart w:id="894" w:name="_Toc1217516911"/>
      <w:bookmarkStart w:id="895" w:name="_Toc1594997007"/>
      <w:bookmarkStart w:id="896" w:name="_Toc481001915"/>
      <w:bookmarkStart w:id="897" w:name="_Toc971312725"/>
      <w:bookmarkStart w:id="898" w:name="_Toc1065671987"/>
      <w:bookmarkStart w:id="899" w:name="_Toc1828760605"/>
      <w:bookmarkStart w:id="900" w:name="_Toc1701155488"/>
      <w:bookmarkStart w:id="901" w:name="_Toc1834270903"/>
      <w:bookmarkStart w:id="902" w:name="_Toc1324608410"/>
      <w:bookmarkStart w:id="903" w:name="_Toc245942409"/>
      <w:r>
        <w:rPr>
          <w:rFonts w:hint="eastAsia"/>
          <w:color w:val="auto"/>
          <w:lang w:val="en-US" w:eastAsia="zh-CN"/>
        </w:rPr>
        <w:t>二、</w:t>
      </w:r>
      <w:r>
        <w:rPr>
          <w:rFonts w:hint="eastAsia"/>
          <w:color w:val="auto"/>
        </w:rPr>
        <w:t>面向普通群众的认知科普与话语转换</w:t>
      </w:r>
      <w:bookmarkEnd w:id="891"/>
      <w:bookmarkEnd w:id="892"/>
      <w:bookmarkEnd w:id="893"/>
      <w:bookmarkEnd w:id="894"/>
      <w:bookmarkEnd w:id="895"/>
      <w:bookmarkEnd w:id="896"/>
      <w:bookmarkEnd w:id="897"/>
      <w:bookmarkEnd w:id="898"/>
      <w:bookmarkEnd w:id="899"/>
      <w:bookmarkEnd w:id="900"/>
      <w:bookmarkEnd w:id="901"/>
      <w:bookmarkEnd w:id="902"/>
      <w:bookmarkEnd w:id="903"/>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color w:val="auto"/>
          <w:lang w:val="en-US" w:eastAsia="zh-CN"/>
        </w:rPr>
      </w:pPr>
      <w:bookmarkStart w:id="904" w:name="_Toc1878062068"/>
      <w:bookmarkStart w:id="905" w:name="_Toc1870494305"/>
      <w:bookmarkStart w:id="906" w:name="_Toc1582534561"/>
      <w:bookmarkStart w:id="907" w:name="_Toc1039603516"/>
      <w:bookmarkStart w:id="908" w:name="_Toc735469529"/>
      <w:bookmarkStart w:id="909" w:name="_Toc1070738097"/>
      <w:bookmarkStart w:id="910" w:name="_Toc1829768228"/>
      <w:bookmarkStart w:id="911" w:name="_Toc1193532371"/>
      <w:bookmarkStart w:id="912" w:name="_Toc2094566113"/>
      <w:bookmarkStart w:id="913" w:name="_Toc76331148"/>
      <w:bookmarkStart w:id="914" w:name="_Toc1463314036"/>
      <w:bookmarkStart w:id="915" w:name="_Toc1826733216"/>
      <w:bookmarkStart w:id="916" w:name="_Toc1795531235"/>
      <w:r>
        <w:rPr>
          <w:rFonts w:hint="eastAsia"/>
          <w:color w:val="auto"/>
          <w:lang w:val="en-US" w:eastAsia="zh-CN"/>
        </w:rPr>
        <w:t>三、</w:t>
      </w:r>
      <w:r>
        <w:rPr>
          <w:rFonts w:hint="eastAsia"/>
          <w:color w:val="auto"/>
        </w:rPr>
        <w:t>融合型文化载体的创新设计</w:t>
      </w:r>
      <w:bookmarkEnd w:id="904"/>
      <w:bookmarkEnd w:id="905"/>
      <w:bookmarkEnd w:id="906"/>
      <w:bookmarkEnd w:id="907"/>
      <w:bookmarkEnd w:id="908"/>
      <w:bookmarkEnd w:id="909"/>
      <w:bookmarkEnd w:id="910"/>
      <w:bookmarkEnd w:id="911"/>
      <w:bookmarkEnd w:id="912"/>
      <w:bookmarkEnd w:id="913"/>
      <w:bookmarkEnd w:id="914"/>
      <w:bookmarkEnd w:id="915"/>
      <w:bookmarkEnd w:id="916"/>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爱人如己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的仁爱精神与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48F59EAC">
      <w:pPr>
        <w:rPr>
          <w:rFonts w:hint="eastAsia"/>
          <w:color w:val="auto"/>
          <w:lang w:val="en-US" w:eastAsia="zh-CN"/>
        </w:rPr>
      </w:pPr>
      <w:bookmarkStart w:id="917" w:name="_Toc1073398632"/>
      <w:bookmarkStart w:id="918" w:name="_Toc120501771"/>
      <w:bookmarkStart w:id="919" w:name="_Toc1478943800"/>
      <w:bookmarkStart w:id="920" w:name="_Toc948782956"/>
      <w:bookmarkStart w:id="921" w:name="_Toc689341420"/>
      <w:bookmarkStart w:id="922" w:name="_Toc936277608"/>
      <w:bookmarkStart w:id="923" w:name="_Toc1820719567"/>
      <w:bookmarkStart w:id="924" w:name="_Toc2129718066"/>
      <w:bookmarkStart w:id="925" w:name="_Toc849867177"/>
      <w:bookmarkStart w:id="926" w:name="_Toc53812770"/>
      <w:bookmarkStart w:id="927" w:name="_Toc874533270"/>
      <w:r>
        <w:rPr>
          <w:rFonts w:hint="eastAsia"/>
          <w:color w:val="auto"/>
          <w:lang w:val="en-US" w:eastAsia="zh-CN"/>
        </w:rPr>
        <w:br w:type="page"/>
      </w:r>
    </w:p>
    <w:p w14:paraId="29651BA0">
      <w:pPr>
        <w:pStyle w:val="3"/>
        <w:bidi w:val="0"/>
        <w:rPr>
          <w:rFonts w:hint="eastAsia"/>
          <w:color w:val="auto"/>
          <w:lang w:val="en-US" w:eastAsia="zh-CN"/>
        </w:rPr>
      </w:pPr>
      <w:bookmarkStart w:id="928" w:name="_Toc384675702"/>
      <w:bookmarkStart w:id="929" w:name="_Toc1053259001"/>
      <w:r>
        <w:rPr>
          <w:rFonts w:hint="eastAsia"/>
          <w:color w:val="auto"/>
          <w:lang w:val="en-US" w:eastAsia="zh-CN"/>
        </w:rPr>
        <w:t xml:space="preserve">第三节 </w:t>
      </w:r>
      <w:r>
        <w:rPr>
          <w:rFonts w:hint="eastAsia"/>
          <w:color w:val="auto"/>
        </w:rPr>
        <w:t>实践转化维度：搭建多元化的仁爱践行平台</w:t>
      </w:r>
      <w:bookmarkEnd w:id="917"/>
      <w:bookmarkEnd w:id="918"/>
      <w:bookmarkEnd w:id="919"/>
      <w:bookmarkEnd w:id="920"/>
      <w:bookmarkEnd w:id="921"/>
      <w:bookmarkEnd w:id="922"/>
      <w:bookmarkEnd w:id="923"/>
      <w:bookmarkEnd w:id="924"/>
      <w:bookmarkEnd w:id="925"/>
      <w:bookmarkEnd w:id="926"/>
      <w:bookmarkEnd w:id="927"/>
      <w:bookmarkEnd w:id="928"/>
      <w:bookmarkEnd w:id="929"/>
    </w:p>
    <w:p w14:paraId="1C546349">
      <w:pPr>
        <w:pStyle w:val="4"/>
        <w:bidi w:val="0"/>
        <w:rPr>
          <w:rFonts w:hint="eastAsia"/>
          <w:color w:val="auto"/>
          <w:lang w:val="en-US" w:eastAsia="zh-CN"/>
        </w:rPr>
      </w:pPr>
      <w:bookmarkStart w:id="930" w:name="_Toc86970375"/>
      <w:bookmarkStart w:id="931" w:name="_Toc1632716222"/>
      <w:bookmarkStart w:id="932" w:name="_Toc1748173224"/>
      <w:bookmarkStart w:id="933" w:name="_Toc1339276466"/>
      <w:bookmarkStart w:id="934" w:name="_Toc1129062517"/>
      <w:bookmarkStart w:id="935" w:name="_Toc1318746044"/>
      <w:bookmarkStart w:id="936" w:name="_Toc196186076"/>
      <w:bookmarkStart w:id="937" w:name="_Toc1405076087"/>
      <w:bookmarkStart w:id="938" w:name="_Toc2061590713"/>
      <w:bookmarkStart w:id="939" w:name="_Toc803907642"/>
      <w:bookmarkStart w:id="940" w:name="_Toc340610003"/>
      <w:bookmarkStart w:id="941" w:name="_Toc902588822"/>
      <w:bookmarkStart w:id="942" w:name="_Toc416327586"/>
      <w:r>
        <w:rPr>
          <w:rFonts w:hint="eastAsia"/>
          <w:color w:val="auto"/>
          <w:lang w:val="en-US" w:eastAsia="zh-CN"/>
        </w:rPr>
        <w:t>一、</w:t>
      </w:r>
      <w:r>
        <w:rPr>
          <w:rFonts w:hint="eastAsia"/>
          <w:color w:val="auto"/>
        </w:rPr>
        <w:t>浙江光盐爱心基金会的</w:t>
      </w:r>
      <w:r>
        <w:rPr>
          <w:rFonts w:hint="eastAsia"/>
          <w:color w:val="auto"/>
          <w:lang w:eastAsia="zh-CN"/>
        </w:rPr>
        <w:t>“</w:t>
      </w:r>
      <w:r>
        <w:rPr>
          <w:rFonts w:hint="eastAsia"/>
          <w:color w:val="auto"/>
        </w:rPr>
        <w:t>去标识化</w:t>
      </w:r>
      <w:r>
        <w:rPr>
          <w:rFonts w:hint="eastAsia"/>
          <w:color w:val="auto"/>
          <w:lang w:eastAsia="zh-CN"/>
        </w:rPr>
        <w:t>”</w:t>
      </w:r>
      <w:r>
        <w:rPr>
          <w:rFonts w:hint="eastAsia"/>
          <w:color w:val="auto"/>
        </w:rPr>
        <w:t>公益实践</w:t>
      </w:r>
      <w:bookmarkEnd w:id="930"/>
      <w:bookmarkEnd w:id="931"/>
      <w:bookmarkEnd w:id="932"/>
      <w:bookmarkEnd w:id="933"/>
      <w:bookmarkEnd w:id="934"/>
      <w:bookmarkEnd w:id="935"/>
      <w:bookmarkEnd w:id="936"/>
      <w:bookmarkEnd w:id="937"/>
      <w:bookmarkEnd w:id="938"/>
      <w:bookmarkEnd w:id="939"/>
      <w:bookmarkEnd w:id="940"/>
      <w:bookmarkEnd w:id="941"/>
      <w:bookmarkEnd w:id="942"/>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color w:val="auto"/>
          <w:sz w:val="24"/>
          <w:szCs w:val="24"/>
        </w:rPr>
        <w:footnoteReference w:id="87"/>
      </w:r>
      <w:r>
        <w:rPr>
          <w:rFonts w:hint="eastAsia" w:ascii="宋体" w:hAnsi="宋体" w:eastAsia="宋体" w:cs="宋体"/>
          <w:color w:val="auto"/>
          <w:sz w:val="24"/>
          <w:szCs w:val="24"/>
        </w:rPr>
        <w:t xml:space="preserve"> 基金会的使命是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热爱生命、扶贫济困，同蒙福祉、共享主恩、荣神益人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，其运作方式完全遵循社会公益组织的规范，在对外宣传中不突出宗教标识，而是以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光盐爱心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color w:val="auto"/>
          <w:lang w:val="en-US" w:eastAsia="zh-CN"/>
        </w:rPr>
      </w:pPr>
      <w:bookmarkStart w:id="943" w:name="_Toc2133332593"/>
      <w:bookmarkStart w:id="944" w:name="_Toc1383611797"/>
      <w:bookmarkStart w:id="945" w:name="_Toc1653952693"/>
      <w:bookmarkStart w:id="946" w:name="_Toc2133524468"/>
      <w:bookmarkStart w:id="947" w:name="_Toc911981187"/>
      <w:bookmarkStart w:id="948" w:name="_Toc515501788"/>
      <w:bookmarkStart w:id="949" w:name="_Toc1588401166"/>
      <w:bookmarkStart w:id="950" w:name="_Toc988218327"/>
      <w:bookmarkStart w:id="951" w:name="_Toc1456115817"/>
      <w:bookmarkStart w:id="952" w:name="_Toc1823601161"/>
      <w:bookmarkStart w:id="953" w:name="_Toc1443459855"/>
      <w:bookmarkStart w:id="954" w:name="_Toc1422212665"/>
      <w:bookmarkStart w:id="955" w:name="_Toc716015976"/>
      <w:r>
        <w:rPr>
          <w:rFonts w:hint="eastAsia"/>
          <w:color w:val="auto"/>
          <w:lang w:val="en-US" w:eastAsia="zh-CN"/>
        </w:rPr>
        <w:t>二、</w:t>
      </w:r>
      <w:r>
        <w:rPr>
          <w:rFonts w:hint="eastAsia"/>
          <w:color w:val="auto"/>
        </w:rPr>
        <w:t>杭州圣爱康复医院的社区服务融入模式</w:t>
      </w:r>
      <w:bookmarkEnd w:id="943"/>
      <w:bookmarkEnd w:id="944"/>
      <w:bookmarkEnd w:id="945"/>
      <w:bookmarkEnd w:id="946"/>
      <w:bookmarkEnd w:id="947"/>
      <w:bookmarkEnd w:id="948"/>
      <w:bookmarkEnd w:id="949"/>
      <w:bookmarkEnd w:id="950"/>
      <w:bookmarkEnd w:id="951"/>
      <w:bookmarkEnd w:id="952"/>
      <w:bookmarkEnd w:id="953"/>
      <w:bookmarkEnd w:id="954"/>
      <w:bookmarkEnd w:id="955"/>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的要求与自身信仰追求的一致性，社区非信众的认可度也会逐步提升。这种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内核的实践模式，正是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转化效果的生动体现——信众在不知不觉中完成了从宗教慈善到公共服务的逻辑转换，实现了宗教信仰与公民责任的有机统一。</w:t>
      </w:r>
    </w:p>
    <w:p w14:paraId="7CB428E5">
      <w:pPr>
        <w:pStyle w:val="4"/>
        <w:bidi w:val="0"/>
        <w:rPr>
          <w:rFonts w:hint="eastAsia"/>
          <w:color w:val="auto"/>
          <w:lang w:val="en-US" w:eastAsia="zh-CN"/>
        </w:rPr>
      </w:pPr>
      <w:bookmarkStart w:id="956" w:name="_Toc214895107"/>
      <w:bookmarkStart w:id="957" w:name="_Toc533920239"/>
      <w:bookmarkStart w:id="958" w:name="_Toc1077021270"/>
      <w:bookmarkStart w:id="959" w:name="_Toc107022826"/>
      <w:bookmarkStart w:id="960" w:name="_Toc1611279717"/>
      <w:bookmarkStart w:id="961" w:name="_Toc889181105"/>
      <w:bookmarkStart w:id="962" w:name="_Toc1635269545"/>
      <w:bookmarkStart w:id="963" w:name="_Toc954584483"/>
      <w:bookmarkStart w:id="964" w:name="_Toc378102943"/>
      <w:bookmarkStart w:id="965" w:name="_Toc1089518918"/>
      <w:bookmarkStart w:id="966" w:name="_Toc346895991"/>
      <w:bookmarkStart w:id="967" w:name="_Toc1410542463"/>
      <w:bookmarkStart w:id="968" w:name="_Toc1729634491"/>
      <w:r>
        <w:rPr>
          <w:rFonts w:hint="eastAsia"/>
          <w:color w:val="auto"/>
          <w:lang w:val="en-US" w:eastAsia="zh-CN"/>
        </w:rPr>
        <w:t>三、</w:t>
      </w:r>
      <w:r>
        <w:rPr>
          <w:rFonts w:hint="eastAsia"/>
          <w:color w:val="auto"/>
        </w:rPr>
        <w:t>融合型文化活动品牌的打造与</w:t>
      </w:r>
      <w:r>
        <w:rPr>
          <w:rFonts w:hint="eastAsia"/>
          <w:color w:val="auto"/>
          <w:lang w:eastAsia="zh-CN"/>
        </w:rPr>
        <w:t>“</w:t>
      </w:r>
      <w:r>
        <w:rPr>
          <w:rFonts w:hint="eastAsia"/>
          <w:color w:val="auto"/>
        </w:rPr>
        <w:t>价值化</w:t>
      </w:r>
      <w:r>
        <w:rPr>
          <w:rFonts w:hint="eastAsia"/>
          <w:color w:val="auto"/>
          <w:lang w:eastAsia="zh-CN"/>
        </w:rPr>
        <w:t>”</w:t>
      </w:r>
      <w:r>
        <w:rPr>
          <w:rFonts w:hint="eastAsia"/>
          <w:color w:val="auto"/>
        </w:rPr>
        <w:t>内核</w:t>
      </w:r>
      <w:bookmarkEnd w:id="956"/>
      <w:bookmarkEnd w:id="957"/>
      <w:bookmarkEnd w:id="958"/>
      <w:bookmarkEnd w:id="959"/>
      <w:bookmarkEnd w:id="960"/>
      <w:bookmarkEnd w:id="961"/>
      <w:bookmarkEnd w:id="962"/>
      <w:bookmarkEnd w:id="963"/>
      <w:bookmarkEnd w:id="964"/>
      <w:bookmarkEnd w:id="965"/>
      <w:bookmarkEnd w:id="966"/>
      <w:bookmarkEnd w:id="967"/>
      <w:bookmarkEnd w:id="968"/>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去宗教化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呈现与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的要求看，这类文化活动特别有助于增进对中华文化的认同。习近平总书记强调，要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植根中华五千年文明，推动我国宗教同中华优秀传统文化相融合，引导宗教界人士和信教群众增强中华文化认同感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8"/>
      </w:r>
      <w:r>
        <w:rPr>
          <w:rFonts w:hint="eastAsia" w:ascii="宋体" w:hAnsi="宋体" w:eastAsia="宋体" w:cs="宋体"/>
          <w:color w:val="auto"/>
          <w:sz w:val="24"/>
          <w:szCs w:val="24"/>
        </w:rPr>
        <w:t xml:space="preserve"> 通过让信众在文化体验中感受中华文化的博大精深，能够自然生发出对中华文化的认同与热爱，进而深化对伟大祖国、中华民族的认同。</w:t>
      </w:r>
    </w:p>
    <w:p w14:paraId="53302280">
      <w:pPr>
        <w:rPr>
          <w:rFonts w:hint="eastAsia"/>
          <w:color w:val="auto"/>
          <w:lang w:val="en-US" w:eastAsia="zh-CN"/>
        </w:rPr>
      </w:pPr>
      <w:bookmarkStart w:id="969" w:name="_Toc915196408"/>
      <w:bookmarkStart w:id="970" w:name="_Toc128132262"/>
      <w:bookmarkStart w:id="971" w:name="_Toc372051528"/>
      <w:bookmarkStart w:id="972" w:name="_Toc2098880504"/>
      <w:bookmarkStart w:id="973" w:name="_Toc1998562691"/>
      <w:bookmarkStart w:id="974" w:name="_Toc1288824043"/>
      <w:bookmarkStart w:id="975" w:name="_Toc1822052742"/>
      <w:bookmarkStart w:id="976" w:name="_Toc2010302779"/>
      <w:bookmarkStart w:id="977" w:name="_Toc356824327"/>
      <w:bookmarkStart w:id="978" w:name="_Toc1410779707"/>
      <w:bookmarkStart w:id="979" w:name="_Toc479528509"/>
      <w:r>
        <w:rPr>
          <w:rFonts w:hint="eastAsia"/>
          <w:color w:val="auto"/>
          <w:lang w:val="en-US" w:eastAsia="zh-CN"/>
        </w:rPr>
        <w:br w:type="page"/>
      </w:r>
    </w:p>
    <w:p w14:paraId="58F5760C">
      <w:pPr>
        <w:pStyle w:val="3"/>
        <w:bidi w:val="0"/>
        <w:rPr>
          <w:rFonts w:hint="eastAsia"/>
          <w:color w:val="auto"/>
          <w:lang w:val="en-US" w:eastAsia="zh-CN"/>
        </w:rPr>
      </w:pPr>
      <w:bookmarkStart w:id="980" w:name="_Toc1009414949"/>
      <w:bookmarkStart w:id="981" w:name="_Toc1628244445"/>
      <w:r>
        <w:rPr>
          <w:rFonts w:hint="eastAsia"/>
          <w:color w:val="auto"/>
          <w:lang w:val="en-US" w:eastAsia="zh-CN"/>
        </w:rPr>
        <w:t xml:space="preserve">第四节 </w:t>
      </w:r>
      <w:r>
        <w:rPr>
          <w:rFonts w:hint="eastAsia"/>
          <w:color w:val="auto"/>
        </w:rPr>
        <w:t>制度保障维度：完善融合的政策支持与监管机制</w:t>
      </w:r>
      <w:bookmarkEnd w:id="969"/>
      <w:bookmarkEnd w:id="970"/>
      <w:bookmarkEnd w:id="971"/>
      <w:bookmarkEnd w:id="972"/>
      <w:bookmarkEnd w:id="973"/>
      <w:bookmarkEnd w:id="974"/>
      <w:bookmarkEnd w:id="975"/>
      <w:bookmarkEnd w:id="976"/>
      <w:bookmarkEnd w:id="977"/>
      <w:bookmarkEnd w:id="978"/>
      <w:bookmarkEnd w:id="979"/>
      <w:bookmarkEnd w:id="980"/>
      <w:bookmarkEnd w:id="981"/>
    </w:p>
    <w:p w14:paraId="49D3A763">
      <w:pPr>
        <w:pStyle w:val="4"/>
        <w:bidi w:val="0"/>
        <w:rPr>
          <w:rFonts w:hint="eastAsia"/>
          <w:color w:val="auto"/>
          <w:lang w:val="en-US" w:eastAsia="zh-CN"/>
        </w:rPr>
      </w:pPr>
      <w:bookmarkStart w:id="982" w:name="_Toc116236543"/>
      <w:bookmarkStart w:id="983" w:name="_Toc1428149442"/>
      <w:bookmarkStart w:id="984" w:name="_Toc1051424910"/>
      <w:bookmarkStart w:id="985" w:name="_Toc1318245106"/>
      <w:bookmarkStart w:id="986" w:name="_Toc2077007219"/>
      <w:bookmarkStart w:id="987" w:name="_Toc1372121465"/>
      <w:bookmarkStart w:id="988" w:name="_Toc1745627059"/>
      <w:bookmarkStart w:id="989" w:name="_Toc607589022"/>
      <w:bookmarkStart w:id="990" w:name="_Toc123628574"/>
      <w:bookmarkStart w:id="991" w:name="_Toc1745134679"/>
      <w:bookmarkStart w:id="992" w:name="_Toc1740313140"/>
      <w:bookmarkStart w:id="993" w:name="_Toc798588402"/>
      <w:bookmarkStart w:id="994" w:name="_Toc520273394"/>
      <w:r>
        <w:rPr>
          <w:rFonts w:hint="eastAsia"/>
          <w:color w:val="auto"/>
          <w:lang w:val="en-US" w:eastAsia="zh-CN"/>
        </w:rPr>
        <w:t>一、</w:t>
      </w:r>
      <w:r>
        <w:rPr>
          <w:rFonts w:hint="eastAsia"/>
          <w:color w:val="auto"/>
        </w:rPr>
        <w:t>专项政策文件的制定与边界划定</w:t>
      </w:r>
      <w:bookmarkEnd w:id="982"/>
      <w:bookmarkEnd w:id="983"/>
      <w:bookmarkEnd w:id="984"/>
      <w:bookmarkEnd w:id="985"/>
      <w:bookmarkEnd w:id="986"/>
      <w:bookmarkEnd w:id="987"/>
      <w:bookmarkEnd w:id="988"/>
      <w:bookmarkEnd w:id="989"/>
      <w:bookmarkEnd w:id="990"/>
      <w:bookmarkEnd w:id="991"/>
      <w:bookmarkEnd w:id="992"/>
      <w:bookmarkEnd w:id="993"/>
      <w:bookmarkEnd w:id="994"/>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color w:val="auto"/>
          <w:lang w:val="en-US" w:eastAsia="zh-CN"/>
        </w:rPr>
      </w:pPr>
      <w:bookmarkStart w:id="995" w:name="_Toc156710443"/>
      <w:bookmarkStart w:id="996" w:name="_Toc146899227"/>
      <w:bookmarkStart w:id="997" w:name="_Toc482949175"/>
      <w:bookmarkStart w:id="998" w:name="_Toc1208756569"/>
      <w:bookmarkStart w:id="999" w:name="_Toc102478664"/>
      <w:bookmarkStart w:id="1000" w:name="_Toc1803014854"/>
      <w:bookmarkStart w:id="1001" w:name="_Toc715671840"/>
      <w:bookmarkStart w:id="1002" w:name="_Toc1566060769"/>
      <w:bookmarkStart w:id="1003" w:name="_Toc1979878946"/>
      <w:bookmarkStart w:id="1004" w:name="_Toc913647748"/>
      <w:bookmarkStart w:id="1005" w:name="_Toc463951269"/>
      <w:bookmarkStart w:id="1006" w:name="_Toc1524943078"/>
      <w:bookmarkStart w:id="1007" w:name="_Toc1829006021"/>
      <w:r>
        <w:rPr>
          <w:rFonts w:hint="eastAsia"/>
          <w:color w:val="auto"/>
          <w:lang w:val="en-US" w:eastAsia="zh-CN"/>
        </w:rPr>
        <w:t>二、</w:t>
      </w:r>
      <w:r>
        <w:rPr>
          <w:rFonts w:hint="eastAsia"/>
          <w:color w:val="auto"/>
        </w:rPr>
        <w:t>全流程监督评估机制的建立</w:t>
      </w:r>
      <w:bookmarkEnd w:id="995"/>
      <w:bookmarkEnd w:id="996"/>
      <w:bookmarkEnd w:id="997"/>
      <w:bookmarkEnd w:id="998"/>
      <w:bookmarkEnd w:id="999"/>
      <w:bookmarkEnd w:id="1000"/>
      <w:bookmarkEnd w:id="1001"/>
      <w:bookmarkEnd w:id="1002"/>
      <w:bookmarkEnd w:id="1003"/>
      <w:bookmarkEnd w:id="1004"/>
      <w:bookmarkEnd w:id="1005"/>
      <w:bookmarkEnd w:id="1006"/>
      <w:bookmarkEnd w:id="1007"/>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评估报告应向社会公开关键结论，接受社会监督。对于评估中发现的问题，如打着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融合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的闭环管理，防止融合工作跑偏变质。</w:t>
      </w:r>
    </w:p>
    <w:p w14:paraId="46105E8E">
      <w:pPr>
        <w:rPr>
          <w:color w:val="auto"/>
        </w:rPr>
      </w:pPr>
      <w:r>
        <w:rPr>
          <w:color w:val="auto"/>
        </w:rPr>
        <w:t>为增强融合实践效果的可测量性，本文建议构建以下量化评估指标体系：</w:t>
      </w:r>
    </w:p>
    <w:p w14:paraId="0610778B">
      <w:pPr>
        <w:pStyle w:val="5"/>
        <w:keepNext/>
        <w:keepLines/>
        <w:pageBreakBefore w:val="0"/>
        <w:widowControl w:val="0"/>
        <w:numPr>
          <w:ilvl w:val="0"/>
          <w:numId w:val="1"/>
        </w:numPr>
        <w:kinsoku/>
        <w:wordWrap/>
        <w:overflowPunct/>
        <w:topLinePunct w:val="0"/>
        <w:autoSpaceDE/>
        <w:autoSpaceDN/>
        <w:bidi w:val="0"/>
        <w:adjustRightInd w:val="0"/>
        <w:snapToGrid w:val="0"/>
        <w:textAlignment w:val="auto"/>
        <w:rPr>
          <w:b/>
          <w:bCs w:val="0"/>
          <w:color w:val="auto"/>
        </w:rPr>
      </w:pPr>
      <w:bookmarkStart w:id="1008" w:name="_Toc1223766951"/>
      <w:bookmarkStart w:id="1009" w:name="_Toc128908361"/>
      <w:bookmarkStart w:id="1010" w:name="_Toc1476597786"/>
      <w:bookmarkStart w:id="1011" w:name="_Toc1648468648"/>
      <w:bookmarkStart w:id="1012" w:name="_Toc1023271789"/>
      <w:r>
        <w:rPr>
          <w:b/>
          <w:bCs w:val="0"/>
          <w:color w:val="auto"/>
        </w:rPr>
        <w:t>信众价值认同度评估。</w:t>
      </w:r>
      <w:bookmarkEnd w:id="1008"/>
      <w:bookmarkEnd w:id="1009"/>
      <w:bookmarkEnd w:id="1010"/>
      <w:bookmarkEnd w:id="1011"/>
      <w:bookmarkEnd w:id="1012"/>
    </w:p>
    <w:p w14:paraId="0EA58985">
      <w:pPr>
        <w:numPr>
          <w:ilvl w:val="0"/>
          <w:numId w:val="0"/>
        </w:numPr>
        <w:ind w:firstLine="480" w:firstLineChars="200"/>
        <w:rPr>
          <w:color w:val="auto"/>
        </w:rPr>
      </w:pPr>
      <w:r>
        <w:rPr>
          <w:color w:val="auto"/>
        </w:rPr>
        <w:t>采用问卷调查法，围绕</w:t>
      </w:r>
      <w:r>
        <w:rPr>
          <w:rFonts w:hint="eastAsia"/>
          <w:color w:val="auto"/>
          <w:lang w:eastAsia="zh-CN"/>
        </w:rPr>
        <w:t>“</w:t>
      </w:r>
      <w:r>
        <w:rPr>
          <w:color w:val="auto"/>
        </w:rPr>
        <w:t>五个认同</w:t>
      </w:r>
      <w:r>
        <w:rPr>
          <w:rFonts w:hint="eastAsia"/>
          <w:color w:val="auto"/>
          <w:lang w:eastAsia="zh-CN"/>
        </w:rPr>
        <w:t>”</w:t>
      </w:r>
      <w:r>
        <w:rPr>
          <w:color w:val="auto"/>
        </w:rPr>
        <w:t>设计20个题项（Likert五级量表），每年度对参与融合活动的信众进行前后测对比。核心指标包括：对社会主义核心价值观公民层面内容的知晓率（目标≥85%）、对</w:t>
      </w:r>
      <w:r>
        <w:rPr>
          <w:rFonts w:hint="eastAsia"/>
          <w:color w:val="auto"/>
          <w:lang w:eastAsia="zh-CN"/>
        </w:rPr>
        <w:t>“</w:t>
      </w:r>
      <w:r>
        <w:rPr>
          <w:color w:val="auto"/>
        </w:rPr>
        <w:t>五个认同</w:t>
      </w:r>
      <w:r>
        <w:rPr>
          <w:rFonts w:hint="eastAsia"/>
          <w:color w:val="auto"/>
          <w:lang w:eastAsia="zh-CN"/>
        </w:rPr>
        <w:t>”</w:t>
      </w:r>
      <w:r>
        <w:rPr>
          <w:color w:val="auto"/>
        </w:rPr>
        <w:t>内涵的理解度评分（目标均值≥4.0/5.0）、参与社区志愿服务的意愿提升幅度（目标提升≥15%）。</w:t>
      </w:r>
    </w:p>
    <w:p w14:paraId="072815B8">
      <w:pPr>
        <w:pStyle w:val="5"/>
        <w:numPr>
          <w:ilvl w:val="0"/>
          <w:numId w:val="1"/>
        </w:numPr>
        <w:bidi w:val="0"/>
        <w:rPr>
          <w:b/>
          <w:bCs w:val="0"/>
          <w:color w:val="auto"/>
        </w:rPr>
      </w:pPr>
      <w:bookmarkStart w:id="1013" w:name="_Toc1400258138"/>
      <w:bookmarkStart w:id="1014" w:name="_Toc1126036989"/>
      <w:bookmarkStart w:id="1015" w:name="_Toc1899307151"/>
      <w:bookmarkStart w:id="1016" w:name="_Toc857964570"/>
      <w:bookmarkStart w:id="1017" w:name="_Toc1079912547"/>
      <w:r>
        <w:rPr>
          <w:b/>
          <w:bCs w:val="0"/>
          <w:color w:val="auto"/>
        </w:rPr>
        <w:t>公益活动社会影响评估。</w:t>
      </w:r>
      <w:bookmarkEnd w:id="1013"/>
      <w:bookmarkEnd w:id="1014"/>
      <w:bookmarkEnd w:id="1015"/>
      <w:bookmarkEnd w:id="1016"/>
      <w:bookmarkEnd w:id="1017"/>
    </w:p>
    <w:p w14:paraId="7AF96804">
      <w:pPr>
        <w:numPr>
          <w:ilvl w:val="0"/>
          <w:numId w:val="0"/>
        </w:numPr>
        <w:ind w:firstLine="480" w:firstLineChars="200"/>
        <w:rPr>
          <w:color w:val="auto"/>
        </w:rPr>
      </w:pPr>
      <w:r>
        <w:rPr>
          <w:color w:val="auto"/>
        </w:rPr>
        <w:t>采用第三方评估方式，从三个维度进行量化考核：覆盖群众数量（年度目标≥500人次）、受助者满意度评分（目标均值≥4.2/5.0）、社区非信众接受度调查（目标正面评价占比≥70%）。</w:t>
      </w:r>
    </w:p>
    <w:p w14:paraId="59F94603">
      <w:pPr>
        <w:pStyle w:val="5"/>
        <w:numPr>
          <w:ilvl w:val="0"/>
          <w:numId w:val="1"/>
        </w:numPr>
        <w:bidi w:val="0"/>
        <w:rPr>
          <w:b/>
          <w:bCs w:val="0"/>
          <w:color w:val="auto"/>
        </w:rPr>
      </w:pPr>
      <w:bookmarkStart w:id="1018" w:name="_Toc1677776759"/>
      <w:bookmarkStart w:id="1019" w:name="_Toc1458357849"/>
      <w:bookmarkStart w:id="1020" w:name="_Toc2012721540"/>
      <w:bookmarkStart w:id="1021" w:name="_Toc1605322032"/>
      <w:bookmarkStart w:id="1022" w:name="_Toc1705876632"/>
      <w:r>
        <w:rPr>
          <w:b/>
          <w:bCs w:val="0"/>
          <w:color w:val="auto"/>
        </w:rPr>
        <w:t>教义阐释质量评估。</w:t>
      </w:r>
      <w:bookmarkEnd w:id="1018"/>
      <w:bookmarkEnd w:id="1019"/>
      <w:bookmarkEnd w:id="1020"/>
      <w:bookmarkEnd w:id="1021"/>
      <w:bookmarkEnd w:id="1022"/>
    </w:p>
    <w:p w14:paraId="1C16535C">
      <w:pPr>
        <w:numPr>
          <w:ilvl w:val="0"/>
          <w:numId w:val="0"/>
        </w:numPr>
        <w:ind w:firstLine="480" w:firstLineChars="200"/>
        <w:rPr>
          <w:color w:val="auto"/>
        </w:rPr>
      </w:pPr>
      <w:r>
        <w:rPr>
          <w:color w:val="auto"/>
        </w:rPr>
        <w:t>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15F594B1">
      <w:pPr>
        <w:pStyle w:val="4"/>
        <w:bidi w:val="0"/>
        <w:rPr>
          <w:rFonts w:hint="eastAsia"/>
          <w:color w:val="auto"/>
          <w:lang w:val="en-US" w:eastAsia="zh-CN"/>
        </w:rPr>
      </w:pPr>
      <w:bookmarkStart w:id="1023" w:name="_Toc77020954"/>
      <w:bookmarkStart w:id="1024" w:name="_Toc566335157"/>
      <w:bookmarkStart w:id="1025" w:name="_Toc1586082212"/>
      <w:bookmarkStart w:id="1026" w:name="_Toc115855826"/>
      <w:bookmarkStart w:id="1027" w:name="_Toc1169624586"/>
      <w:bookmarkStart w:id="1028" w:name="_Toc376354563"/>
      <w:bookmarkStart w:id="1029" w:name="_Toc1810334563"/>
      <w:bookmarkStart w:id="1030" w:name="_Toc1933703403"/>
      <w:bookmarkStart w:id="1031" w:name="_Toc648515236"/>
      <w:bookmarkStart w:id="1032" w:name="_Toc1389504932"/>
      <w:bookmarkStart w:id="1033" w:name="_Toc240708033"/>
      <w:bookmarkStart w:id="1034" w:name="_Toc1017464279"/>
      <w:bookmarkStart w:id="1035" w:name="_Toc1761866574"/>
      <w:r>
        <w:rPr>
          <w:rFonts w:hint="eastAsia"/>
          <w:color w:val="auto"/>
          <w:lang w:val="en-US" w:eastAsia="zh-CN"/>
        </w:rPr>
        <w:t>三、</w:t>
      </w:r>
      <w:r>
        <w:rPr>
          <w:rFonts w:hint="eastAsia"/>
          <w:color w:val="auto"/>
        </w:rPr>
        <w:t>基层宗教工作队伍的分层培训体系</w:t>
      </w:r>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联系好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Style w:val="29"/>
          <w:rFonts w:hint="eastAsia" w:ascii="宋体" w:hAnsi="宋体" w:eastAsia="宋体" w:cs="宋体"/>
          <w:color w:val="auto"/>
          <w:sz w:val="24"/>
          <w:szCs w:val="24"/>
        </w:rPr>
        <w:footnoteReference w:id="89"/>
      </w:r>
      <w:r>
        <w:rPr>
          <w:rFonts w:hint="eastAsia" w:ascii="宋体" w:hAnsi="宋体" w:eastAsia="宋体" w:cs="宋体"/>
          <w:color w:val="auto"/>
          <w:sz w:val="24"/>
          <w:szCs w:val="24"/>
        </w:rPr>
        <w:t xml:space="preserve"> 同时，也要培养一支精通马克思主义宗教观、熟悉宗教工作、善于做信教群众工作的党政干部队伍。</w:t>
      </w:r>
      <w:r>
        <w:rPr>
          <w:rStyle w:val="29"/>
          <w:rFonts w:hint="eastAsia" w:ascii="宋体" w:hAnsi="宋体" w:eastAsia="宋体" w:cs="宋体"/>
          <w:color w:val="auto"/>
          <w:sz w:val="24"/>
          <w:szCs w:val="24"/>
        </w:rPr>
        <w:footnoteReference w:id="90"/>
      </w:r>
      <w:r>
        <w:rPr>
          <w:rFonts w:hint="eastAsia" w:ascii="宋体" w:hAnsi="宋体" w:eastAsia="宋体" w:cs="宋体"/>
          <w:color w:val="auto"/>
          <w:sz w:val="24"/>
          <w:szCs w:val="24"/>
        </w:rPr>
        <w:t xml:space="preserve"> 这两支队伍的协同建设，是融合工作取得实效的组织保障。</w:t>
      </w:r>
    </w:p>
    <w:p w14:paraId="144A0FBF">
      <w:pPr>
        <w:pStyle w:val="4"/>
        <w:bidi w:val="0"/>
        <w:rPr>
          <w:color w:val="auto"/>
        </w:rPr>
      </w:pPr>
      <w:bookmarkStart w:id="1036" w:name="_Toc1883064170"/>
      <w:bookmarkStart w:id="1037" w:name="_Toc1672214646"/>
      <w:bookmarkStart w:id="1038" w:name="_Toc1116062927"/>
      <w:bookmarkStart w:id="1039" w:name="_Toc744689645"/>
      <w:bookmarkStart w:id="1040" w:name="_Toc1568683400"/>
      <w:bookmarkStart w:id="1041" w:name="_Toc39500735"/>
      <w:r>
        <w:rPr>
          <w:color w:val="auto"/>
        </w:rPr>
        <w:t>四、</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价值的制度性融入路径</w:t>
      </w:r>
      <w:bookmarkEnd w:id="1036"/>
      <w:bookmarkEnd w:id="1037"/>
      <w:bookmarkEnd w:id="1038"/>
      <w:bookmarkEnd w:id="1039"/>
      <w:bookmarkEnd w:id="1040"/>
      <w:bookmarkEnd w:id="1041"/>
    </w:p>
    <w:p w14:paraId="3AE34192">
      <w:pPr>
        <w:rPr>
          <w:color w:val="auto"/>
        </w:rPr>
      </w:pPr>
      <w:r>
        <w:rPr>
          <w:color w:val="auto"/>
        </w:rPr>
        <w:t>针对前文梳理的</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价值在融合实践中被边缘化的问题，本文提出以下制度性融入路径：</w:t>
      </w:r>
    </w:p>
    <w:p w14:paraId="756B1FEA">
      <w:pPr>
        <w:pStyle w:val="5"/>
        <w:numPr>
          <w:ilvl w:val="0"/>
          <w:numId w:val="2"/>
        </w:numPr>
        <w:bidi w:val="0"/>
        <w:rPr>
          <w:color w:val="auto"/>
        </w:rPr>
      </w:pPr>
      <w:bookmarkStart w:id="1042" w:name="_Toc1547441191"/>
      <w:bookmarkStart w:id="1043" w:name="_Toc793067033"/>
      <w:bookmarkStart w:id="1044" w:name="_Toc1192999351"/>
      <w:bookmarkStart w:id="1045" w:name="_Toc464168799"/>
      <w:bookmarkStart w:id="1046" w:name="_Toc316406222"/>
      <w:r>
        <w:rPr>
          <w:color w:val="auto"/>
        </w:rPr>
        <w:t>推动基督教团体参与社会公平正义建设。</w:t>
      </w:r>
      <w:bookmarkEnd w:id="1042"/>
      <w:bookmarkEnd w:id="1043"/>
      <w:bookmarkEnd w:id="1044"/>
      <w:bookmarkEnd w:id="1045"/>
      <w:bookmarkEnd w:id="1046"/>
    </w:p>
    <w:p w14:paraId="4BF9EDBA">
      <w:pPr>
        <w:numPr>
          <w:ilvl w:val="0"/>
          <w:numId w:val="0"/>
        </w:numPr>
        <w:ind w:firstLine="480" w:firstLineChars="200"/>
        <w:rPr>
          <w:color w:val="auto"/>
        </w:rPr>
      </w:pPr>
      <w:r>
        <w:rPr>
          <w:color w:val="auto"/>
        </w:rPr>
        <w:t>引导基督教界从单纯的</w:t>
      </w:r>
      <w:r>
        <w:rPr>
          <w:rFonts w:hint="eastAsia"/>
          <w:color w:val="auto"/>
          <w:lang w:eastAsia="zh-CN"/>
        </w:rPr>
        <w:t>“</w:t>
      </w:r>
      <w:r>
        <w:rPr>
          <w:color w:val="auto"/>
        </w:rPr>
        <w:t>慈善救济</w:t>
      </w:r>
      <w:r>
        <w:rPr>
          <w:rFonts w:hint="eastAsia"/>
          <w:color w:val="auto"/>
          <w:lang w:eastAsia="zh-CN"/>
        </w:rPr>
        <w:t>”</w:t>
      </w:r>
      <w:r>
        <w:rPr>
          <w:color w:val="auto"/>
        </w:rPr>
        <w:t>模式转向</w:t>
      </w:r>
      <w:r>
        <w:rPr>
          <w:rFonts w:hint="eastAsia"/>
          <w:color w:val="auto"/>
          <w:lang w:eastAsia="zh-CN"/>
        </w:rPr>
        <w:t>“</w:t>
      </w:r>
      <w:r>
        <w:rPr>
          <w:color w:val="auto"/>
        </w:rPr>
        <w:t>制度关怀</w:t>
      </w:r>
      <w:r>
        <w:rPr>
          <w:rFonts w:hint="eastAsia"/>
          <w:color w:val="auto"/>
          <w:lang w:eastAsia="zh-CN"/>
        </w:rPr>
        <w:t>”</w:t>
      </w:r>
      <w:r>
        <w:rPr>
          <w:color w:val="auto"/>
        </w:rPr>
        <w:t>模式，鼓励教会组织信众参与法律援助、权益维护、反歧视倡导等结构性公益行动。例如，可联合司法行政机关设立</w:t>
      </w:r>
      <w:r>
        <w:rPr>
          <w:rFonts w:hint="eastAsia"/>
          <w:color w:val="auto"/>
          <w:lang w:eastAsia="zh-CN"/>
        </w:rPr>
        <w:t>“</w:t>
      </w:r>
      <w:r>
        <w:rPr>
          <w:color w:val="auto"/>
        </w:rPr>
        <w:t>基督教法律援助志愿服务站</w:t>
      </w:r>
      <w:r>
        <w:rPr>
          <w:rFonts w:hint="eastAsia"/>
          <w:color w:val="auto"/>
          <w:lang w:eastAsia="zh-CN"/>
        </w:rPr>
        <w:t>”</w:t>
      </w:r>
      <w:r>
        <w:rPr>
          <w:color w:val="auto"/>
        </w:rPr>
        <w:t>，为弱势群体提供免费法律咨询和权益保障服务，体现基督教</w:t>
      </w:r>
      <w:r>
        <w:rPr>
          <w:rFonts w:hint="eastAsia"/>
          <w:color w:val="auto"/>
          <w:lang w:eastAsia="zh-CN"/>
        </w:rPr>
        <w:t>“</w:t>
      </w:r>
      <w:r>
        <w:rPr>
          <w:color w:val="auto"/>
        </w:rPr>
        <w:t>行公义</w:t>
      </w:r>
      <w:r>
        <w:rPr>
          <w:rFonts w:hint="eastAsia"/>
          <w:color w:val="auto"/>
          <w:lang w:eastAsia="zh-CN"/>
        </w:rPr>
        <w:t>”</w:t>
      </w:r>
      <w:r>
        <w:rPr>
          <w:color w:val="auto"/>
        </w:rPr>
        <w:t>传统与社会主义核心价值观</w:t>
      </w:r>
      <w:r>
        <w:rPr>
          <w:rFonts w:hint="eastAsia"/>
          <w:color w:val="auto"/>
          <w:lang w:eastAsia="zh-CN"/>
        </w:rPr>
        <w:t>“</w:t>
      </w:r>
      <w:r>
        <w:rPr>
          <w:color w:val="auto"/>
        </w:rPr>
        <w:t>公正</w:t>
      </w:r>
      <w:r>
        <w:rPr>
          <w:rFonts w:hint="eastAsia"/>
          <w:color w:val="auto"/>
          <w:lang w:eastAsia="zh-CN"/>
        </w:rPr>
        <w:t>”</w:t>
      </w:r>
      <w:r>
        <w:rPr>
          <w:color w:val="auto"/>
        </w:rPr>
        <w:t>理念的制度性对接。</w:t>
      </w:r>
    </w:p>
    <w:p w14:paraId="08315985">
      <w:pPr>
        <w:pStyle w:val="5"/>
        <w:numPr>
          <w:ilvl w:val="0"/>
          <w:numId w:val="2"/>
        </w:numPr>
        <w:bidi w:val="0"/>
        <w:rPr>
          <w:color w:val="auto"/>
        </w:rPr>
      </w:pPr>
      <w:bookmarkStart w:id="1047" w:name="_Toc1624398889"/>
      <w:bookmarkStart w:id="1048" w:name="_Toc1794110349"/>
      <w:bookmarkStart w:id="1049" w:name="_Toc1832763865"/>
      <w:bookmarkStart w:id="1050" w:name="_Toc1817131967"/>
      <w:bookmarkStart w:id="1051" w:name="_Toc669863182"/>
      <w:r>
        <w:rPr>
          <w:color w:val="auto"/>
        </w:rPr>
        <w:t>建立公益项目的机会平等评估机制。</w:t>
      </w:r>
      <w:bookmarkEnd w:id="1047"/>
      <w:bookmarkEnd w:id="1048"/>
      <w:bookmarkEnd w:id="1049"/>
      <w:bookmarkEnd w:id="1050"/>
      <w:bookmarkEnd w:id="1051"/>
    </w:p>
    <w:p w14:paraId="0FDD201E">
      <w:pPr>
        <w:numPr>
          <w:ilvl w:val="0"/>
          <w:numId w:val="0"/>
        </w:numPr>
        <w:ind w:firstLine="480" w:firstLineChars="200"/>
        <w:rPr>
          <w:color w:val="auto"/>
        </w:rPr>
      </w:pPr>
      <w:r>
        <w:rPr>
          <w:color w:val="auto"/>
        </w:rPr>
        <w:t>在公益项目时，增加</w:t>
      </w:r>
      <w:r>
        <w:rPr>
          <w:rFonts w:hint="eastAsia"/>
          <w:color w:val="auto"/>
          <w:lang w:eastAsia="zh-CN"/>
        </w:rPr>
        <w:t>“</w:t>
      </w:r>
      <w:r>
        <w:rPr>
          <w:color w:val="auto"/>
        </w:rPr>
        <w:t>机会平等</w:t>
      </w:r>
      <w:r>
        <w:rPr>
          <w:rFonts w:hint="eastAsia"/>
          <w:color w:val="auto"/>
          <w:lang w:eastAsia="zh-CN"/>
        </w:rPr>
        <w:t>”</w:t>
      </w:r>
      <w:r>
        <w:rPr>
          <w:color w:val="auto"/>
        </w:rPr>
        <w:t>维度的评估指标：受助对象的选择是否排除了身份、地域、信仰等歧视性条件；项目执行是否保障了受助者的知情权和参与权；项目成果是否促进了受助者的能力建设而非单纯的物质救济。通过这一机制，将基督教</w:t>
      </w:r>
      <w:r>
        <w:rPr>
          <w:rFonts w:hint="eastAsia"/>
          <w:color w:val="auto"/>
          <w:lang w:eastAsia="zh-CN"/>
        </w:rPr>
        <w:t>“</w:t>
      </w:r>
      <w:r>
        <w:rPr>
          <w:color w:val="auto"/>
        </w:rPr>
        <w:t>人人平等</w:t>
      </w:r>
      <w:r>
        <w:rPr>
          <w:rFonts w:hint="eastAsia"/>
          <w:color w:val="auto"/>
          <w:lang w:eastAsia="zh-CN"/>
        </w:rPr>
        <w:t>”</w:t>
      </w:r>
      <w:r>
        <w:rPr>
          <w:color w:val="auto"/>
        </w:rPr>
        <w:t>的神学人类学转化为可操作的制度安排。</w:t>
      </w:r>
    </w:p>
    <w:p w14:paraId="1393B5AE">
      <w:pPr>
        <w:pStyle w:val="5"/>
        <w:numPr>
          <w:ilvl w:val="0"/>
          <w:numId w:val="2"/>
        </w:numPr>
        <w:bidi w:val="0"/>
        <w:rPr>
          <w:color w:val="auto"/>
        </w:rPr>
      </w:pPr>
      <w:bookmarkStart w:id="1052" w:name="_Toc312523112"/>
      <w:bookmarkStart w:id="1053" w:name="_Toc1904330134"/>
      <w:bookmarkStart w:id="1054" w:name="_Toc794748116"/>
      <w:bookmarkStart w:id="1055" w:name="_Toc1172025382"/>
      <w:bookmarkStart w:id="1056" w:name="_Toc1281222300"/>
      <w:r>
        <w:rPr>
          <w:color w:val="auto"/>
        </w:rPr>
        <w:t>强化基层宗教工作队伍的</w:t>
      </w:r>
      <w:r>
        <w:rPr>
          <w:rFonts w:hint="eastAsia"/>
          <w:color w:val="auto"/>
          <w:lang w:eastAsia="zh-CN"/>
        </w:rPr>
        <w:t>“</w:t>
      </w:r>
      <w:r>
        <w:rPr>
          <w:color w:val="auto"/>
        </w:rPr>
        <w:t>公正</w:t>
      </w:r>
      <w:r>
        <w:rPr>
          <w:rFonts w:hint="eastAsia"/>
          <w:color w:val="auto"/>
          <w:lang w:eastAsia="zh-CN"/>
        </w:rPr>
        <w:t>”</w:t>
      </w:r>
      <w:r>
        <w:rPr>
          <w:color w:val="auto"/>
        </w:rPr>
        <w:t>意识培训。</w:t>
      </w:r>
      <w:bookmarkEnd w:id="1052"/>
      <w:bookmarkEnd w:id="1053"/>
      <w:bookmarkEnd w:id="1054"/>
      <w:bookmarkEnd w:id="1055"/>
      <w:bookmarkEnd w:id="1056"/>
    </w:p>
    <w:p w14:paraId="4C0958D8">
      <w:pPr>
        <w:numPr>
          <w:ilvl w:val="0"/>
          <w:numId w:val="0"/>
        </w:numPr>
        <w:ind w:firstLine="480" w:firstLineChars="200"/>
        <w:rPr>
          <w:color w:val="auto"/>
        </w:rPr>
      </w:pPr>
      <w:r>
        <w:rPr>
          <w:color w:val="auto"/>
        </w:rPr>
        <w:t>在前文所述分层培训体系中，增加</w:t>
      </w:r>
      <w:r>
        <w:rPr>
          <w:rFonts w:hint="eastAsia"/>
          <w:color w:val="auto"/>
          <w:lang w:eastAsia="zh-CN"/>
        </w:rPr>
        <w:t>“</w:t>
      </w:r>
      <w:r>
        <w:rPr>
          <w:color w:val="auto"/>
        </w:rPr>
        <w:t>公正</w:t>
      </w:r>
      <w:r>
        <w:rPr>
          <w:rFonts w:hint="eastAsia"/>
          <w:color w:val="auto"/>
          <w:lang w:eastAsia="zh-CN"/>
        </w:rPr>
        <w:t>”“</w:t>
      </w:r>
      <w:r>
        <w:rPr>
          <w:color w:val="auto"/>
        </w:rPr>
        <w:t>平等</w:t>
      </w:r>
      <w:r>
        <w:rPr>
          <w:rFonts w:hint="eastAsia"/>
          <w:color w:val="auto"/>
          <w:lang w:eastAsia="zh-CN"/>
        </w:rPr>
        <w:t>”</w:t>
      </w:r>
      <w:r>
        <w:rPr>
          <w:color w:val="auto"/>
        </w:rPr>
        <w:t>价值专题模块，帮助基层宗教工作干部理解：基督教仁爱实践不仅限于个人道德层面的</w:t>
      </w:r>
      <w:r>
        <w:rPr>
          <w:rFonts w:hint="eastAsia"/>
          <w:color w:val="auto"/>
          <w:lang w:eastAsia="zh-CN"/>
        </w:rPr>
        <w:t>“</w:t>
      </w:r>
      <w:r>
        <w:rPr>
          <w:color w:val="auto"/>
        </w:rPr>
        <w:t>友善</w:t>
      </w:r>
      <w:r>
        <w:rPr>
          <w:rFonts w:hint="eastAsia"/>
          <w:color w:val="auto"/>
          <w:lang w:eastAsia="zh-CN"/>
        </w:rPr>
        <w:t>”</w:t>
      </w:r>
      <w:r>
        <w:rPr>
          <w:color w:val="auto"/>
        </w:rPr>
        <w:t>，更应上升到社会制度层面的</w:t>
      </w:r>
      <w:r>
        <w:rPr>
          <w:rFonts w:hint="eastAsia"/>
          <w:color w:val="auto"/>
          <w:lang w:eastAsia="zh-CN"/>
        </w:rPr>
        <w:t>“</w:t>
      </w:r>
      <w:r>
        <w:rPr>
          <w:color w:val="auto"/>
        </w:rPr>
        <w:t>公正</w:t>
      </w:r>
      <w:r>
        <w:rPr>
          <w:rFonts w:hint="eastAsia"/>
          <w:color w:val="auto"/>
          <w:lang w:eastAsia="zh-CN"/>
        </w:rPr>
        <w:t>”</w:t>
      </w:r>
      <w:r>
        <w:rPr>
          <w:color w:val="auto"/>
        </w:rPr>
        <w:t>；宗教中国化不仅是文化适应，更是基督教在社会主义制度框架内发挥促进社会公平正义的积极作用。</w:t>
      </w:r>
    </w:p>
    <w:p w14:paraId="578AC93B">
      <w:pPr>
        <w:rPr>
          <w:color w:val="auto"/>
        </w:rPr>
      </w:pPr>
      <w:r>
        <w:rPr>
          <w:color w:val="auto"/>
        </w:rPr>
        <w:br w:type="page"/>
      </w:r>
    </w:p>
    <w:p w14:paraId="30A8E5F8">
      <w:pPr>
        <w:pStyle w:val="2"/>
        <w:bidi w:val="0"/>
        <w:rPr>
          <w:rFonts w:hint="eastAsia"/>
          <w:color w:val="auto"/>
          <w:lang w:val="en-US" w:eastAsia="zh-CN"/>
        </w:rPr>
      </w:pPr>
      <w:bookmarkStart w:id="1057" w:name="_Toc205169581"/>
      <w:bookmarkStart w:id="1058" w:name="_Toc2130784919"/>
      <w:bookmarkStart w:id="1059" w:name="_Toc2127770897"/>
      <w:bookmarkStart w:id="1060" w:name="_Toc1051799926"/>
      <w:bookmarkStart w:id="1061" w:name="_Toc747460195"/>
      <w:bookmarkStart w:id="1062" w:name="_Toc109856092"/>
      <w:bookmarkStart w:id="1063" w:name="_Toc1868203330"/>
      <w:bookmarkStart w:id="1064" w:name="_Toc1978426469"/>
      <w:bookmarkStart w:id="1065" w:name="_Toc1706018384"/>
      <w:bookmarkStart w:id="1066" w:name="_Toc1962595911"/>
      <w:bookmarkStart w:id="1067" w:name="_Toc1510584990"/>
      <w:bookmarkStart w:id="1068" w:name="_Toc569226873"/>
      <w:bookmarkStart w:id="1069" w:name="_Toc684667631"/>
      <w:r>
        <w:rPr>
          <w:rFonts w:hint="eastAsia"/>
          <w:color w:val="auto"/>
          <w:lang w:val="en-US" w:eastAsia="zh-CN"/>
        </w:rPr>
        <w:t>六、</w:t>
      </w:r>
      <w:r>
        <w:rPr>
          <w:rFonts w:hint="eastAsia"/>
          <w:color w:val="auto"/>
        </w:rPr>
        <w:t>结论与展望</w:t>
      </w:r>
      <w:bookmarkEnd w:id="1057"/>
      <w:bookmarkEnd w:id="1058"/>
      <w:bookmarkEnd w:id="1059"/>
      <w:bookmarkEnd w:id="1060"/>
      <w:bookmarkEnd w:id="1061"/>
      <w:bookmarkEnd w:id="1062"/>
      <w:bookmarkEnd w:id="1063"/>
      <w:bookmarkEnd w:id="1064"/>
      <w:bookmarkEnd w:id="1065"/>
      <w:bookmarkEnd w:id="1066"/>
      <w:bookmarkEnd w:id="1067"/>
      <w:bookmarkEnd w:id="1068"/>
      <w:bookmarkEnd w:id="1069"/>
    </w:p>
    <w:p w14:paraId="4167AA10">
      <w:pPr>
        <w:pStyle w:val="3"/>
        <w:bidi w:val="0"/>
        <w:rPr>
          <w:rFonts w:hint="eastAsia"/>
          <w:color w:val="auto"/>
          <w:lang w:val="en-US" w:eastAsia="zh-CN"/>
        </w:rPr>
      </w:pPr>
      <w:bookmarkStart w:id="1070" w:name="_Toc1931646062"/>
      <w:bookmarkStart w:id="1071" w:name="_Toc1573894432"/>
      <w:bookmarkStart w:id="1072" w:name="_Toc2103890773"/>
      <w:bookmarkStart w:id="1073" w:name="_Toc1924357982"/>
      <w:bookmarkStart w:id="1074" w:name="_Toc664836261"/>
      <w:bookmarkStart w:id="1075" w:name="_Toc1547776035"/>
      <w:bookmarkStart w:id="1076" w:name="_Toc658257"/>
      <w:bookmarkStart w:id="1077" w:name="_Toc1663457825"/>
      <w:bookmarkStart w:id="1078" w:name="_Toc534964523"/>
      <w:bookmarkStart w:id="1079" w:name="_Toc1996808791"/>
      <w:bookmarkStart w:id="1080" w:name="_Toc1662885471"/>
      <w:bookmarkStart w:id="1081" w:name="_Toc850252096"/>
      <w:bookmarkStart w:id="1082" w:name="_Toc991493591"/>
      <w:r>
        <w:rPr>
          <w:rFonts w:hint="eastAsia"/>
          <w:color w:val="auto"/>
          <w:lang w:val="en-US" w:eastAsia="zh-CN"/>
        </w:rPr>
        <w:t xml:space="preserve">第一节 </w:t>
      </w:r>
      <w:r>
        <w:rPr>
          <w:rFonts w:hint="eastAsia"/>
          <w:color w:val="auto"/>
        </w:rPr>
        <w:t>研究结论</w:t>
      </w:r>
      <w:bookmarkEnd w:id="1070"/>
      <w:bookmarkEnd w:id="1071"/>
      <w:bookmarkEnd w:id="1072"/>
      <w:bookmarkEnd w:id="1073"/>
      <w:bookmarkEnd w:id="1074"/>
      <w:bookmarkEnd w:id="1075"/>
      <w:bookmarkEnd w:id="1076"/>
      <w:bookmarkEnd w:id="1077"/>
      <w:bookmarkEnd w:id="1078"/>
      <w:bookmarkEnd w:id="1079"/>
      <w:bookmarkEnd w:id="1080"/>
      <w:bookmarkEnd w:id="1081"/>
      <w:bookmarkEnd w:id="1082"/>
    </w:p>
    <w:p w14:paraId="2A703418">
      <w:pPr>
        <w:pStyle w:val="4"/>
        <w:bidi w:val="0"/>
        <w:rPr>
          <w:rFonts w:hint="eastAsia"/>
          <w:color w:val="auto"/>
          <w:lang w:val="en-US" w:eastAsia="zh-CN"/>
        </w:rPr>
      </w:pPr>
      <w:bookmarkStart w:id="1083" w:name="_Toc763929039"/>
      <w:bookmarkStart w:id="1084" w:name="_Toc1580879654"/>
      <w:bookmarkStart w:id="1085" w:name="_Toc1665072335"/>
      <w:bookmarkStart w:id="1086" w:name="_Toc1638398668"/>
      <w:bookmarkStart w:id="1087" w:name="_Toc1002404134"/>
      <w:bookmarkStart w:id="1088" w:name="_Toc325907164"/>
      <w:bookmarkStart w:id="1089" w:name="_Toc830790334"/>
      <w:bookmarkStart w:id="1090" w:name="_Toc1887638525"/>
      <w:bookmarkStart w:id="1091" w:name="_Toc1773973956"/>
      <w:bookmarkStart w:id="1092" w:name="_Toc1782191719"/>
      <w:bookmarkStart w:id="1093" w:name="_Toc545623286"/>
      <w:bookmarkStart w:id="1094" w:name="_Toc1793548129"/>
      <w:bookmarkStart w:id="1095" w:name="_Toc1707166864"/>
      <w:r>
        <w:rPr>
          <w:rFonts w:hint="eastAsia"/>
          <w:color w:val="auto"/>
          <w:lang w:val="en-US" w:eastAsia="zh-CN"/>
        </w:rPr>
        <w:t>一、</w:t>
      </w:r>
      <w:r>
        <w:rPr>
          <w:rFonts w:hint="eastAsia"/>
          <w:color w:val="auto"/>
        </w:rPr>
        <w:t>融合的核心论断梳理</w:t>
      </w:r>
      <w:bookmarkEnd w:id="1083"/>
      <w:bookmarkEnd w:id="1084"/>
      <w:bookmarkEnd w:id="1085"/>
      <w:bookmarkEnd w:id="1086"/>
      <w:bookmarkEnd w:id="1087"/>
      <w:bookmarkEnd w:id="1088"/>
      <w:bookmarkEnd w:id="1089"/>
      <w:bookmarkEnd w:id="1090"/>
      <w:bookmarkEnd w:id="1091"/>
      <w:bookmarkEnd w:id="1092"/>
      <w:bookmarkEnd w:id="1093"/>
      <w:bookmarkEnd w:id="1094"/>
      <w:bookmarkEnd w:id="1095"/>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本文通过系统的文献梳理、历史比较与案例分析，以中国特色社会主义宗教理论中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坚持宗教中国化方向、引导宗教与社会主义社会相适应</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的核心论断为理论基础，以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以人为本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的核心逻辑、公民层面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最后在文化内核层面，基督教中国化进程中已经主动吸纳了儒家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仁者爱人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推己及人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color w:val="auto"/>
          <w:lang w:val="en-US" w:eastAsia="zh-CN"/>
        </w:rPr>
      </w:pPr>
      <w:bookmarkStart w:id="1096" w:name="_Toc764772544"/>
      <w:bookmarkStart w:id="1097" w:name="_Toc2082934811"/>
      <w:bookmarkStart w:id="1098" w:name="_Toc1176664094"/>
      <w:bookmarkStart w:id="1099" w:name="_Toc1438405498"/>
      <w:bookmarkStart w:id="1100" w:name="_Toc194312877"/>
      <w:bookmarkStart w:id="1101" w:name="_Toc535395112"/>
      <w:bookmarkStart w:id="1102" w:name="_Toc154470744"/>
      <w:bookmarkStart w:id="1103" w:name="_Toc1664807191"/>
      <w:bookmarkStart w:id="1104" w:name="_Toc397069423"/>
      <w:bookmarkStart w:id="1105" w:name="_Toc1011330288"/>
      <w:bookmarkStart w:id="1106" w:name="_Toc1531091242"/>
      <w:bookmarkStart w:id="1107" w:name="_Toc1698116707"/>
      <w:bookmarkStart w:id="1108" w:name="_Toc1971959328"/>
      <w:r>
        <w:rPr>
          <w:rFonts w:hint="eastAsia"/>
          <w:color w:val="auto"/>
          <w:lang w:val="en-US" w:eastAsia="zh-CN"/>
        </w:rPr>
        <w:t>二、</w:t>
      </w:r>
      <w:r>
        <w:rPr>
          <w:rFonts w:hint="eastAsia"/>
          <w:color w:val="auto"/>
        </w:rPr>
        <w:t>融合路径的核心创新点</w:t>
      </w:r>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在教义阐释维度，本文创新性地提出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Agape与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的创造性对接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方案，构建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家国情怀—社区互助—人类关怀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的三层诠释结构，将儒家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在教育引导方面，本文注重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润物细无声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的分层分类方法，针对不同年龄、文化程度的信众设计差异化的教育内容。对中老年信众，通过身边的道德模范案例讲解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友善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诚信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去标识化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公益实践与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社区融入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制度保障方面，本文强调构建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评估—反馈—纠正</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202C9AD">
      <w:pPr>
        <w:rPr>
          <w:rFonts w:hint="eastAsia"/>
          <w:color w:val="auto"/>
          <w:lang w:val="en-US" w:eastAsia="zh-CN"/>
        </w:rPr>
      </w:pPr>
      <w:bookmarkStart w:id="1109" w:name="_Toc95084411"/>
      <w:bookmarkStart w:id="1110" w:name="_Toc842519713"/>
      <w:bookmarkStart w:id="1111" w:name="_Toc1057790607"/>
      <w:bookmarkStart w:id="1112" w:name="_Toc2029548832"/>
      <w:bookmarkStart w:id="1113" w:name="_Toc1901445940"/>
      <w:bookmarkStart w:id="1114" w:name="_Toc1754438730"/>
      <w:bookmarkStart w:id="1115" w:name="_Toc850022374"/>
      <w:bookmarkStart w:id="1116" w:name="_Toc189825919"/>
      <w:bookmarkStart w:id="1117" w:name="_Toc16522635"/>
      <w:bookmarkStart w:id="1118" w:name="_Toc429166454"/>
      <w:bookmarkStart w:id="1119" w:name="_Toc1641380299"/>
      <w:r>
        <w:rPr>
          <w:rFonts w:hint="eastAsia"/>
          <w:color w:val="auto"/>
          <w:lang w:val="en-US" w:eastAsia="zh-CN"/>
        </w:rPr>
        <w:br w:type="page"/>
      </w:r>
    </w:p>
    <w:p w14:paraId="53D1C915">
      <w:pPr>
        <w:pStyle w:val="3"/>
        <w:bidi w:val="0"/>
        <w:rPr>
          <w:rFonts w:hint="eastAsia"/>
          <w:color w:val="auto"/>
          <w:lang w:val="en-US" w:eastAsia="zh-CN"/>
        </w:rPr>
      </w:pPr>
      <w:bookmarkStart w:id="1120" w:name="_Toc1314101132"/>
      <w:bookmarkStart w:id="1121" w:name="_Toc605301545"/>
      <w:r>
        <w:rPr>
          <w:rFonts w:hint="eastAsia"/>
          <w:color w:val="auto"/>
          <w:lang w:val="en-US" w:eastAsia="zh-CN"/>
        </w:rPr>
        <w:t xml:space="preserve">第二节 </w:t>
      </w:r>
      <w:r>
        <w:rPr>
          <w:rFonts w:hint="eastAsia"/>
          <w:color w:val="auto"/>
        </w:rPr>
        <w:t>研究不足与展望</w:t>
      </w:r>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0DDB00A0">
      <w:pPr>
        <w:pStyle w:val="4"/>
        <w:bidi w:val="0"/>
        <w:rPr>
          <w:rFonts w:hint="eastAsia"/>
          <w:color w:val="auto"/>
          <w:lang w:val="en-US" w:eastAsia="zh-CN"/>
        </w:rPr>
      </w:pPr>
      <w:bookmarkStart w:id="1122" w:name="_Toc1750505752"/>
      <w:bookmarkStart w:id="1123" w:name="_Toc103755931"/>
      <w:bookmarkStart w:id="1124" w:name="_Toc670535982"/>
      <w:bookmarkStart w:id="1125" w:name="_Toc897762573"/>
      <w:bookmarkStart w:id="1126" w:name="_Toc1901261800"/>
      <w:bookmarkStart w:id="1127" w:name="_Toc1375899776"/>
      <w:bookmarkStart w:id="1128" w:name="_Toc1391004838"/>
      <w:bookmarkStart w:id="1129" w:name="_Toc1417101983"/>
      <w:bookmarkStart w:id="1130" w:name="_Toc1264819974"/>
      <w:bookmarkStart w:id="1131" w:name="_Toc2144454123"/>
      <w:bookmarkStart w:id="1132" w:name="_Toc1869131720"/>
      <w:bookmarkStart w:id="1133" w:name="_Toc355862309"/>
      <w:bookmarkStart w:id="1134" w:name="_Toc673030976"/>
      <w:r>
        <w:rPr>
          <w:rFonts w:hint="eastAsia"/>
          <w:color w:val="auto"/>
          <w:lang w:val="en-US" w:eastAsia="zh-CN"/>
        </w:rPr>
        <w:t>一、</w:t>
      </w:r>
      <w:r>
        <w:rPr>
          <w:rFonts w:hint="eastAsia"/>
          <w:color w:val="auto"/>
        </w:rPr>
        <w:t>当前研究的局限性分析</w:t>
      </w:r>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color w:val="auto"/>
          <w:lang w:val="en-US" w:eastAsia="zh-CN"/>
        </w:rPr>
      </w:pPr>
      <w:bookmarkStart w:id="1135" w:name="_Toc1111331024"/>
      <w:bookmarkStart w:id="1136" w:name="_Toc1851553665"/>
      <w:bookmarkStart w:id="1137" w:name="_Toc643624336"/>
      <w:bookmarkStart w:id="1138" w:name="_Toc622397660"/>
      <w:bookmarkStart w:id="1139" w:name="_Toc69210953"/>
      <w:bookmarkStart w:id="1140" w:name="_Toc1639383051"/>
      <w:bookmarkStart w:id="1141" w:name="_Toc1106029724"/>
      <w:bookmarkStart w:id="1142" w:name="_Toc235870468"/>
      <w:bookmarkStart w:id="1143" w:name="_Toc224209964"/>
      <w:bookmarkStart w:id="1144" w:name="_Toc2036165012"/>
      <w:bookmarkStart w:id="1145" w:name="_Toc475460589"/>
      <w:bookmarkStart w:id="1146" w:name="_Toc2097888887"/>
      <w:bookmarkStart w:id="1147" w:name="_Toc835244883"/>
      <w:r>
        <w:rPr>
          <w:rFonts w:hint="eastAsia"/>
          <w:color w:val="auto"/>
          <w:lang w:val="en-US" w:eastAsia="zh-CN"/>
        </w:rPr>
        <w:t>二、</w:t>
      </w:r>
      <w:r>
        <w:rPr>
          <w:rFonts w:hint="eastAsia"/>
          <w:color w:val="auto"/>
        </w:rPr>
        <w:t>未来研究与实践的发展方向</w:t>
      </w:r>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auto"/>
          <w:sz w:val="24"/>
          <w:szCs w:val="24"/>
          <w:lang w:val="en-US" w:eastAsia="zh-CN"/>
        </w:rPr>
        <w:br w:type="page"/>
      </w:r>
    </w:p>
    <w:p w14:paraId="41A22F36">
      <w:pPr>
        <w:pStyle w:val="2"/>
        <w:bidi w:val="0"/>
        <w:rPr>
          <w:rFonts w:hint="eastAsia"/>
          <w:color w:val="auto"/>
        </w:rPr>
      </w:pPr>
      <w:bookmarkStart w:id="1148" w:name="_Toc519085213"/>
      <w:bookmarkStart w:id="1149" w:name="_Toc21053"/>
      <w:bookmarkStart w:id="1150" w:name="_Toc244627083"/>
      <w:bookmarkStart w:id="1151" w:name="_Toc1673441739"/>
      <w:bookmarkStart w:id="1152" w:name="_Toc11062"/>
      <w:bookmarkStart w:id="1153" w:name="_Toc30555"/>
      <w:bookmarkStart w:id="1154" w:name="_Toc895747147"/>
      <w:bookmarkStart w:id="1155" w:name="_Toc1832007363"/>
      <w:bookmarkStart w:id="1156" w:name="_Toc32489"/>
      <w:bookmarkStart w:id="1157" w:name="_Toc20143314"/>
      <w:bookmarkStart w:id="1158" w:name="_Toc10448"/>
      <w:bookmarkStart w:id="1159" w:name="_Toc2024402625"/>
      <w:bookmarkStart w:id="1160" w:name="_Toc17158"/>
      <w:bookmarkStart w:id="1161" w:name="_Toc1475242409"/>
      <w:bookmarkStart w:id="1162" w:name="_Toc1610548110"/>
      <w:bookmarkStart w:id="1163" w:name="_Toc279468836"/>
      <w:bookmarkStart w:id="1164" w:name="_Toc423122836"/>
      <w:bookmarkStart w:id="1165" w:name="_Toc1439834044"/>
      <w:bookmarkStart w:id="1166" w:name="_Toc25043"/>
      <w:bookmarkStart w:id="1167" w:name="_Toc2007631789"/>
      <w:r>
        <w:rPr>
          <w:rFonts w:hint="eastAsia"/>
          <w:color w:val="auto"/>
          <w:lang w:val="en-US" w:eastAsia="zh-CN"/>
        </w:rPr>
        <w:t>参考文献</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p>
    <w:p w14:paraId="7E36AD28">
      <w:pPr>
        <w:pStyle w:val="4"/>
        <w:bidi w:val="0"/>
        <w:rPr>
          <w:rFonts w:hint="eastAsia"/>
          <w:color w:val="auto"/>
        </w:rPr>
      </w:pPr>
      <w:bookmarkStart w:id="1168" w:name="_Toc1445043112"/>
      <w:bookmarkStart w:id="1169" w:name="_Toc1551498954"/>
      <w:bookmarkStart w:id="1170" w:name="_Toc1598197982"/>
      <w:bookmarkStart w:id="1171" w:name="_Toc1107149435"/>
      <w:bookmarkStart w:id="1172" w:name="_Toc2074702902"/>
      <w:bookmarkStart w:id="1173" w:name="_Toc1163683623"/>
      <w:bookmarkStart w:id="1174" w:name="_Toc485990663"/>
      <w:bookmarkStart w:id="1175" w:name="_Toc1186600777"/>
      <w:bookmarkStart w:id="1176" w:name="_Toc1004416059"/>
      <w:r>
        <w:rPr>
          <w:rFonts w:hint="eastAsia"/>
          <w:color w:val="auto"/>
          <w:lang w:val="en-US" w:eastAsia="zh-CN"/>
        </w:rPr>
        <w:t>一、经典著作与外文文献</w:t>
      </w:r>
      <w:bookmarkEnd w:id="1168"/>
      <w:bookmarkEnd w:id="1169"/>
      <w:bookmarkEnd w:id="1170"/>
      <w:bookmarkEnd w:id="1171"/>
      <w:bookmarkEnd w:id="1172"/>
      <w:bookmarkEnd w:id="1173"/>
      <w:bookmarkEnd w:id="1174"/>
      <w:bookmarkEnd w:id="1175"/>
      <w:bookmarkEnd w:id="1176"/>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 xml:space="preserve">[1] </w:t>
      </w:r>
      <w:r>
        <w:rPr>
          <w:rFonts w:hint="eastAsia" w:ascii="宋体" w:hAnsi="宋体" w:eastAsia="宋体" w:cs="宋体"/>
          <w:color w:val="auto"/>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2</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[3] </w:t>
      </w:r>
      <w:r>
        <w:rPr>
          <w:rFonts w:hint="default" w:ascii="Times New Roman" w:hAnsi="Times New Roman" w:eastAsia="宋体" w:cs="Times New Roman"/>
          <w:color w:val="auto"/>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[4] </w:t>
      </w:r>
      <w:r>
        <w:rPr>
          <w:rFonts w:hint="default" w:ascii="Times New Roman" w:hAnsi="Times New Roman" w:eastAsia="宋体" w:cs="Times New Roman"/>
          <w:color w:val="auto"/>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[5] </w:t>
      </w:r>
      <w:r>
        <w:rPr>
          <w:rFonts w:hint="default" w:ascii="Times New Roman" w:hAnsi="Times New Roman" w:eastAsia="宋体" w:cs="Times New Roman"/>
          <w:color w:val="auto"/>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[6] </w:t>
      </w:r>
      <w:r>
        <w:rPr>
          <w:rFonts w:hint="default" w:ascii="Times New Roman" w:hAnsi="Times New Roman" w:eastAsia="宋体" w:cs="Times New Roman"/>
          <w:color w:val="auto"/>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lang w:val="en-US" w:eastAsia="zh-CN"/>
        </w:rPr>
        <w:t xml:space="preserve">[7] </w:t>
      </w:r>
      <w:r>
        <w:rPr>
          <w:color w:val="auto"/>
          <w:sz w:val="21"/>
          <w:szCs w:val="21"/>
        </w:rPr>
        <w:t>Bevans, Stephen B. Models of Contextual Theology. Maryknoll: Orbis Books, 2002., pp. 28-45.</w:t>
      </w:r>
    </w:p>
    <w:p w14:paraId="7E6982A5">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color w:val="auto"/>
          <w:kern w:val="2"/>
          <w:sz w:val="21"/>
          <w:szCs w:val="21"/>
          <w:lang w:val="en-US" w:eastAsia="zh-CN" w:bidi="ar"/>
        </w:rPr>
        <w:t xml:space="preserve">[8] </w:t>
      </w:r>
      <w:r>
        <w:rPr>
          <w:color w:val="auto"/>
          <w:sz w:val="21"/>
          <w:szCs w:val="21"/>
        </w:rPr>
        <w:t>Bhabha, Homi K. The Location of Culture. London: Routledge, 1994.,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[9] </w:t>
      </w:r>
      <w:r>
        <w:rPr>
          <w:rFonts w:hint="default" w:ascii="Times New Roman" w:hAnsi="Times New Roman" w:eastAsia="宋体" w:cs="Times New Roman"/>
          <w:color w:val="auto"/>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[10] </w:t>
      </w:r>
      <w:r>
        <w:rPr>
          <w:rFonts w:hint="default" w:ascii="Times New Roman" w:hAnsi="Times New Roman" w:eastAsia="宋体" w:cs="Times New Roman"/>
          <w:color w:val="auto"/>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[11] </w:t>
      </w:r>
      <w:r>
        <w:rPr>
          <w:rFonts w:hint="default" w:ascii="Times New Roman" w:hAnsi="Times New Roman" w:eastAsia="宋体" w:cs="Times New Roman"/>
          <w:color w:val="auto"/>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[12] </w:t>
      </w:r>
      <w:r>
        <w:rPr>
          <w:rFonts w:hint="default" w:ascii="Times New Roman" w:hAnsi="Times New Roman" w:eastAsia="宋体" w:cs="Times New Roman"/>
          <w:color w:val="auto"/>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[13] </w:t>
      </w:r>
      <w:r>
        <w:rPr>
          <w:rFonts w:hint="default" w:ascii="Times New Roman" w:hAnsi="Times New Roman" w:eastAsia="宋体" w:cs="Times New Roman"/>
          <w:color w:val="auto"/>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[14] </w:t>
      </w:r>
      <w:r>
        <w:rPr>
          <w:rFonts w:hint="default" w:ascii="Times New Roman" w:hAnsi="Times New Roman" w:eastAsia="宋体" w:cs="Times New Roman"/>
          <w:color w:val="auto"/>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 xml:space="preserve">] </w:t>
      </w:r>
      <w:r>
        <w:rPr>
          <w:color w:val="auto"/>
          <w:sz w:val="21"/>
          <w:szCs w:val="21"/>
        </w:rPr>
        <w:t>Nygren, Anders. Agape and Eros: The Christian Idea of Love. Chicago: University of Chicago Press, 1982.,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[16] </w:t>
      </w:r>
      <w:r>
        <w:rPr>
          <w:rFonts w:hint="default" w:ascii="Times New Roman" w:hAnsi="Times New Roman" w:eastAsia="宋体" w:cs="Times New Roman"/>
          <w:color w:val="auto"/>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val="en-US" w:eastAsia="zh-CN"/>
        </w:rPr>
        <w:t>7</w:t>
      </w:r>
      <w:r>
        <w:rPr>
          <w:rFonts w:hint="eastAsia" w:ascii="宋体" w:hAnsi="宋体" w:eastAsia="宋体" w:cs="宋体"/>
          <w:color w:val="auto"/>
          <w:sz w:val="21"/>
          <w:szCs w:val="21"/>
        </w:rPr>
        <w:t xml:space="preserve">] </w:t>
      </w:r>
      <w:r>
        <w:rPr>
          <w:color w:val="auto"/>
          <w:sz w:val="21"/>
          <w:szCs w:val="21"/>
        </w:rPr>
        <w:t>Rawls, John. Political Liberalism. New York: Columbia University Press, 1993.,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[18] </w:t>
      </w:r>
      <w:r>
        <w:rPr>
          <w:rFonts w:hint="default" w:ascii="Times New Roman" w:hAnsi="Times New Roman" w:eastAsia="宋体" w:cs="Times New Roman"/>
          <w:color w:val="auto"/>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[19] </w:t>
      </w:r>
      <w:r>
        <w:rPr>
          <w:rFonts w:hint="default" w:ascii="Times New Roman" w:hAnsi="Times New Roman" w:eastAsia="宋体" w:cs="Times New Roman"/>
          <w:color w:val="auto"/>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[20] </w:t>
      </w:r>
      <w:r>
        <w:rPr>
          <w:rFonts w:hint="default" w:ascii="Times New Roman" w:hAnsi="Times New Roman" w:eastAsia="宋体" w:cs="Times New Roman"/>
          <w:color w:val="auto"/>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[21] </w:t>
      </w:r>
      <w:r>
        <w:rPr>
          <w:rFonts w:hint="default" w:ascii="Times New Roman" w:hAnsi="Times New Roman" w:eastAsia="宋体" w:cs="Times New Roman"/>
          <w:color w:val="auto"/>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color w:val="auto"/>
          <w:sz w:val="21"/>
          <w:szCs w:val="21"/>
          <w:lang w:val="en-US" w:eastAsia="zh-CN"/>
        </w:rPr>
      </w:pPr>
      <w:r>
        <w:rPr>
          <w:rFonts w:hint="eastAsia" w:ascii="宋体" w:hAnsi="宋体" w:eastAsia="宋体" w:cs="宋体"/>
          <w:color w:val="auto"/>
          <w:sz w:val="21"/>
          <w:szCs w:val="21"/>
        </w:rPr>
        <w:t xml:space="preserve">[22] </w:t>
      </w:r>
      <w:r>
        <w:rPr>
          <w:rFonts w:hint="default" w:ascii="Times New Roman" w:hAnsi="Times New Roman" w:eastAsia="宋体" w:cs="Times New Roman"/>
          <w:color w:val="auto"/>
          <w:sz w:val="21"/>
          <w:szCs w:val="21"/>
        </w:rPr>
        <w:t>Tu Weiming. Confucian Thought: Selfhood as Creative Transformation. Albany: State University of New York Press, 1985.</w:t>
      </w:r>
    </w:p>
    <w:p w14:paraId="5B3298DE">
      <w:pPr>
        <w:keepNext w:val="0"/>
        <w:keepLines w:val="0"/>
        <w:widowControl/>
        <w:suppressLineNumbers w:val="0"/>
        <w:jc w:val="left"/>
        <w:rPr>
          <w:rFonts w:hint="default" w:ascii="Times New Roman" w:hAnsi="Times New Roman" w:eastAsia="宋体" w:cs="Times New Roman"/>
          <w:color w:val="auto"/>
          <w:sz w:val="21"/>
          <w:szCs w:val="21"/>
          <w:lang w:val="en-US" w:eastAsia="zh-CN"/>
        </w:rPr>
      </w:pPr>
      <w:r>
        <w:rPr>
          <w:rFonts w:hint="eastAsia" w:ascii="宋体" w:hAnsi="宋体" w:eastAsia="宋体" w:cs="宋体"/>
          <w:snapToGrid/>
          <w:color w:val="auto"/>
          <w:kern w:val="2"/>
          <w:sz w:val="21"/>
          <w:szCs w:val="21"/>
          <w:lang w:val="en-US" w:eastAsia="zh-CN" w:bidi="ar"/>
        </w:rPr>
        <w:t xml:space="preserve">[23] </w:t>
      </w:r>
      <w:r>
        <w:rPr>
          <w:color w:val="auto"/>
          <w:sz w:val="21"/>
          <w:szCs w:val="21"/>
        </w:rPr>
        <w:t>Weber, Max. The Protestant Ethic and the Spirit of Capitalism. Translated by Talcott Parsons. New York: Charles Scribner's Sons, 1958., pp. 90-110.</w:t>
      </w:r>
    </w:p>
    <w:p w14:paraId="39B35033">
      <w:pPr>
        <w:pStyle w:val="4"/>
        <w:bidi w:val="0"/>
        <w:rPr>
          <w:rFonts w:hint="eastAsia"/>
          <w:color w:val="auto"/>
        </w:rPr>
      </w:pPr>
      <w:bookmarkStart w:id="1177" w:name="_Toc1164763500"/>
      <w:bookmarkStart w:id="1178" w:name="_Toc839697575"/>
      <w:bookmarkStart w:id="1179" w:name="_Toc947019461"/>
      <w:bookmarkStart w:id="1180" w:name="_Toc897078532"/>
      <w:bookmarkStart w:id="1181" w:name="_Toc1666112997"/>
      <w:bookmarkStart w:id="1182" w:name="_Toc188026798"/>
      <w:bookmarkStart w:id="1183" w:name="_Toc2062236437"/>
      <w:bookmarkStart w:id="1184" w:name="_Toc1296478004"/>
      <w:bookmarkStart w:id="1185" w:name="_Toc1999238193"/>
      <w:r>
        <w:rPr>
          <w:rFonts w:hint="eastAsia"/>
          <w:color w:val="auto"/>
          <w:lang w:val="en-US" w:eastAsia="zh-CN"/>
        </w:rPr>
        <w:t>二、中文专著</w:t>
      </w:r>
      <w:bookmarkEnd w:id="1177"/>
      <w:bookmarkEnd w:id="1178"/>
      <w:bookmarkEnd w:id="1179"/>
      <w:bookmarkEnd w:id="1180"/>
      <w:bookmarkEnd w:id="1181"/>
      <w:bookmarkEnd w:id="1182"/>
      <w:bookmarkEnd w:id="1183"/>
      <w:bookmarkEnd w:id="1184"/>
      <w:bookmarkEnd w:id="1185"/>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[44] 中央统战部. 新时代统一战线知识简明读本[M]. 北京：华文出版社，2020.</w:t>
      </w:r>
    </w:p>
    <w:p w14:paraId="37378B6A">
      <w:pPr>
        <w:pStyle w:val="4"/>
        <w:bidi w:val="0"/>
        <w:rPr>
          <w:rFonts w:hint="eastAsia"/>
          <w:color w:val="auto"/>
        </w:rPr>
      </w:pPr>
      <w:bookmarkStart w:id="1186" w:name="_Toc1863685384"/>
      <w:bookmarkStart w:id="1187" w:name="_Toc1682098588"/>
      <w:bookmarkStart w:id="1188" w:name="_Toc1536730766"/>
      <w:bookmarkStart w:id="1189" w:name="_Toc1769217726"/>
      <w:bookmarkStart w:id="1190" w:name="_Toc1321867346"/>
      <w:bookmarkStart w:id="1191" w:name="_Toc1217949249"/>
      <w:bookmarkStart w:id="1192" w:name="_Toc1866702095"/>
      <w:bookmarkStart w:id="1193" w:name="_Toc1554773110"/>
      <w:bookmarkStart w:id="1194" w:name="_Toc1667168789"/>
      <w:r>
        <w:rPr>
          <w:rFonts w:hint="eastAsia"/>
          <w:color w:val="auto"/>
          <w:lang w:val="en-US" w:eastAsia="zh-CN"/>
        </w:rPr>
        <w:t>三、中文期刊论文与学位论文</w:t>
      </w:r>
      <w:bookmarkEnd w:id="1186"/>
      <w:bookmarkEnd w:id="1187"/>
      <w:bookmarkEnd w:id="1188"/>
      <w:bookmarkEnd w:id="1189"/>
      <w:bookmarkEnd w:id="1190"/>
      <w:bookmarkEnd w:id="1191"/>
      <w:bookmarkEnd w:id="1192"/>
      <w:bookmarkEnd w:id="1193"/>
      <w:bookmarkEnd w:id="1194"/>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[47] 陈琳. 儒家“仁爱”与基督教“圣爱”思想的比较研究[J]. 咸阳师范学院学报，2012，27（10）：167-168.</w:t>
      </w:r>
    </w:p>
    <w:p w14:paraId="21F5269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48</w:t>
      </w:r>
      <w:r>
        <w:rPr>
          <w:rFonts w:hint="eastAsia" w:ascii="宋体" w:hAnsi="宋体" w:eastAsia="宋体" w:cs="宋体"/>
          <w:color w:val="auto"/>
          <w:sz w:val="21"/>
          <w:szCs w:val="21"/>
        </w:rPr>
        <w:t>] 陈宗皋. 基督教公益慈善"去标识化"路径探析[J]. 中国宗教, 2025(1): 18-24.</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[4</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50</w:t>
      </w:r>
      <w:r>
        <w:rPr>
          <w:rFonts w:hint="eastAsia" w:ascii="宋体" w:hAnsi="宋体" w:eastAsia="宋体" w:cs="宋体"/>
          <w:color w:val="auto"/>
          <w:sz w:val="21"/>
          <w:szCs w:val="21"/>
        </w:rPr>
        <w:t>] 何虎生，胡竞方. 新中国·新时期·新时代坚持我国宗教中国化的发展历程研究[J]. 世界宗教研究，2020（1）：1-12.</w:t>
      </w:r>
    </w:p>
    <w:p w14:paraId="312C546B">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51</w:t>
      </w:r>
      <w:r>
        <w:rPr>
          <w:rFonts w:hint="eastAsia" w:ascii="宋体" w:hAnsi="宋体" w:eastAsia="宋体" w:cs="宋体"/>
          <w:color w:val="auto"/>
          <w:sz w:val="21"/>
          <w:szCs w:val="21"/>
        </w:rPr>
        <w:t>] 何明. 社会主义核心价值观融入宗教教育的实践研究[J]. 宗教学研究, 2024(3): 56-63.</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2</w:t>
      </w:r>
      <w:r>
        <w:rPr>
          <w:rFonts w:hint="eastAsia" w:ascii="宋体" w:hAnsi="宋体" w:eastAsia="宋体" w:cs="宋体"/>
          <w:color w:val="auto"/>
          <w:sz w:val="21"/>
          <w:szCs w:val="21"/>
        </w:rPr>
        <w:t>]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3</w:t>
      </w:r>
      <w:r>
        <w:rPr>
          <w:rFonts w:hint="eastAsia" w:ascii="宋体" w:hAnsi="宋体" w:eastAsia="宋体" w:cs="宋体"/>
          <w:color w:val="auto"/>
          <w:sz w:val="21"/>
          <w:szCs w:val="21"/>
        </w:rPr>
        <w:t>]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牟钟鉴. 如何深入理解“坚持中国化方向”——学习习总书记讲话的体会[J]. 世界宗教研究，2016（3）：13-18.</w:t>
      </w:r>
    </w:p>
    <w:p w14:paraId="34C4EFF3">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55</w:t>
      </w:r>
      <w:r>
        <w:rPr>
          <w:rFonts w:hint="eastAsia" w:ascii="宋体" w:hAnsi="宋体" w:eastAsia="宋体" w:cs="宋体"/>
          <w:color w:val="auto"/>
          <w:sz w:val="21"/>
          <w:szCs w:val="21"/>
        </w:rPr>
        <w:t>] 唐晓峰. 新时代基督教中国化的实践探索与理论反思[J]. 世界宗教文化, 2024(2): 34-41.</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[5</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60</w:t>
      </w:r>
      <w:r>
        <w:rPr>
          <w:rFonts w:hint="eastAsia" w:ascii="宋体" w:hAnsi="宋体" w:eastAsia="宋体" w:cs="宋体"/>
          <w:color w:val="auto"/>
          <w:sz w:val="21"/>
          <w:szCs w:val="21"/>
        </w:rPr>
        <w:t>]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61</w:t>
      </w:r>
      <w:r>
        <w:rPr>
          <w:rFonts w:hint="eastAsia" w:ascii="宋体" w:hAnsi="宋体" w:eastAsia="宋体" w:cs="宋体"/>
          <w:color w:val="auto"/>
          <w:sz w:val="21"/>
          <w:szCs w:val="21"/>
        </w:rPr>
        <w:t>]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t>[62] 游斌. 深入推进我国宗教中国化，增进“五个认同”[N]. 中国民族报，2022-04-08（005）.</w:t>
      </w:r>
    </w:p>
    <w:p w14:paraId="552B8C3C">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63</w:t>
      </w:r>
      <w:r>
        <w:rPr>
          <w:rFonts w:hint="eastAsia" w:ascii="宋体" w:hAnsi="宋体" w:eastAsia="宋体" w:cs="宋体"/>
          <w:color w:val="auto"/>
          <w:sz w:val="21"/>
          <w:szCs w:val="21"/>
        </w:rPr>
        <w:t>] 游斌. 基督教中国化的神学建构与话语创新[J]. 中国宗教, 2024(5): 22-28.</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4</w:t>
      </w:r>
      <w:r>
        <w:rPr>
          <w:rFonts w:hint="eastAsia" w:ascii="宋体" w:hAnsi="宋体" w:eastAsia="宋体" w:cs="宋体"/>
          <w:color w:val="auto"/>
          <w:sz w:val="21"/>
          <w:szCs w:val="21"/>
        </w:rPr>
        <w:t>]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张忠成. 基督教伦理与社会主义核心价值观之刍议[C]//基督教中国化神学思想建设第十九次研讨会论文集. 杭州：浙江省基督教两会，2019.</w:t>
      </w:r>
    </w:p>
    <w:p w14:paraId="246E89FA">
      <w:pPr>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66</w:t>
      </w:r>
      <w:r>
        <w:rPr>
          <w:rFonts w:hint="eastAsia" w:ascii="宋体" w:hAnsi="宋体" w:eastAsia="宋体" w:cs="宋体"/>
          <w:color w:val="auto"/>
          <w:sz w:val="21"/>
          <w:szCs w:val="21"/>
        </w:rPr>
        <w:t>] 张志刚. 深入推进我国宗教中国化的学理基础与实践路径[J]. 世界宗教研究, 2024(1): 1-15.</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67</w:t>
      </w:r>
      <w:r>
        <w:rPr>
          <w:rFonts w:hint="eastAsia" w:ascii="宋体" w:hAnsi="宋体" w:eastAsia="宋体" w:cs="宋体"/>
          <w:color w:val="auto"/>
          <w:sz w:val="21"/>
          <w:szCs w:val="21"/>
        </w:rPr>
        <w:t>]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[6</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70</w:t>
      </w:r>
      <w:r>
        <w:rPr>
          <w:rFonts w:hint="eastAsia" w:ascii="宋体" w:hAnsi="宋体" w:eastAsia="宋体" w:cs="宋体"/>
          <w:color w:val="auto"/>
          <w:sz w:val="21"/>
          <w:szCs w:val="21"/>
        </w:rPr>
        <w:t>]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71</w:t>
      </w:r>
      <w:r>
        <w:rPr>
          <w:rFonts w:hint="eastAsia" w:ascii="宋体" w:hAnsi="宋体" w:eastAsia="宋体" w:cs="宋体"/>
          <w:color w:val="auto"/>
          <w:sz w:val="21"/>
          <w:szCs w:val="21"/>
        </w:rPr>
        <w:t>]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72</w:t>
      </w:r>
      <w:r>
        <w:rPr>
          <w:rFonts w:hint="eastAsia" w:ascii="宋体" w:hAnsi="宋体" w:eastAsia="宋体" w:cs="宋体"/>
          <w:color w:val="auto"/>
          <w:sz w:val="21"/>
          <w:szCs w:val="21"/>
        </w:rPr>
        <w:t>] 朱全红，张苹英. 儒家“仁爱”伦理与基督教“博爱”伦理思想比较研究[J]. 吉首大学学报（社会科学版），2002，23（4）：53-58.</w:t>
      </w:r>
    </w:p>
    <w:p w14:paraId="5CCAA138">
      <w:pPr>
        <w:pStyle w:val="4"/>
        <w:bidi w:val="0"/>
        <w:rPr>
          <w:rFonts w:hint="eastAsia"/>
          <w:color w:val="auto"/>
          <w:lang w:val="en-US" w:eastAsia="zh-CN"/>
        </w:rPr>
      </w:pPr>
      <w:bookmarkStart w:id="1195" w:name="_Toc1073511642"/>
      <w:bookmarkStart w:id="1196" w:name="_Toc1911257393"/>
      <w:bookmarkStart w:id="1197" w:name="_Toc906156007"/>
      <w:bookmarkStart w:id="1198" w:name="_Toc1183744520"/>
      <w:bookmarkStart w:id="1199" w:name="_Toc1556239408"/>
      <w:bookmarkStart w:id="1200" w:name="_Toc258904739"/>
      <w:bookmarkStart w:id="1201" w:name="_Toc48161693"/>
      <w:bookmarkStart w:id="1202" w:name="_Toc490643074"/>
      <w:bookmarkStart w:id="1203" w:name="_Toc1886694314"/>
      <w:r>
        <w:rPr>
          <w:rFonts w:hint="eastAsia"/>
          <w:color w:val="auto"/>
          <w:lang w:val="en-US" w:eastAsia="zh-CN"/>
        </w:rPr>
        <w:t>四、政策文件与法规</w:t>
      </w:r>
      <w:bookmarkEnd w:id="1195"/>
      <w:bookmarkEnd w:id="1196"/>
      <w:bookmarkEnd w:id="1197"/>
      <w:bookmarkEnd w:id="1198"/>
      <w:bookmarkEnd w:id="1199"/>
      <w:bookmarkEnd w:id="1200"/>
      <w:bookmarkEnd w:id="1201"/>
      <w:bookmarkEnd w:id="1202"/>
      <w:bookmarkEnd w:id="1203"/>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73</w:t>
      </w:r>
      <w:r>
        <w:rPr>
          <w:rFonts w:hint="eastAsia" w:ascii="宋体" w:hAnsi="宋体" w:eastAsia="宋体" w:cs="宋体"/>
          <w:color w:val="auto"/>
          <w:sz w:val="21"/>
          <w:szCs w:val="21"/>
        </w:rPr>
        <w:t>]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74</w:t>
      </w:r>
      <w:r>
        <w:rPr>
          <w:rFonts w:hint="eastAsia" w:ascii="宋体" w:hAnsi="宋体" w:eastAsia="宋体" w:cs="宋体"/>
          <w:color w:val="auto"/>
          <w:sz w:val="21"/>
          <w:szCs w:val="21"/>
        </w:rPr>
        <w:t>]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5</w:t>
      </w:r>
      <w:r>
        <w:rPr>
          <w:rFonts w:hint="eastAsia" w:ascii="宋体" w:hAnsi="宋体" w:eastAsia="宋体" w:cs="宋体"/>
          <w:color w:val="auto"/>
          <w:sz w:val="21"/>
          <w:szCs w:val="21"/>
        </w:rPr>
        <w:t>]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6</w:t>
      </w:r>
      <w:r>
        <w:rPr>
          <w:rFonts w:hint="eastAsia" w:ascii="宋体" w:hAnsi="宋体" w:eastAsia="宋体" w:cs="宋体"/>
          <w:color w:val="auto"/>
          <w:sz w:val="21"/>
          <w:szCs w:val="21"/>
        </w:rPr>
        <w:t>]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7</w:t>
      </w:r>
      <w:r>
        <w:rPr>
          <w:rFonts w:hint="eastAsia" w:ascii="宋体" w:hAnsi="宋体" w:eastAsia="宋体" w:cs="宋体"/>
          <w:color w:val="auto"/>
          <w:sz w:val="21"/>
          <w:szCs w:val="21"/>
        </w:rPr>
        <w:t>] 中共中央、国务院. 关于坚持我国宗教中国化方向的意见[Z]. 2021.</w:t>
      </w:r>
    </w:p>
    <w:p w14:paraId="2F25BFC0">
      <w:pPr>
        <w:pStyle w:val="4"/>
        <w:bidi w:val="0"/>
        <w:rPr>
          <w:rFonts w:hint="eastAsia"/>
          <w:color w:val="auto"/>
          <w:lang w:val="en-US" w:eastAsia="zh-CN"/>
        </w:rPr>
      </w:pPr>
      <w:bookmarkStart w:id="1204" w:name="_Toc1999722979"/>
      <w:bookmarkStart w:id="1205" w:name="_Toc1957468772"/>
      <w:bookmarkStart w:id="1206" w:name="_Toc1500048647"/>
      <w:bookmarkStart w:id="1207" w:name="_Toc610079551"/>
      <w:bookmarkStart w:id="1208" w:name="_Toc1512393443"/>
      <w:bookmarkStart w:id="1209" w:name="_Toc2048423885"/>
      <w:bookmarkStart w:id="1210" w:name="_Toc905641832"/>
      <w:bookmarkStart w:id="1211" w:name="_Toc442612325"/>
      <w:bookmarkStart w:id="1212" w:name="_Toc2075287443"/>
      <w:r>
        <w:rPr>
          <w:rFonts w:hint="eastAsia"/>
          <w:color w:val="auto"/>
          <w:lang w:val="en-US" w:eastAsia="zh-CN"/>
        </w:rPr>
        <w:t>五、网络资源与新闻报道</w:t>
      </w:r>
      <w:bookmarkEnd w:id="1204"/>
      <w:bookmarkEnd w:id="1205"/>
      <w:bookmarkEnd w:id="1206"/>
      <w:bookmarkEnd w:id="1207"/>
      <w:bookmarkEnd w:id="1208"/>
      <w:bookmarkEnd w:id="1209"/>
      <w:bookmarkEnd w:id="1210"/>
      <w:bookmarkEnd w:id="1211"/>
      <w:bookmarkEnd w:id="1212"/>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8</w:t>
      </w:r>
      <w:r>
        <w:rPr>
          <w:rFonts w:hint="eastAsia" w:ascii="宋体" w:hAnsi="宋体" w:eastAsia="宋体" w:cs="宋体"/>
          <w:color w:val="auto"/>
          <w:sz w:val="21"/>
          <w:szCs w:val="21"/>
        </w:rPr>
        <w:t>]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[7</w:t>
      </w:r>
      <w:r>
        <w:rPr>
          <w:rFonts w:hint="eastAsia" w:ascii="宋体" w:hAnsi="宋体" w:cs="宋体"/>
          <w:color w:val="auto"/>
          <w:sz w:val="21"/>
          <w:szCs w:val="21"/>
          <w:lang w:val="en-US" w:eastAsia="zh-CN"/>
        </w:rPr>
        <w:t>9</w:t>
      </w:r>
      <w:r>
        <w:rPr>
          <w:rFonts w:hint="eastAsia" w:ascii="宋体" w:hAnsi="宋体" w:eastAsia="宋体" w:cs="宋体"/>
          <w:color w:val="auto"/>
          <w:sz w:val="21"/>
          <w:szCs w:val="21"/>
        </w:rPr>
        <w:t>]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80</w:t>
      </w:r>
      <w:r>
        <w:rPr>
          <w:rFonts w:hint="eastAsia" w:ascii="宋体" w:hAnsi="宋体" w:eastAsia="宋体" w:cs="宋体"/>
          <w:color w:val="auto"/>
          <w:sz w:val="21"/>
          <w:szCs w:val="21"/>
        </w:rPr>
        <w:t>]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1"/>
          <w:szCs w:val="21"/>
        </w:rPr>
        <w:t>[</w:t>
      </w:r>
      <w:r>
        <w:rPr>
          <w:rFonts w:hint="eastAsia" w:ascii="宋体" w:hAnsi="宋体" w:cs="宋体"/>
          <w:color w:val="auto"/>
          <w:sz w:val="21"/>
          <w:szCs w:val="21"/>
          <w:lang w:val="en-US" w:eastAsia="zh-CN"/>
        </w:rPr>
        <w:t>81</w:t>
      </w:r>
      <w:r>
        <w:rPr>
          <w:rFonts w:hint="eastAsia" w:ascii="宋体" w:hAnsi="宋体" w:eastAsia="宋体" w:cs="宋体"/>
          <w:color w:val="auto"/>
          <w:sz w:val="21"/>
          <w:szCs w:val="21"/>
        </w:rPr>
        <w:t xml:space="preserve">] 浙江神学院官网. 学院简介与办学理念[EB/OL]. </w:t>
      </w:r>
      <w:r>
        <w:rPr>
          <w:rFonts w:hint="eastAsia" w:ascii="宋体" w:hAnsi="宋体" w:eastAsia="宋体" w:cs="宋体"/>
          <w:color w:val="auto"/>
          <w:sz w:val="21"/>
          <w:szCs w:val="21"/>
        </w:rPr>
        <w:fldChar w:fldCharType="begin"/>
      </w:r>
      <w:r>
        <w:rPr>
          <w:rFonts w:hint="eastAsia" w:ascii="宋体" w:hAnsi="宋体" w:eastAsia="宋体" w:cs="宋体"/>
          <w:color w:val="auto"/>
          <w:sz w:val="21"/>
          <w:szCs w:val="21"/>
        </w:rPr>
        <w:instrText xml:space="preserve"> HYPERLINK "https://www.zjtsxy.org." </w:instrText>
      </w:r>
      <w:r>
        <w:rPr>
          <w:rFonts w:hint="eastAsia" w:ascii="宋体" w:hAnsi="宋体" w:eastAsia="宋体" w:cs="宋体"/>
          <w:color w:val="auto"/>
          <w:sz w:val="21"/>
          <w:szCs w:val="21"/>
        </w:rPr>
        <w:fldChar w:fldCharType="separate"/>
      </w:r>
      <w:r>
        <w:rPr>
          <w:rStyle w:val="27"/>
          <w:rFonts w:hint="eastAsia" w:ascii="宋体" w:hAnsi="宋体" w:eastAsia="宋体" w:cs="宋体"/>
          <w:color w:val="auto"/>
          <w:sz w:val="21"/>
          <w:szCs w:val="21"/>
        </w:rPr>
        <w:t>https://www.zjtsxy.org.</w:t>
      </w:r>
      <w:r>
        <w:rPr>
          <w:rStyle w:val="27"/>
          <w:rFonts w:hint="eastAsia" w:ascii="宋体" w:hAnsi="宋体" w:eastAsia="宋体" w:cs="宋体"/>
          <w:color w:val="auto"/>
          <w:sz w:val="21"/>
          <w:szCs w:val="21"/>
        </w:rPr>
        <w:br w:type="page"/>
      </w:r>
      <w:r>
        <w:rPr>
          <w:rFonts w:hint="eastAsia" w:ascii="宋体" w:hAnsi="宋体" w:eastAsia="宋体" w:cs="宋体"/>
          <w:color w:val="auto"/>
          <w:sz w:val="21"/>
          <w:szCs w:val="21"/>
        </w:rPr>
        <w:fldChar w:fldCharType="end"/>
      </w:r>
    </w:p>
    <w:p w14:paraId="679E75FB">
      <w:pPr>
        <w:pStyle w:val="2"/>
        <w:bidi w:val="0"/>
        <w:rPr>
          <w:rFonts w:hint="eastAsia"/>
          <w:color w:val="auto"/>
          <w:lang w:val="en-US" w:eastAsia="zh-CN"/>
        </w:rPr>
      </w:pPr>
      <w:bookmarkStart w:id="1213" w:name="_Toc1875662611"/>
      <w:bookmarkStart w:id="1214" w:name="_Toc1520082879"/>
      <w:bookmarkStart w:id="1215" w:name="_Toc2089466261"/>
      <w:bookmarkStart w:id="1216" w:name="_Toc1393745819"/>
      <w:bookmarkStart w:id="1217" w:name="_Toc1549890138"/>
      <w:bookmarkStart w:id="1218" w:name="_Toc101993067"/>
      <w:bookmarkStart w:id="1219" w:name="_Toc14918"/>
      <w:bookmarkStart w:id="1220" w:name="_Toc22685"/>
      <w:bookmarkStart w:id="1221" w:name="_Toc961934159"/>
      <w:bookmarkStart w:id="1222" w:name="_Toc5919"/>
      <w:bookmarkStart w:id="1223" w:name="_Toc760"/>
      <w:bookmarkStart w:id="1224" w:name="_Toc1700463448"/>
      <w:bookmarkStart w:id="1225" w:name="_Toc5632"/>
      <w:bookmarkStart w:id="1226" w:name="_Toc2007077996"/>
      <w:bookmarkStart w:id="1227" w:name="_Toc1905664135"/>
      <w:bookmarkStart w:id="1228" w:name="_Toc1180150609"/>
      <w:bookmarkStart w:id="1229" w:name="_Toc1225032503"/>
      <w:bookmarkStart w:id="1230" w:name="_Toc2074143574"/>
      <w:bookmarkStart w:id="1231" w:name="_Toc30436"/>
      <w:bookmarkStart w:id="1232" w:name="_Toc16346"/>
      <w:r>
        <w:rPr>
          <w:rFonts w:hint="eastAsia"/>
          <w:color w:val="auto"/>
        </w:rPr>
        <w:t>附 录</w:t>
      </w:r>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p>
    <w:p w14:paraId="29BD481E">
      <w:pPr>
        <w:pStyle w:val="4"/>
        <w:bidi w:val="0"/>
        <w:rPr>
          <w:rFonts w:hint="eastAsia"/>
          <w:color w:val="auto"/>
          <w:lang w:val="en-US" w:eastAsia="zh-CN"/>
        </w:rPr>
      </w:pPr>
      <w:bookmarkStart w:id="1233" w:name="_Toc26911256"/>
      <w:bookmarkStart w:id="1234" w:name="_Toc20637"/>
      <w:bookmarkStart w:id="1235" w:name="_Toc926005587"/>
      <w:bookmarkStart w:id="1236" w:name="_Toc505526763"/>
      <w:bookmarkStart w:id="1237" w:name="_Toc1567482641"/>
      <w:bookmarkStart w:id="1238" w:name="_Toc18174"/>
      <w:bookmarkStart w:id="1239" w:name="_Toc1349048764"/>
      <w:bookmarkStart w:id="1240" w:name="_Toc1195554132"/>
      <w:bookmarkStart w:id="1241" w:name="_Toc632321771"/>
      <w:bookmarkStart w:id="1242" w:name="_Toc17303"/>
      <w:bookmarkStart w:id="1243" w:name="_Toc32470"/>
      <w:bookmarkStart w:id="1244" w:name="_Toc13764"/>
      <w:bookmarkStart w:id="1245" w:name="_Toc13564"/>
      <w:bookmarkStart w:id="1246" w:name="_Toc286751696"/>
      <w:bookmarkStart w:id="1247" w:name="_Toc29006467"/>
      <w:r>
        <w:rPr>
          <w:rFonts w:hint="eastAsia"/>
          <w:color w:val="auto"/>
          <w:lang w:val="en-US" w:eastAsia="zh-CN"/>
        </w:rPr>
        <w:t>一、致 谢</w:t>
      </w:r>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双通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人才，学术研究必须始终坚持正确的政治方向，将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五个认同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内化于心、外化于行，在教义诠释中自觉融入中华优秀传统文化，以社会主义核心价值观引领信众，做到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政治上靠得住、宗教上有造诣、品德上能服众、关键时起作用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color w:val="auto"/>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color w:val="auto"/>
          <w:lang w:val="en-US" w:eastAsia="zh-CN"/>
        </w:rPr>
      </w:pPr>
      <w:bookmarkStart w:id="1248" w:name="_Toc25604"/>
      <w:bookmarkStart w:id="1249" w:name="_Toc5261"/>
      <w:bookmarkStart w:id="1250" w:name="_Toc1498849538"/>
      <w:bookmarkStart w:id="1251" w:name="_Toc21851"/>
      <w:bookmarkStart w:id="1252" w:name="_Toc12901"/>
      <w:bookmarkStart w:id="1253" w:name="_Toc1682919841"/>
      <w:bookmarkStart w:id="1254" w:name="_Toc25672"/>
      <w:bookmarkStart w:id="1255" w:name="_Toc330231522"/>
      <w:bookmarkStart w:id="1256" w:name="_Toc1325913722"/>
      <w:bookmarkStart w:id="1257" w:name="_Toc9970"/>
      <w:bookmarkStart w:id="1258" w:name="_Toc1821295192"/>
      <w:bookmarkStart w:id="1259" w:name="_Toc942998209"/>
      <w:bookmarkStart w:id="1260" w:name="_Toc482450804"/>
      <w:bookmarkStart w:id="1261" w:name="_Toc561910900"/>
      <w:bookmarkStart w:id="1262" w:name="_Toc32903000"/>
      <w:r>
        <w:rPr>
          <w:rFonts w:hint="eastAsia"/>
          <w:color w:val="auto"/>
          <w:lang w:val="en-US" w:eastAsia="zh-CN"/>
        </w:rPr>
        <w:t>二、论文原创性声明内容</w:t>
      </w:r>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p>
    <w:p w14:paraId="065073FA">
      <w:pPr>
        <w:pageBreakBefore w:val="0"/>
        <w:kinsoku/>
        <w:wordWrap/>
        <w:overflowPunct/>
        <w:topLinePunct w:val="0"/>
        <w:bidi w:val="0"/>
        <w:adjustRightInd w:val="0"/>
        <w:snapToGrid w:val="0"/>
        <w:ind w:firstLine="480" w:firstLineChars="200"/>
        <w:textAlignment w:val="auto"/>
        <w:rPr>
          <w:color w:val="auto"/>
        </w:rPr>
      </w:pPr>
      <w:r>
        <w:rPr>
          <w:rFonts w:hint="eastAsia"/>
          <w:color w:val="auto"/>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color w:val="auto"/>
          <w:kern w:val="0"/>
          <w:sz w:val="24"/>
        </w:rPr>
      </w:pPr>
      <w:r>
        <w:rPr>
          <w:rFonts w:hint="eastAsia" w:ascii="宋体" w:cs="宋体"/>
          <w:color w:val="auto"/>
          <w:kern w:val="0"/>
          <w:sz w:val="24"/>
        </w:rPr>
        <w:t>日期</w:t>
      </w:r>
      <w:r>
        <w:rPr>
          <w:rFonts w:ascii="宋体" w:cs="宋体"/>
          <w:color w:val="auto"/>
          <w:kern w:val="0"/>
          <w:sz w:val="24"/>
        </w:rPr>
        <w:t xml:space="preserve"> </w:t>
      </w:r>
      <w:r>
        <w:rPr>
          <w:rFonts w:hint="eastAsia" w:ascii="宋体" w:cs="宋体"/>
          <w:color w:val="auto"/>
          <w:kern w:val="0"/>
          <w:sz w:val="24"/>
        </w:rPr>
        <w:t>：</w:t>
      </w:r>
      <w:r>
        <w:rPr>
          <w:rFonts w:ascii="宋体" w:cs="宋体"/>
          <w:color w:val="auto"/>
          <w:kern w:val="0"/>
          <w:sz w:val="24"/>
        </w:rPr>
        <w:t xml:space="preserve">     </w:t>
      </w:r>
      <w:r>
        <w:rPr>
          <w:rFonts w:hint="eastAsia" w:ascii="宋体" w:cs="宋体"/>
          <w:color w:val="auto"/>
          <w:kern w:val="0"/>
          <w:sz w:val="24"/>
        </w:rPr>
        <w:t>年</w:t>
      </w:r>
      <w:r>
        <w:rPr>
          <w:rFonts w:ascii="宋体" w:cs="宋体"/>
          <w:color w:val="auto"/>
          <w:kern w:val="0"/>
          <w:sz w:val="24"/>
        </w:rPr>
        <w:t xml:space="preserve">   </w:t>
      </w:r>
      <w:r>
        <w:rPr>
          <w:rFonts w:hint="eastAsia" w:ascii="宋体" w:cs="宋体"/>
          <w:color w:val="auto"/>
          <w:kern w:val="0"/>
          <w:sz w:val="24"/>
        </w:rPr>
        <w:t>月</w:t>
      </w:r>
      <w:r>
        <w:rPr>
          <w:rFonts w:ascii="宋体" w:cs="宋体"/>
          <w:color w:val="auto"/>
          <w:kern w:val="0"/>
          <w:sz w:val="24"/>
        </w:rPr>
        <w:t xml:space="preserve">   </w:t>
      </w:r>
      <w:r>
        <w:rPr>
          <w:rFonts w:hint="eastAsia" w:ascii="宋体" w:cs="宋体"/>
          <w:color w:val="auto"/>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color w:val="auto"/>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color w:val="auto"/>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color w:val="auto"/>
          <w:lang w:val="en-US" w:eastAsia="zh-CN"/>
        </w:rPr>
      </w:pPr>
      <w:bookmarkStart w:id="1263" w:name="_Toc1103446406"/>
      <w:bookmarkStart w:id="1264" w:name="_Toc1181005856"/>
      <w:bookmarkStart w:id="1265" w:name="_Toc27173"/>
      <w:bookmarkStart w:id="1266" w:name="_Toc81"/>
      <w:bookmarkStart w:id="1267" w:name="_Toc11939"/>
      <w:bookmarkStart w:id="1268" w:name="_Toc194120735"/>
      <w:bookmarkStart w:id="1269" w:name="_Toc29684"/>
      <w:bookmarkStart w:id="1270" w:name="_Toc541583803"/>
      <w:bookmarkStart w:id="1271" w:name="_Toc9206"/>
      <w:bookmarkStart w:id="1272" w:name="_Toc1550900441"/>
      <w:bookmarkStart w:id="1273" w:name="_Toc326653050"/>
      <w:bookmarkStart w:id="1274" w:name="_Toc28213"/>
      <w:bookmarkStart w:id="1275" w:name="_Toc276387606"/>
      <w:bookmarkStart w:id="1276" w:name="_Toc1799895403"/>
      <w:bookmarkStart w:id="1277" w:name="_Toc1097423721"/>
      <w:r>
        <w:rPr>
          <w:rFonts w:hint="eastAsia"/>
          <w:color w:val="auto"/>
          <w:lang w:val="en-US" w:eastAsia="zh-CN"/>
        </w:rPr>
        <w:t>三、附 件</w:t>
      </w:r>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p>
    <w:p w14:paraId="34D31A10">
      <w:pPr>
        <w:pageBreakBefore w:val="0"/>
        <w:kinsoku/>
        <w:wordWrap/>
        <w:overflowPunct/>
        <w:topLinePunct w:val="0"/>
        <w:bidi w:val="0"/>
        <w:adjustRightInd w:val="0"/>
        <w:snapToGrid w:val="0"/>
        <w:ind w:left="480" w:leftChars="200" w:firstLine="0" w:firstLineChars="0"/>
        <w:textAlignment w:val="auto"/>
        <w:rPr>
          <w:rFonts w:hint="eastAsia"/>
          <w:color w:val="auto"/>
          <w:lang w:val="en-US" w:eastAsia="zh-CN"/>
        </w:rPr>
      </w:pPr>
      <w:r>
        <w:rPr>
          <w:color w:val="auto"/>
        </w:rPr>
        <w:t>附件一：</w:t>
      </w:r>
      <w:r>
        <w:rPr>
          <w:color w:val="auto"/>
        </w:rPr>
        <w:br w:type="textWrapping"/>
      </w:r>
      <w:r>
        <w:rPr>
          <w:color w:val="auto"/>
        </w:rPr>
        <w:t>附件二：</w:t>
      </w:r>
      <w:r>
        <w:rPr>
          <w:color w:val="auto"/>
        </w:rPr>
        <w:br w:type="textWrapping"/>
      </w:r>
      <w:r>
        <w:rPr>
          <w:color w:val="auto"/>
        </w:rPr>
        <w:t>附件三：</w:t>
      </w:r>
    </w:p>
    <w:p w14:paraId="495DCB43">
      <w:pPr>
        <w:pageBreakBefore w:val="0"/>
        <w:kinsoku/>
        <w:wordWrap/>
        <w:overflowPunct/>
        <w:topLinePunct w:val="0"/>
        <w:bidi w:val="0"/>
        <w:adjustRightInd w:val="0"/>
        <w:snapToGrid w:val="0"/>
        <w:ind w:firstLine="480" w:firstLineChars="200"/>
        <w:textAlignment w:val="auto"/>
        <w:rPr>
          <w:rFonts w:hint="eastAsia"/>
          <w:color w:val="auto"/>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DBF4ED4">
      <w:pPr>
        <w:pStyle w:val="17"/>
        <w:keepNext w:val="0"/>
        <w:keepLines w:val="0"/>
        <w:pageBreakBefore w:val="0"/>
        <w:widowControl w:val="0"/>
        <w:kinsoku/>
        <w:wordWrap/>
        <w:overflowPunct/>
        <w:topLinePunct w:val="0"/>
        <w:bidi w:val="0"/>
        <w:adjustRightInd w:val="0"/>
        <w:snapToGrid w:val="0"/>
        <w:textAlignment w:val="auto"/>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王伟光：《不断增进“五个认同”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0E7C7E6D">
      <w:pPr>
        <w:pStyle w:val="17"/>
        <w:snapToGrid w:val="0"/>
      </w:pPr>
      <w:r>
        <w:rPr>
          <w:rStyle w:val="29"/>
          <w:rFonts w:hint="eastAsia" w:ascii="苹方" w:hAnsi="苹方" w:eastAsia="苹方" w:cs="苹方"/>
          <w:sz w:val="21"/>
          <w:szCs w:val="21"/>
        </w:rPr>
        <w:footnoteRef/>
      </w:r>
      <w:r>
        <w:rPr>
          <w:rFonts w:hint="eastAsia" w:ascii="苹方" w:hAnsi="苹方" w:eastAsia="苹方" w:cs="苹方"/>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57AEAC3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FED14"/>
    <w:multiLevelType w:val="singleLevel"/>
    <w:tmpl w:val="EBBFED14"/>
    <w:lvl w:ilvl="0" w:tentative="0">
      <w:start w:val="1"/>
      <w:numFmt w:val="chineseCounting"/>
      <w:suff w:val="nothing"/>
      <w:lvlText w:val="（%1）"/>
      <w:lvlJc w:val="left"/>
      <w:rPr>
        <w:rFonts w:hint="eastAsia"/>
      </w:rPr>
    </w:lvl>
  </w:abstractNum>
  <w:abstractNum w:abstractNumId="1">
    <w:nsid w:val="FEDF65E6"/>
    <w:multiLevelType w:val="singleLevel"/>
    <w:tmpl w:val="FEDF65E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D69AA2F"/>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EFCC80"/>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6FBEB55"/>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CFB1AA"/>
    <w:rsid w:val="7FE94C3B"/>
    <w:rsid w:val="7FFF863A"/>
    <w:rsid w:val="87D6694E"/>
    <w:rsid w:val="939FD8A6"/>
    <w:rsid w:val="9DDF58B0"/>
    <w:rsid w:val="AF7D6241"/>
    <w:rsid w:val="B17F98A5"/>
    <w:rsid w:val="BDFD99DA"/>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7EEDC20"/>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611</Words>
  <Characters>845</Characters>
  <Lines>1</Lines>
  <Paragraphs>1</Paragraphs>
  <TotalTime>0</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2024-02-10T16:52:00Z</dcterms:created>
  <dc:creator>勤策</dc:creator>
  <cp:lastModifiedBy>子夜LOVES7</cp:lastModifiedBy>
  <dcterms:modified xsi:type="dcterms:W3CDTF">2026-06-16T23:01:24Z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AF3E7A0F65BE51B30664316A677A79F1_43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