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rPr>
                <w:color w:val="auto"/>
              </w:rPr>
            </w:pPr>
            <w:r>
              <w:rPr>
                <w:rFonts w:hint="eastAsia"/>
                <w:b/>
                <w:bCs/>
                <w:color w:val="auto"/>
                <w:sz w:val="30"/>
              </w:rPr>
              <w:br w:type="page"/>
            </w:r>
            <w:r>
              <w:rPr>
                <w:rFonts w:hint="eastAsia"/>
                <w:color w:val="auto"/>
              </w:rPr>
              <w:t>分类号</w:t>
            </w:r>
          </w:p>
        </w:tc>
        <w:tc>
          <w:tcPr>
            <w:tcW w:w="1332" w:type="dxa"/>
            <w:gridSpan w:val="2"/>
            <w:tcBorders>
              <w:top w:val="nil"/>
              <w:left w:val="nil"/>
              <w:bottom w:val="dashSmallGap" w:color="auto" w:sz="4" w:space="0"/>
              <w:right w:val="nil"/>
            </w:tcBorders>
            <w:vAlign w:val="bottom"/>
          </w:tcPr>
          <w:p w14:paraId="52F8594C">
            <w:pPr>
              <w:pStyle w:val="37"/>
              <w:rPr>
                <w:b/>
                <w:bCs/>
                <w:color w:val="auto"/>
              </w:rPr>
            </w:pPr>
          </w:p>
        </w:tc>
        <w:tc>
          <w:tcPr>
            <w:tcW w:w="4203" w:type="dxa"/>
            <w:gridSpan w:val="3"/>
            <w:tcBorders>
              <w:top w:val="nil"/>
              <w:left w:val="nil"/>
              <w:bottom w:val="nil"/>
              <w:right w:val="nil"/>
            </w:tcBorders>
            <w:vAlign w:val="bottom"/>
          </w:tcPr>
          <w:p w14:paraId="0DA6361A">
            <w:pPr>
              <w:pStyle w:val="37"/>
              <w:rPr>
                <w:color w:val="auto"/>
              </w:rPr>
            </w:pPr>
          </w:p>
        </w:tc>
        <w:tc>
          <w:tcPr>
            <w:tcW w:w="922" w:type="dxa"/>
            <w:gridSpan w:val="2"/>
            <w:tcBorders>
              <w:top w:val="nil"/>
              <w:left w:val="nil"/>
              <w:bottom w:val="nil"/>
              <w:right w:val="nil"/>
            </w:tcBorders>
            <w:vAlign w:val="bottom"/>
          </w:tcPr>
          <w:p w14:paraId="2DC6DD75">
            <w:pPr>
              <w:pStyle w:val="37"/>
              <w:ind w:left="0" w:leftChars="0" w:firstLine="0" w:firstLineChars="0"/>
              <w:rPr>
                <w:color w:val="auto"/>
              </w:rPr>
            </w:pPr>
            <w:r>
              <w:rPr>
                <w:rFonts w:hint="eastAsia"/>
                <w:color w:val="auto"/>
              </w:rPr>
              <w:t>密 级</w:t>
            </w:r>
          </w:p>
        </w:tc>
        <w:tc>
          <w:tcPr>
            <w:tcW w:w="1332" w:type="dxa"/>
            <w:tcBorders>
              <w:top w:val="nil"/>
              <w:left w:val="nil"/>
              <w:bottom w:val="dashSmallGap" w:color="auto" w:sz="4" w:space="0"/>
              <w:right w:val="nil"/>
            </w:tcBorders>
            <w:vAlign w:val="bottom"/>
          </w:tcPr>
          <w:p w14:paraId="3CA868D6">
            <w:pPr>
              <w:pStyle w:val="37"/>
              <w:rPr>
                <w:color w:val="auto"/>
              </w:rPr>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rPr>
                <w:color w:val="auto"/>
              </w:rPr>
            </w:pPr>
            <w:r>
              <w:rPr>
                <w:rFonts w:hint="eastAsia"/>
                <w:color w:val="auto"/>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rPr>
                <w:color w:val="auto"/>
              </w:rPr>
            </w:pPr>
          </w:p>
        </w:tc>
        <w:tc>
          <w:tcPr>
            <w:tcW w:w="4203" w:type="dxa"/>
            <w:gridSpan w:val="3"/>
            <w:tcBorders>
              <w:top w:val="nil"/>
              <w:left w:val="nil"/>
              <w:bottom w:val="nil"/>
              <w:right w:val="nil"/>
            </w:tcBorders>
            <w:vAlign w:val="bottom"/>
          </w:tcPr>
          <w:p w14:paraId="23AC3EBA">
            <w:pPr>
              <w:pStyle w:val="37"/>
              <w:rPr>
                <w:color w:val="auto"/>
              </w:rPr>
            </w:pPr>
          </w:p>
        </w:tc>
        <w:tc>
          <w:tcPr>
            <w:tcW w:w="922" w:type="dxa"/>
            <w:gridSpan w:val="2"/>
            <w:tcBorders>
              <w:top w:val="nil"/>
              <w:left w:val="nil"/>
              <w:bottom w:val="nil"/>
              <w:right w:val="nil"/>
            </w:tcBorders>
            <w:vAlign w:val="bottom"/>
          </w:tcPr>
          <w:p w14:paraId="5BE38EE3">
            <w:pPr>
              <w:pStyle w:val="37"/>
              <w:ind w:left="0" w:leftChars="0" w:firstLine="0" w:firstLineChars="0"/>
              <w:rPr>
                <w:color w:val="auto"/>
              </w:rPr>
            </w:pPr>
            <w:r>
              <w:rPr>
                <w:rFonts w:hint="eastAsia"/>
                <w:color w:val="auto"/>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color w:val="auto"/>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color w:val="auto"/>
                <w:sz w:val="44"/>
              </w:rPr>
            </w:pPr>
            <w:r>
              <w:rPr>
                <w:rFonts w:hint="eastAsia" w:eastAsia="宋体"/>
                <w:color w:val="auto"/>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color w:val="auto"/>
                <w:sz w:val="44"/>
                <w:lang w:val="en-US" w:eastAsia="zh-CN"/>
              </w:rPr>
            </w:pPr>
          </w:p>
          <w:p w14:paraId="0358660F">
            <w:pPr>
              <w:pStyle w:val="37"/>
              <w:jc w:val="center"/>
              <w:rPr>
                <w:rFonts w:hint="default" w:eastAsia="仿宋_GB2312"/>
                <w:color w:val="auto"/>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auto"/>
                <w:sz w:val="36"/>
                <w:szCs w:val="36"/>
                <w:lang w:val="en-US" w:eastAsia="zh-CN"/>
              </w:rPr>
            </w:pPr>
            <w:r>
              <w:rPr>
                <w:rFonts w:hint="eastAsia" w:ascii="微软雅黑" w:hAnsi="微软雅黑" w:eastAsia="微软雅黑" w:cs="微软雅黑"/>
                <w:b/>
                <w:color w:val="auto"/>
                <w:sz w:val="36"/>
                <w:szCs w:val="36"/>
                <w:lang w:val="en-US" w:eastAsia="zh-CN"/>
              </w:rPr>
              <w:t>浙江省宗教界“双通”人才研修班</w:t>
            </w:r>
          </w:p>
          <w:p w14:paraId="0BD70198">
            <w:pPr>
              <w:pStyle w:val="38"/>
              <w:rPr>
                <w:rFonts w:hint="default"/>
                <w:b/>
                <w:color w:val="auto"/>
                <w:lang w:val="en-US"/>
              </w:rPr>
            </w:pPr>
            <w:r>
              <w:rPr>
                <w:rFonts w:hint="eastAsia" w:ascii="微软雅黑" w:hAnsi="微软雅黑" w:eastAsia="微软雅黑" w:cs="微软雅黑"/>
                <w:b/>
                <w:color w:val="auto"/>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auto"/>
                <w:sz w:val="32"/>
                <w:szCs w:val="32"/>
                <w:lang w:eastAsia="zh-CN"/>
              </w:rPr>
            </w:pPr>
          </w:p>
          <w:p w14:paraId="5740EEA7">
            <w:pPr>
              <w:keepNext w:val="0"/>
              <w:keepLines w:val="0"/>
              <w:widowControl/>
              <w:suppressLineNumbers w:val="0"/>
              <w:jc w:val="center"/>
              <w:rPr>
                <w:color w:val="auto"/>
              </w:rPr>
            </w:pPr>
            <w:r>
              <w:rPr>
                <w:rFonts w:hint="default" w:ascii="黑体" w:hAnsi="宋体" w:eastAsia="黑体" w:cs="黑体"/>
                <w:b/>
                <w:bCs/>
                <w:snapToGrid/>
                <w:color w:val="auto"/>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auto"/>
                <w:sz w:val="32"/>
                <w:szCs w:val="32"/>
                <w:lang w:val="en-US" w:eastAsia="zh-CN"/>
              </w:rPr>
            </w:pPr>
          </w:p>
          <w:p w14:paraId="525BDA62">
            <w:pPr>
              <w:adjustRightInd w:val="0"/>
              <w:snapToGrid w:val="0"/>
              <w:jc w:val="center"/>
              <w:rPr>
                <w:rFonts w:hint="eastAsia" w:eastAsia="宋体"/>
                <w:color w:val="auto"/>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rPr>
                <w:color w:val="auto"/>
              </w:rPr>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auto"/>
                <w:sz w:val="52"/>
              </w:rPr>
            </w:pPr>
          </w:p>
        </w:tc>
        <w:tc>
          <w:tcPr>
            <w:tcW w:w="3352" w:type="dxa"/>
            <w:gridSpan w:val="2"/>
            <w:tcBorders>
              <w:top w:val="nil"/>
              <w:left w:val="nil"/>
              <w:bottom w:val="nil"/>
              <w:right w:val="nil"/>
            </w:tcBorders>
            <w:vAlign w:val="center"/>
          </w:tcPr>
          <w:p w14:paraId="53122898">
            <w:pPr>
              <w:pStyle w:val="40"/>
              <w:ind w:firstLine="280" w:firstLineChars="100"/>
              <w:rPr>
                <w:b/>
                <w:bCs/>
                <w:color w:val="auto"/>
              </w:rPr>
            </w:pPr>
            <w:r>
              <w:rPr>
                <w:rFonts w:hint="eastAsia"/>
                <w:b/>
                <w:bCs/>
                <w:color w:val="auto"/>
                <w:lang w:val="en-US" w:eastAsia="zh-CN"/>
              </w:rPr>
              <w:t>作   者</w:t>
            </w:r>
            <w:r>
              <w:rPr>
                <w:rFonts w:hint="eastAsia"/>
                <w:b/>
                <w:bCs/>
                <w:color w:val="auto"/>
              </w:rPr>
              <w:t xml:space="preserve"> </w:t>
            </w:r>
            <w:r>
              <w:rPr>
                <w:rFonts w:hint="eastAsia"/>
                <w:b/>
                <w:bCs/>
                <w:color w:val="auto"/>
                <w:lang w:val="en-US" w:eastAsia="zh-CN"/>
              </w:rPr>
              <w:t xml:space="preserve">  </w:t>
            </w:r>
            <w:r>
              <w:rPr>
                <w:rFonts w:hint="eastAsia"/>
                <w:b/>
                <w:bCs/>
                <w:color w:val="auto"/>
              </w:rPr>
              <w:t xml:space="preserve">姓 </w:t>
            </w:r>
            <w:r>
              <w:rPr>
                <w:rFonts w:hint="eastAsia"/>
                <w:b/>
                <w:bCs/>
                <w:color w:val="auto"/>
                <w:lang w:val="en-US" w:eastAsia="zh-CN"/>
              </w:rPr>
              <w:t xml:space="preserve">  </w:t>
            </w:r>
            <w:r>
              <w:rPr>
                <w:rFonts w:hint="eastAsia"/>
                <w:b/>
                <w:bCs/>
                <w:color w:val="auto"/>
              </w:rPr>
              <w:t xml:space="preserve"> 名：</w:t>
            </w:r>
          </w:p>
        </w:tc>
        <w:tc>
          <w:tcPr>
            <w:tcW w:w="302" w:type="dxa"/>
            <w:tcBorders>
              <w:top w:val="nil"/>
              <w:left w:val="nil"/>
              <w:bottom w:val="nil"/>
              <w:right w:val="nil"/>
            </w:tcBorders>
            <w:vAlign w:val="center"/>
          </w:tcPr>
          <w:p w14:paraId="64FC411D">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color w:val="auto"/>
                <w:spacing w:val="20"/>
                <w:lang w:val="en-US" w:eastAsia="zh-CN"/>
              </w:rPr>
            </w:pPr>
            <w:r>
              <w:rPr>
                <w:rFonts w:hint="eastAsia"/>
                <w:b/>
                <w:bCs/>
                <w:color w:val="auto"/>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auto"/>
                <w:sz w:val="52"/>
              </w:rPr>
            </w:pPr>
          </w:p>
          <w:p w14:paraId="37018065">
            <w:pPr>
              <w:adjustRightInd w:val="0"/>
              <w:snapToGrid w:val="0"/>
              <w:rPr>
                <w:rFonts w:hint="eastAsia" w:eastAsia="楷体_GB2312"/>
                <w:color w:val="auto"/>
                <w:sz w:val="52"/>
              </w:rPr>
            </w:pPr>
          </w:p>
          <w:p w14:paraId="45990817">
            <w:pPr>
              <w:adjustRightInd w:val="0"/>
              <w:snapToGrid w:val="0"/>
              <w:rPr>
                <w:rFonts w:hint="eastAsia" w:eastAsia="楷体_GB2312"/>
                <w:color w:val="auto"/>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auto"/>
                <w:sz w:val="52"/>
              </w:rPr>
            </w:pPr>
          </w:p>
        </w:tc>
        <w:tc>
          <w:tcPr>
            <w:tcW w:w="3352" w:type="dxa"/>
            <w:gridSpan w:val="2"/>
            <w:tcBorders>
              <w:top w:val="nil"/>
              <w:left w:val="nil"/>
              <w:bottom w:val="nil"/>
              <w:right w:val="nil"/>
            </w:tcBorders>
            <w:vAlign w:val="center"/>
          </w:tcPr>
          <w:p w14:paraId="2C96ED63">
            <w:pPr>
              <w:pStyle w:val="40"/>
              <w:ind w:firstLine="280" w:firstLineChars="100"/>
              <w:rPr>
                <w:b/>
                <w:bCs/>
                <w:color w:val="auto"/>
              </w:rPr>
            </w:pPr>
            <w:r>
              <w:rPr>
                <w:rFonts w:hint="eastAsia"/>
                <w:b/>
                <w:bCs/>
                <w:color w:val="auto"/>
              </w:rPr>
              <w:t xml:space="preserve">学            </w:t>
            </w:r>
            <w:r>
              <w:rPr>
                <w:b/>
                <w:bCs/>
                <w:color w:val="auto"/>
              </w:rPr>
              <w:t xml:space="preserve"> </w:t>
            </w:r>
            <w:r>
              <w:rPr>
                <w:rFonts w:hint="eastAsia"/>
                <w:b/>
                <w:bCs/>
                <w:color w:val="auto"/>
              </w:rPr>
              <w:t xml:space="preserve"> 号：</w:t>
            </w:r>
          </w:p>
        </w:tc>
        <w:tc>
          <w:tcPr>
            <w:tcW w:w="302" w:type="dxa"/>
            <w:tcBorders>
              <w:top w:val="nil"/>
              <w:left w:val="nil"/>
              <w:bottom w:val="nil"/>
              <w:right w:val="nil"/>
            </w:tcBorders>
            <w:vAlign w:val="center"/>
          </w:tcPr>
          <w:p w14:paraId="56436DBB">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6CC46EA1">
            <w:pPr>
              <w:rPr>
                <w:color w:val="auto"/>
              </w:rPr>
            </w:pPr>
            <w:r>
              <w:rPr>
                <w:color w:val="auto"/>
              </w:rP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auto"/>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auto"/>
                <w:sz w:val="52"/>
              </w:rPr>
            </w:pPr>
          </w:p>
        </w:tc>
        <w:tc>
          <w:tcPr>
            <w:tcW w:w="3352" w:type="dxa"/>
            <w:gridSpan w:val="2"/>
            <w:tcBorders>
              <w:top w:val="nil"/>
              <w:left w:val="nil"/>
              <w:bottom w:val="nil"/>
              <w:right w:val="nil"/>
            </w:tcBorders>
            <w:vAlign w:val="center"/>
          </w:tcPr>
          <w:p w14:paraId="63365C72">
            <w:pPr>
              <w:pStyle w:val="40"/>
              <w:ind w:firstLine="280" w:firstLineChars="100"/>
              <w:rPr>
                <w:b/>
                <w:bCs/>
                <w:color w:val="auto"/>
              </w:rPr>
            </w:pPr>
            <w:r>
              <w:rPr>
                <w:rFonts w:hint="eastAsia"/>
                <w:b/>
                <w:bCs/>
                <w:color w:val="auto"/>
              </w:rPr>
              <w:t>指</w:t>
            </w:r>
            <w:r>
              <w:rPr>
                <w:rFonts w:hint="eastAsia"/>
                <w:b/>
                <w:bCs/>
                <w:color w:val="auto"/>
                <w:lang w:val="en-US" w:eastAsia="zh-CN"/>
              </w:rPr>
              <w:t xml:space="preserve">   </w:t>
            </w:r>
            <w:r>
              <w:rPr>
                <w:rFonts w:hint="eastAsia"/>
                <w:b/>
                <w:bCs/>
                <w:color w:val="auto"/>
              </w:rPr>
              <w:t>导</w:t>
            </w:r>
            <w:r>
              <w:rPr>
                <w:rFonts w:hint="eastAsia"/>
                <w:b/>
                <w:bCs/>
                <w:color w:val="auto"/>
                <w:lang w:val="en-US" w:eastAsia="zh-CN"/>
              </w:rPr>
              <w:t xml:space="preserve">   </w:t>
            </w:r>
            <w:r>
              <w:rPr>
                <w:rFonts w:hint="eastAsia"/>
                <w:b/>
                <w:bCs/>
                <w:color w:val="auto"/>
              </w:rPr>
              <w:t>教</w:t>
            </w:r>
            <w:r>
              <w:rPr>
                <w:rFonts w:hint="eastAsia"/>
                <w:b/>
                <w:bCs/>
                <w:color w:val="auto"/>
                <w:lang w:val="en-US" w:eastAsia="zh-CN"/>
              </w:rPr>
              <w:t xml:space="preserve">    </w:t>
            </w:r>
            <w:r>
              <w:rPr>
                <w:rFonts w:hint="eastAsia"/>
                <w:b/>
                <w:bCs/>
                <w:color w:val="auto"/>
              </w:rPr>
              <w:t>师：</w:t>
            </w:r>
          </w:p>
        </w:tc>
        <w:tc>
          <w:tcPr>
            <w:tcW w:w="302" w:type="dxa"/>
            <w:tcBorders>
              <w:top w:val="nil"/>
              <w:left w:val="nil"/>
              <w:bottom w:val="nil"/>
              <w:right w:val="nil"/>
            </w:tcBorders>
            <w:vAlign w:val="center"/>
          </w:tcPr>
          <w:p w14:paraId="0BE16A20">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color w:val="auto"/>
                <w:lang w:val="en-US" w:eastAsia="zh-CN"/>
              </w:rPr>
            </w:pPr>
            <w:r>
              <w:rPr>
                <w:rFonts w:hint="eastAsia" w:eastAsia="宋体"/>
                <w:b/>
                <w:bCs/>
                <w:color w:val="auto"/>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auto"/>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auto"/>
                <w:sz w:val="52"/>
              </w:rPr>
            </w:pPr>
          </w:p>
        </w:tc>
        <w:tc>
          <w:tcPr>
            <w:tcW w:w="3352" w:type="dxa"/>
            <w:gridSpan w:val="2"/>
            <w:tcBorders>
              <w:top w:val="nil"/>
              <w:left w:val="nil"/>
              <w:bottom w:val="nil"/>
              <w:right w:val="nil"/>
            </w:tcBorders>
            <w:vAlign w:val="center"/>
          </w:tcPr>
          <w:p w14:paraId="67F1108F">
            <w:pPr>
              <w:pStyle w:val="40"/>
              <w:ind w:firstLine="280" w:firstLineChars="100"/>
              <w:rPr>
                <w:b/>
                <w:bCs/>
                <w:color w:val="auto"/>
              </w:rPr>
            </w:pPr>
            <w:r>
              <w:rPr>
                <w:rFonts w:hint="eastAsia"/>
                <w:b/>
                <w:bCs/>
                <w:color w:val="auto"/>
              </w:rPr>
              <w:t xml:space="preserve">研   究   方  </w:t>
            </w:r>
            <w:r>
              <w:rPr>
                <w:b/>
                <w:bCs/>
                <w:color w:val="auto"/>
              </w:rPr>
              <w:t xml:space="preserve"> </w:t>
            </w:r>
            <w:r>
              <w:rPr>
                <w:rFonts w:hint="eastAsia"/>
                <w:b/>
                <w:bCs/>
                <w:color w:val="auto"/>
              </w:rPr>
              <w:t xml:space="preserve"> 向：</w:t>
            </w:r>
          </w:p>
        </w:tc>
        <w:tc>
          <w:tcPr>
            <w:tcW w:w="302" w:type="dxa"/>
            <w:tcBorders>
              <w:top w:val="nil"/>
              <w:left w:val="nil"/>
              <w:bottom w:val="nil"/>
              <w:right w:val="nil"/>
            </w:tcBorders>
            <w:vAlign w:val="center"/>
          </w:tcPr>
          <w:p w14:paraId="5F9EA1D2">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color w:val="auto"/>
                <w:lang w:val="en-US" w:eastAsia="zh-CN"/>
              </w:rPr>
            </w:pPr>
            <w:r>
              <w:rPr>
                <w:rFonts w:hint="eastAsia"/>
                <w:b/>
                <w:bCs/>
                <w:color w:val="auto"/>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auto"/>
                <w:sz w:val="52"/>
              </w:rPr>
            </w:pPr>
          </w:p>
        </w:tc>
      </w:tr>
      <w:tr w14:paraId="29C7B864">
        <w:trPr>
          <w:trHeight w:val="1718" w:hRule="atLeast"/>
          <w:jc w:val="center"/>
        </w:trPr>
        <w:tc>
          <w:tcPr>
            <w:tcW w:w="8918" w:type="dxa"/>
            <w:gridSpan w:val="9"/>
            <w:tcBorders>
              <w:top w:val="nil"/>
              <w:left w:val="nil"/>
              <w:bottom w:val="nil"/>
              <w:right w:val="nil"/>
            </w:tcBorders>
          </w:tcPr>
          <w:p w14:paraId="5442196D">
            <w:pPr>
              <w:pStyle w:val="41"/>
              <w:jc w:val="both"/>
              <w:rPr>
                <w:color w:val="auto"/>
              </w:rPr>
            </w:pPr>
          </w:p>
          <w:p w14:paraId="72B0AD01">
            <w:pPr>
              <w:pStyle w:val="41"/>
              <w:jc w:val="both"/>
              <w:rPr>
                <w:color w:val="auto"/>
              </w:rPr>
            </w:pPr>
          </w:p>
          <w:p w14:paraId="54684E14">
            <w:pPr>
              <w:jc w:val="center"/>
              <w:rPr>
                <w:color w:val="auto"/>
              </w:rPr>
            </w:pPr>
            <w:r>
              <w:rPr>
                <w:rFonts w:hint="eastAsia"/>
                <w:color w:val="auto"/>
                <w:sz w:val="28"/>
                <w:szCs w:val="28"/>
                <w:lang w:val="en-US" w:eastAsia="zh-CN"/>
              </w:rPr>
              <w:t xml:space="preserve">2026 </w:t>
            </w:r>
            <w:r>
              <w:rPr>
                <w:rFonts w:hint="eastAsia"/>
                <w:color w:val="auto"/>
                <w:sz w:val="28"/>
                <w:szCs w:val="28"/>
              </w:rPr>
              <w:t xml:space="preserve">年 </w:t>
            </w:r>
            <w:r>
              <w:rPr>
                <w:rFonts w:hint="eastAsia"/>
                <w:color w:val="auto"/>
                <w:sz w:val="28"/>
                <w:szCs w:val="28"/>
                <w:lang w:val="en-US" w:eastAsia="zh-CN"/>
              </w:rPr>
              <w:t>XX</w:t>
            </w:r>
            <w:r>
              <w:rPr>
                <w:color w:val="auto"/>
                <w:sz w:val="28"/>
                <w:szCs w:val="28"/>
              </w:rPr>
              <w:t xml:space="preserve"> </w:t>
            </w:r>
            <w:r>
              <w:rPr>
                <w:rFonts w:hint="eastAsia"/>
                <w:color w:val="auto"/>
                <w:sz w:val="28"/>
                <w:szCs w:val="28"/>
              </w:rPr>
              <w:t>月</w:t>
            </w:r>
            <w:r>
              <w:rPr>
                <w:rFonts w:hint="eastAsia"/>
                <w:color w:val="auto"/>
                <w:sz w:val="28"/>
                <w:szCs w:val="28"/>
                <w:lang w:val="en-US" w:eastAsia="zh-CN"/>
              </w:rPr>
              <w:t xml:space="preserve"> XX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color w:val="auto"/>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color w:val="auto"/>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color w:val="auto"/>
          <w:sz w:val="32"/>
          <w:szCs w:val="32"/>
        </w:rPr>
      </w:pPr>
      <w:r>
        <w:rPr>
          <w:rFonts w:hint="default" w:ascii="Times New Roman" w:hAnsi="Times New Roman" w:cs="Times New Roman"/>
          <w:bCs/>
          <w:color w:val="auto"/>
          <w:sz w:val="32"/>
          <w:szCs w:val="32"/>
        </w:rPr>
        <w:t>Title</w:t>
      </w:r>
      <w:r>
        <w:rPr>
          <w:rFonts w:hint="eastAsia" w:ascii="Times New Roman" w:hAnsi="Times New Roman" w:cs="Times New Roman"/>
          <w:bCs/>
          <w:color w:val="auto"/>
          <w:sz w:val="32"/>
          <w:szCs w:val="32"/>
          <w:lang w:val="en-US" w:eastAsia="zh-CN"/>
        </w:rPr>
        <w:t>:</w:t>
      </w:r>
      <w:r>
        <w:rPr>
          <w:rFonts w:hint="default" w:ascii="Times New Roman" w:hAnsi="Times New Roman" w:cs="Times New Roman"/>
          <w:bCs/>
          <w:color w:val="auto"/>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color w:val="auto"/>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Author</w:t>
      </w:r>
      <w:r>
        <w:rPr>
          <w:rFonts w:hint="default" w:ascii="Times New Roman" w:hAnsi="Times New Roman" w:eastAsia="楷体_GB2312" w:cs="Times New Roman"/>
          <w:b/>
          <w:bCs/>
          <w:color w:val="auto"/>
          <w:sz w:val="30"/>
          <w:szCs w:val="30"/>
        </w:rPr>
        <w:t>：</w:t>
      </w:r>
      <w:r>
        <w:rPr>
          <w:rFonts w:hint="eastAsia" w:ascii="Times New Roman" w:hAnsi="Times New Roman" w:cs="Times New Roman"/>
          <w:b/>
          <w:bCs/>
          <w:color w:val="auto"/>
          <w:sz w:val="30"/>
          <w:szCs w:val="30"/>
          <w:lang w:val="en-US" w:eastAsia="zh-CN"/>
        </w:rPr>
        <w:t xml:space="preserve">       </w:t>
      </w:r>
      <w:r>
        <w:rPr>
          <w:rFonts w:hint="eastAsia" w:cs="Times New Roman"/>
          <w:b/>
          <w:bCs/>
          <w:color w:val="auto"/>
          <w:sz w:val="30"/>
          <w:szCs w:val="30"/>
          <w:lang w:val="en-US" w:eastAsia="zh-CN"/>
        </w:rPr>
        <w:t xml:space="preserve">    </w:t>
      </w:r>
      <w:r>
        <w:rPr>
          <w:rFonts w:hint="eastAsia" w:ascii="Times New Roman" w:hAnsi="Times New Roman" w:cs="Times New Roman"/>
          <w:b/>
          <w:bCs/>
          <w:color w:val="auto"/>
          <w:sz w:val="30"/>
          <w:szCs w:val="30"/>
          <w:lang w:val="en-US" w:eastAsia="zh-CN"/>
        </w:rPr>
        <w:t xml:space="preserve">    </w:t>
      </w:r>
      <w:r>
        <w:rPr>
          <w:rFonts w:hint="default" w:eastAsia="楷体_GB2312" w:cs="Times New Roman"/>
          <w:b/>
          <w:bCs/>
          <w:color w:val="auto"/>
          <w:sz w:val="30"/>
          <w:szCs w:val="30"/>
          <w:lang w:val="en-US" w:eastAsia="zh-CN"/>
        </w:rPr>
        <w:t>Y</w:t>
      </w:r>
      <w:r>
        <w:rPr>
          <w:rFonts w:hint="eastAsia" w:eastAsia="楷体_GB2312" w:cs="Times New Roman"/>
          <w:b/>
          <w:bCs/>
          <w:color w:val="auto"/>
          <w:sz w:val="30"/>
          <w:szCs w:val="30"/>
          <w:lang w:val="en-US" w:eastAsia="zh-CN"/>
        </w:rPr>
        <w:t xml:space="preserve">e </w:t>
      </w:r>
      <w:r>
        <w:rPr>
          <w:rFonts w:hint="default" w:eastAsia="楷体_GB2312" w:cs="Times New Roman"/>
          <w:b/>
          <w:bCs/>
          <w:color w:val="auto"/>
          <w:sz w:val="30"/>
          <w:szCs w:val="30"/>
          <w:lang w:val="en-US" w:eastAsia="zh-CN"/>
        </w:rPr>
        <w:t>W</w:t>
      </w:r>
      <w:r>
        <w:rPr>
          <w:rFonts w:hint="eastAsia" w:eastAsia="楷体_GB2312" w:cs="Times New Roman"/>
          <w:b/>
          <w:bCs/>
          <w:color w:val="auto"/>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lang w:val="en-US"/>
        </w:rPr>
        <w:t>R</w:t>
      </w:r>
      <w:r>
        <w:rPr>
          <w:rFonts w:hint="default" w:ascii="Times New Roman" w:hAnsi="Times New Roman" w:cs="Times New Roman"/>
          <w:b/>
          <w:bCs/>
          <w:color w:val="auto"/>
          <w:sz w:val="30"/>
          <w:szCs w:val="30"/>
        </w:rPr>
        <w:t>eligion：</w:t>
      </w:r>
      <w:r>
        <w:rPr>
          <w:rFonts w:hint="eastAsia" w:ascii="Times New Roman" w:hAnsi="Times New Roman" w:cs="Times New Roman"/>
          <w:b/>
          <w:bCs/>
          <w:color w:val="auto"/>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Supervisor：</w:t>
      </w:r>
      <w:r>
        <w:rPr>
          <w:rFonts w:hint="eastAsia" w:ascii="Times New Roman" w:hAnsi="Times New Roman" w:cs="Times New Roman"/>
          <w:b/>
          <w:bCs/>
          <w:color w:val="auto"/>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color w:val="auto"/>
          <w:kern w:val="2"/>
          <w:sz w:val="30"/>
          <w:szCs w:val="30"/>
          <w:lang w:val="en-US" w:eastAsia="zh-CN" w:bidi="ar-SA"/>
        </w:rPr>
      </w:pPr>
      <w:r>
        <w:rPr>
          <w:color w:val="auto"/>
        </w:rP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color w:val="auto"/>
        </w:rPr>
      </w:pPr>
      <w:r>
        <w:rPr>
          <w:rFonts w:ascii="Times New Roman" w:hAnsi="Times New Roman" w:cs="Times New Roman"/>
          <w:color w:val="auto"/>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color w:val="auto"/>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bidi w:val="0"/>
        <w:rPr>
          <w:rFonts w:hint="eastAsia"/>
          <w:lang w:eastAsia="zh-CN"/>
        </w:rPr>
      </w:pPr>
      <w:bookmarkStart w:id="0" w:name="_Toc1715546296"/>
      <w:bookmarkStart w:id="1" w:name="_Toc1544488105"/>
      <w:bookmarkStart w:id="2" w:name="_Toc18544"/>
      <w:bookmarkStart w:id="3" w:name="_Toc290983561"/>
      <w:bookmarkStart w:id="4" w:name="_Toc246172426"/>
      <w:bookmarkStart w:id="5" w:name="_Toc20200"/>
      <w:bookmarkStart w:id="6" w:name="_Toc31961"/>
      <w:bookmarkStart w:id="7" w:name="_Toc379257105"/>
      <w:bookmarkStart w:id="8" w:name="_Toc11059"/>
      <w:bookmarkStart w:id="9" w:name="_Toc362486656"/>
      <w:bookmarkStart w:id="10" w:name="_Toc8830"/>
      <w:bookmarkStart w:id="11" w:name="_Toc828490391"/>
      <w:bookmarkStart w:id="12" w:name="_Toc28263"/>
      <w:bookmarkStart w:id="13" w:name="_Toc1705937017"/>
      <w:bookmarkStart w:id="14" w:name="_Toc19856"/>
      <w:bookmarkStart w:id="15" w:name="_Toc1471807053"/>
      <w:bookmarkStart w:id="16" w:name="_Toc952702429"/>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color w:val="auto"/>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color w:val="auto"/>
          <w:lang w:val="en-US" w:eastAsia="zh-CN"/>
        </w:rPr>
        <w:t>Agape</w:t>
      </w:r>
      <w:r>
        <w:rPr>
          <w:rFonts w:hint="eastAsia" w:ascii="宋体" w:hAnsi="宋体" w:eastAsia="宋体" w:cs="宋体"/>
          <w:color w:val="auto"/>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color w:val="auto"/>
          <w:lang w:val="en-US" w:eastAsia="zh-CN"/>
        </w:rPr>
      </w:pPr>
      <w:r>
        <w:rPr>
          <w:rFonts w:hint="eastAsia" w:ascii="宋体" w:hAnsi="宋体" w:eastAsia="宋体" w:cs="宋体"/>
          <w:color w:val="auto"/>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auto"/>
          <w:lang w:eastAsia="zh-CN"/>
        </w:rPr>
      </w:pPr>
      <w:r>
        <w:rPr>
          <w:rFonts w:hint="eastAsia"/>
          <w:color w:val="auto"/>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color w:val="auto"/>
          <w:lang w:val="en-US" w:eastAsia="zh-CN"/>
        </w:rPr>
      </w:pPr>
      <w:bookmarkStart w:id="17" w:name="_Toc1944493625"/>
      <w:bookmarkStart w:id="18" w:name="_Toc3181"/>
      <w:bookmarkStart w:id="19" w:name="_Toc26499"/>
      <w:bookmarkStart w:id="20" w:name="_Toc23274"/>
      <w:bookmarkStart w:id="21" w:name="_Toc1366459660"/>
      <w:bookmarkStart w:id="22" w:name="_Toc442699439"/>
      <w:bookmarkStart w:id="23" w:name="_Toc740445508"/>
      <w:bookmarkStart w:id="24" w:name="_Toc629273622"/>
      <w:bookmarkStart w:id="25" w:name="_Toc154034389"/>
      <w:bookmarkStart w:id="26" w:name="_Toc1576739446"/>
      <w:bookmarkStart w:id="27" w:name="_Toc1071152250"/>
      <w:bookmarkStart w:id="28" w:name="_Toc13702"/>
      <w:bookmarkStart w:id="29" w:name="_Toc25068"/>
      <w:bookmarkStart w:id="30" w:name="_Toc2049604500"/>
      <w:bookmarkStart w:id="31" w:name="_Toc431652171"/>
      <w:r>
        <w:rPr>
          <w:color w:val="FF0000"/>
        </w:rPr>
        <w:t>A</w:t>
      </w:r>
      <w:r>
        <w:rPr>
          <w:rFonts w:hint="eastAsia"/>
          <w:lang w:val="en-US" w:eastAsia="zh-CN"/>
          <w:color w:val="FF0000"/>
        </w:rPr>
        <w:t>bstract</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1AF21548">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color w:val="auto"/>
        </w:rP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color w:val="auto"/>
          <w:sz w:val="32"/>
          <w:szCs w:val="32"/>
          <w:lang w:val="en-US" w:eastAsia="zh-CN"/>
        </w:rPr>
      </w:pPr>
      <w:bookmarkStart w:id="32" w:name="_Toc3063"/>
      <w:bookmarkStart w:id="33" w:name="_Toc12205"/>
      <w:bookmarkStart w:id="34" w:name="_Toc28965"/>
      <w:bookmarkStart w:id="35" w:name="_Toc27475"/>
      <w:bookmarkStart w:id="36" w:name="_Toc2948"/>
      <w:bookmarkStart w:id="37" w:name="_Toc30510"/>
      <w:bookmarkStart w:id="38" w:name="_Toc23833"/>
      <w:bookmarkStart w:id="39" w:name="_Toc31026"/>
      <w:bookmarkStart w:id="40" w:name="_Toc29976"/>
      <w:bookmarkStart w:id="41" w:name="_Toc11803"/>
      <w:bookmarkStart w:id="42" w:name="_Toc16558"/>
      <w:bookmarkStart w:id="43" w:name="_Toc23385"/>
      <w:bookmarkStart w:id="44" w:name="_Toc26892"/>
      <w:bookmarkStart w:id="45" w:name="_Toc14832"/>
      <w:bookmarkStart w:id="46" w:name="_Toc160"/>
      <w:bookmarkStart w:id="47" w:name="_Toc23585"/>
      <w:r>
        <w:rPr>
          <w:rFonts w:hint="eastAsia" w:ascii="黑体" w:hAnsi="黑体" w:eastAsia="黑体" w:cs="黑体"/>
          <w:b/>
          <w:bCs/>
          <w:color w:val="auto"/>
          <w:sz w:val="32"/>
          <w:szCs w:val="32"/>
          <w:lang w:val="en-US" w:eastAsia="zh-CN"/>
        </w:rPr>
        <w:br w:type="page"/>
      </w:r>
    </w:p>
    <w:p w14:paraId="5DEFBEBA">
      <w:pPr>
        <w:tabs>
          <w:tab w:val="right" w:leader="dot" w:pos="9071"/>
        </w:tabs>
        <w:spacing w:before="0" w:after="0" w:line="360" w:lineRule="auto"/>
        <w:ind w:left="0" w:leftChars="0" w:firstLine="0" w:firstLineChars="0"/>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目  录</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56D1C486">
      <w:pPr>
        <w:pStyle w:val="15"/>
        <w:tabs>
          <w:tab w:val="right" w:leader="dot" w:pos="8786"/>
        </w:tabs>
      </w:pPr>
      <w:r>
        <w:rPr>
          <w:rFonts w:hint="eastAsia" w:ascii="黑体" w:hAnsi="黑体" w:eastAsia="黑体" w:cs="黑体"/>
          <w:b/>
          <w:bCs/>
          <w:color w:val="auto"/>
          <w:sz w:val="32"/>
          <w:szCs w:val="32"/>
          <w:lang w:val="en-US" w:eastAsia="zh-CN"/>
        </w:rPr>
        <w:fldChar w:fldCharType="begin"/>
      </w:r>
      <w:r>
        <w:rPr>
          <w:rFonts w:hint="eastAsia" w:ascii="黑体" w:hAnsi="黑体" w:eastAsia="黑体" w:cs="黑体"/>
          <w:b/>
          <w:bCs/>
          <w:color w:val="auto"/>
          <w:sz w:val="32"/>
          <w:szCs w:val="32"/>
          <w:lang w:val="en-US" w:eastAsia="zh-CN"/>
        </w:rPr>
        <w:instrText xml:space="preserve">TOC \o "1-4" \h \u </w:instrText>
      </w:r>
      <w:r>
        <w:rPr>
          <w:rFonts w:hint="eastAsia" w:ascii="黑体" w:hAnsi="黑体" w:eastAsia="黑体" w:cs="黑体"/>
          <w:b/>
          <w:bCs/>
          <w:color w:val="auto"/>
          <w:sz w:val="32"/>
          <w:szCs w:val="32"/>
          <w:lang w:val="en-US" w:eastAsia="zh-CN"/>
        </w:rPr>
        <w:fldChar w:fldCharType="separate"/>
      </w: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_Toc952702429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_Toc952702429 \h </w:instrText>
      </w:r>
      <w:r>
        <w:fldChar w:fldCharType="separate"/>
      </w:r>
      <w:r>
        <w:t>III</w:t>
      </w:r>
      <w:r>
        <w:fldChar w:fldCharType="end"/>
      </w:r>
      <w:r>
        <w:rPr>
          <w:rFonts w:hint="eastAsia" w:ascii="黑体" w:hAnsi="黑体" w:eastAsia="黑体" w:cs="黑体"/>
          <w:bCs/>
          <w:color w:val="auto"/>
          <w:szCs w:val="32"/>
          <w:lang w:val="en-US" w:eastAsia="zh-CN"/>
        </w:rPr>
        <w:fldChar w:fldCharType="end"/>
      </w:r>
    </w:p>
    <w:p w14:paraId="5C92AE34">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_Toc431652171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_Toc431652171 \h </w:instrText>
      </w:r>
      <w:r>
        <w:fldChar w:fldCharType="separate"/>
      </w:r>
      <w:r>
        <w:t>IV</w:t>
      </w:r>
      <w:r>
        <w:fldChar w:fldCharType="end"/>
      </w:r>
      <w:r>
        <w:rPr>
          <w:rFonts w:hint="eastAsia" w:ascii="黑体" w:hAnsi="黑体" w:eastAsia="黑体" w:cs="黑体"/>
          <w:bCs/>
          <w:color w:val="auto"/>
          <w:szCs w:val="32"/>
          <w:lang w:val="en-US" w:eastAsia="zh-CN"/>
        </w:rPr>
        <w:fldChar w:fldCharType="end"/>
      </w:r>
    </w:p>
    <w:p w14:paraId="2BE8E4A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_Toc578278431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_Toc578278431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78D41F6B">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_Toc1762087142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_Toc1762087142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6B3A6E0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_Toc1599103464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_Toc1599103464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1FD7C17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_Toc374077243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_Toc374077243 \h </w:instrText>
      </w:r>
      <w:r>
        <w:fldChar w:fldCharType="separate"/>
      </w:r>
      <w:r>
        <w:t>2</w:t>
      </w:r>
      <w:r>
        <w:fldChar w:fldCharType="end"/>
      </w:r>
      <w:r>
        <w:rPr>
          <w:rFonts w:hint="eastAsia" w:ascii="黑体" w:hAnsi="黑体" w:eastAsia="黑体" w:cs="黑体"/>
          <w:bCs/>
          <w:color w:val="auto"/>
          <w:szCs w:val="32"/>
          <w:lang w:val="en-US" w:eastAsia="zh-CN"/>
        </w:rPr>
        <w:fldChar w:fldCharType="end"/>
      </w:r>
    </w:p>
    <w:p w14:paraId="32EA9283">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_Toc1431588332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_Toc1431588332 \h </w:instrText>
      </w:r>
      <w:r>
        <w:fldChar w:fldCharType="separate"/>
      </w:r>
      <w:r>
        <w:t>3</w:t>
      </w:r>
      <w:r>
        <w:fldChar w:fldCharType="end"/>
      </w:r>
      <w:r>
        <w:rPr>
          <w:rFonts w:hint="eastAsia" w:ascii="黑体" w:hAnsi="黑体" w:eastAsia="黑体" w:cs="黑体"/>
          <w:bCs/>
          <w:color w:val="auto"/>
          <w:szCs w:val="32"/>
          <w:lang w:val="en-US" w:eastAsia="zh-CN"/>
        </w:rPr>
        <w:fldChar w:fldCharType="end"/>
      </w:r>
    </w:p>
    <w:p w14:paraId="088B833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_Toc298314936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_Toc298314936 \h </w:instrText>
      </w:r>
      <w:r>
        <w:fldChar w:fldCharType="separate"/>
      </w:r>
      <w:r>
        <w:t>3</w:t>
      </w:r>
      <w:r>
        <w:fldChar w:fldCharType="end"/>
      </w:r>
      <w:r>
        <w:rPr>
          <w:rFonts w:hint="eastAsia" w:ascii="黑体" w:hAnsi="黑体" w:eastAsia="黑体" w:cs="黑体"/>
          <w:bCs/>
          <w:color w:val="auto"/>
          <w:szCs w:val="32"/>
          <w:lang w:val="en-US" w:eastAsia="zh-CN"/>
        </w:rPr>
        <w:fldChar w:fldCharType="end"/>
      </w:r>
    </w:p>
    <w:p w14:paraId="703D088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_Toc1552297254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_Toc1552297254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3CF6AC1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_Toc1828604222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_Toc1828604222 \h </w:instrText>
      </w:r>
      <w:r>
        <w:fldChar w:fldCharType="separate"/>
      </w:r>
      <w:r>
        <w:t>5</w:t>
      </w:r>
      <w:r>
        <w:fldChar w:fldCharType="end"/>
      </w:r>
      <w:r>
        <w:rPr>
          <w:rFonts w:hint="eastAsia" w:ascii="黑体" w:hAnsi="黑体" w:eastAsia="黑体" w:cs="黑体"/>
          <w:bCs/>
          <w:color w:val="auto"/>
          <w:szCs w:val="32"/>
          <w:lang w:val="en-US" w:eastAsia="zh-CN"/>
        </w:rPr>
        <w:fldChar w:fldCharType="end"/>
      </w:r>
    </w:p>
    <w:p w14:paraId="1C22627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_Toc712686937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_Toc712686937 \h </w:instrText>
      </w:r>
      <w:r>
        <w:fldChar w:fldCharType="separate"/>
      </w:r>
      <w:r>
        <w:t>7</w:t>
      </w:r>
      <w:r>
        <w:fldChar w:fldCharType="end"/>
      </w:r>
      <w:r>
        <w:rPr>
          <w:rFonts w:hint="eastAsia" w:ascii="黑体" w:hAnsi="黑体" w:eastAsia="黑体" w:cs="黑体"/>
          <w:bCs/>
          <w:color w:val="auto"/>
          <w:szCs w:val="32"/>
          <w:lang w:val="en-US" w:eastAsia="zh-CN"/>
        </w:rPr>
        <w:fldChar w:fldCharType="end"/>
      </w:r>
    </w:p>
    <w:p w14:paraId="681341C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_Toc1613050840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_Toc1613050840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7634210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_Toc711908152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_Toc711908152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3C9EB25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_Toc1408913227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_Toc1408913227 \h </w:instrText>
      </w:r>
      <w:r>
        <w:fldChar w:fldCharType="separate"/>
      </w:r>
      <w:r>
        <w:t>8</w:t>
      </w:r>
      <w:r>
        <w:fldChar w:fldCharType="end"/>
      </w:r>
      <w:r>
        <w:rPr>
          <w:rFonts w:hint="eastAsia" w:ascii="黑体" w:hAnsi="黑体" w:eastAsia="黑体" w:cs="黑体"/>
          <w:bCs/>
          <w:color w:val="auto"/>
          <w:szCs w:val="32"/>
          <w:lang w:val="en-US" w:eastAsia="zh-CN"/>
        </w:rPr>
        <w:fldChar w:fldCharType="end"/>
      </w:r>
    </w:p>
    <w:p w14:paraId="2BA714F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_Toc1449914367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_Toc1449914367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4E74E19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_Toc1213823660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_Toc1213823660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3E2ED65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_Toc1787090767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_Toc1787090767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76101F9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_Toc928234027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_Toc928234027 \h </w:instrText>
      </w:r>
      <w:r>
        <w:fldChar w:fldCharType="separate"/>
      </w:r>
      <w:r>
        <w:t>10</w:t>
      </w:r>
      <w:r>
        <w:fldChar w:fldCharType="end"/>
      </w:r>
      <w:r>
        <w:rPr>
          <w:rFonts w:hint="eastAsia" w:ascii="黑体" w:hAnsi="黑体" w:eastAsia="黑体" w:cs="黑体"/>
          <w:bCs/>
          <w:color w:val="auto"/>
          <w:szCs w:val="32"/>
          <w:lang w:val="en-US" w:eastAsia="zh-CN"/>
        </w:rPr>
        <w:fldChar w:fldCharType="end"/>
      </w:r>
    </w:p>
    <w:p w14:paraId="21826E4E">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_Toc1508079981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_Toc1508079981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09FC17DA">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_Toc1698238773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_Toc1698238773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5394EE6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_Toc93905534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_Toc93905534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0341838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_Toc2017313040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_Toc2017313040 \h </w:instrText>
      </w:r>
      <w:r>
        <w:fldChar w:fldCharType="separate"/>
      </w:r>
      <w:r>
        <w:t>13</w:t>
      </w:r>
      <w:r>
        <w:fldChar w:fldCharType="end"/>
      </w:r>
      <w:r>
        <w:rPr>
          <w:rFonts w:hint="eastAsia" w:ascii="黑体" w:hAnsi="黑体" w:eastAsia="黑体" w:cs="黑体"/>
          <w:bCs/>
          <w:color w:val="auto"/>
          <w:szCs w:val="32"/>
          <w:lang w:val="en-US" w:eastAsia="zh-CN"/>
        </w:rPr>
        <w:fldChar w:fldCharType="end"/>
      </w:r>
    </w:p>
    <w:p w14:paraId="13ABA3C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_Toc508444444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_Toc508444444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4149076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_Toc588338895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_Toc588338895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53FB80D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_Toc1197097477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_Toc1197097477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5CD8D41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_Toc1990490843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_Toc1990490843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37CD4C5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_Toc679345335 </w:instrText>
      </w:r>
      <w:r>
        <w:rPr>
          <w:rFonts w:hint="eastAsia" w:ascii="黑体" w:hAnsi="黑体" w:eastAsia="黑体" w:cs="黑体"/>
          <w:bCs/>
          <w:szCs w:val="32"/>
          <w:lang w:val="en-US" w:eastAsia="zh-CN"/>
        </w:rPr>
        <w:fldChar w:fldCharType="separate"/>
      </w:r>
      <w:r>
        <w:t>第三节 研究的理论基础与分析框架</w:t>
      </w:r>
      <w:r>
        <w:tab/>
      </w:r>
      <w:r>
        <w:fldChar w:fldCharType="begin"/>
      </w:r>
      <w:r>
        <w:instrText xml:space="preserve"> PAGEREF _Toc679345335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4E7860D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_Toc1733977893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_Toc1733977893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6D59E49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_Toc1613357861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_Toc1613357861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768B5A5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_Toc1577042805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_Toc1577042805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452D8CB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_Toc1115252361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_Toc1115252361 \h </w:instrText>
      </w:r>
      <w:r>
        <w:fldChar w:fldCharType="separate"/>
      </w:r>
      <w:r>
        <w:t>17</w:t>
      </w:r>
      <w:r>
        <w:fldChar w:fldCharType="end"/>
      </w:r>
      <w:r>
        <w:rPr>
          <w:rFonts w:hint="eastAsia" w:ascii="黑体" w:hAnsi="黑体" w:eastAsia="黑体" w:cs="黑体"/>
          <w:bCs/>
          <w:color w:val="auto"/>
          <w:szCs w:val="32"/>
          <w:lang w:val="en-US" w:eastAsia="zh-CN"/>
        </w:rPr>
        <w:fldChar w:fldCharType="end"/>
      </w:r>
    </w:p>
    <w:p w14:paraId="474B5EA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_Toc809160311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_Toc809160311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67AFAFA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_Toc1690894173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_Toc1690894173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20243AE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_Toc1207264860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_Toc1207264860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4A224B6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_Toc1075005164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_Toc1075005164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403F748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_Toc831869137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_Toc831869137 \h </w:instrText>
      </w:r>
      <w:r>
        <w:fldChar w:fldCharType="separate"/>
      </w:r>
      <w:r>
        <w:t>19</w:t>
      </w:r>
      <w:r>
        <w:fldChar w:fldCharType="end"/>
      </w:r>
      <w:r>
        <w:rPr>
          <w:rFonts w:hint="eastAsia" w:ascii="黑体" w:hAnsi="黑体" w:eastAsia="黑体" w:cs="黑体"/>
          <w:bCs/>
          <w:color w:val="auto"/>
          <w:szCs w:val="32"/>
          <w:lang w:val="en-US" w:eastAsia="zh-CN"/>
        </w:rPr>
        <w:fldChar w:fldCharType="end"/>
      </w:r>
    </w:p>
    <w:p w14:paraId="6775B67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_Toc1106043589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_Toc1106043589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56A84D9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_Toc656151891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_Toc656151891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1F4FDED0">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_Toc616304692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_Toc616304692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548A026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_Toc919328963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_Toc919328963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456BA21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_Toc17040976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_Toc17040976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10DC0DC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_Toc792358581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_Toc792358581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11E74D8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_Toc624575820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_Toc624575820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477F561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_Toc345740204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_Toc345740204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77B1179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_Toc1912343493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_Toc1912343493 \h </w:instrText>
      </w:r>
      <w:r>
        <w:fldChar w:fldCharType="separate"/>
      </w:r>
      <w:r>
        <w:t>25</w:t>
      </w:r>
      <w:r>
        <w:fldChar w:fldCharType="end"/>
      </w:r>
      <w:r>
        <w:rPr>
          <w:rFonts w:hint="eastAsia" w:ascii="黑体" w:hAnsi="黑体" w:eastAsia="黑体" w:cs="黑体"/>
          <w:bCs/>
          <w:color w:val="auto"/>
          <w:szCs w:val="32"/>
          <w:lang w:val="en-US" w:eastAsia="zh-CN"/>
        </w:rPr>
        <w:fldChar w:fldCharType="end"/>
      </w:r>
    </w:p>
    <w:p w14:paraId="19A4FFC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_Toc1516825849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_Toc1516825849 \h </w:instrText>
      </w:r>
      <w:r>
        <w:fldChar w:fldCharType="separate"/>
      </w:r>
      <w:r>
        <w:t>26</w:t>
      </w:r>
      <w:r>
        <w:fldChar w:fldCharType="end"/>
      </w:r>
      <w:r>
        <w:rPr>
          <w:rFonts w:hint="eastAsia" w:ascii="黑体" w:hAnsi="黑体" w:eastAsia="黑体" w:cs="黑体"/>
          <w:bCs/>
          <w:color w:val="auto"/>
          <w:szCs w:val="32"/>
          <w:lang w:val="en-US" w:eastAsia="zh-CN"/>
        </w:rPr>
        <w:fldChar w:fldCharType="end"/>
      </w:r>
    </w:p>
    <w:p w14:paraId="5A521715">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_Toc513670606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_Toc513670606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510ED484">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_Toc377614102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_Toc377614102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2C51D18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_Toc746035429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_Toc746035429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0A6A46C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_Toc1607924017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_Toc1607924017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1558BBA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_Toc444739871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_Toc444739871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351448C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_Toc1499920337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_Toc1499920337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7C2A478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_Toc1998055473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_Toc1998055473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46649E5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_Toc1116546572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_Toc1116546572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0204C0A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_Toc1086128118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_Toc1086128118 \h </w:instrText>
      </w:r>
      <w:r>
        <w:fldChar w:fldCharType="separate"/>
      </w:r>
      <w:r>
        <w:t>29</w:t>
      </w:r>
      <w:r>
        <w:fldChar w:fldCharType="end"/>
      </w:r>
      <w:r>
        <w:rPr>
          <w:rFonts w:hint="eastAsia" w:ascii="黑体" w:hAnsi="黑体" w:eastAsia="黑体" w:cs="黑体"/>
          <w:bCs/>
          <w:color w:val="auto"/>
          <w:szCs w:val="32"/>
          <w:lang w:val="en-US" w:eastAsia="zh-CN"/>
        </w:rPr>
        <w:fldChar w:fldCharType="end"/>
      </w:r>
    </w:p>
    <w:p w14:paraId="68A1807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_Toc944279726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_Toc944279726 \h </w:instrText>
      </w:r>
      <w:r>
        <w:fldChar w:fldCharType="separate"/>
      </w:r>
      <w:r>
        <w:t>29</w:t>
      </w:r>
      <w:r>
        <w:fldChar w:fldCharType="end"/>
      </w:r>
      <w:r>
        <w:rPr>
          <w:rFonts w:hint="eastAsia" w:ascii="黑体" w:hAnsi="黑体" w:eastAsia="黑体" w:cs="黑体"/>
          <w:bCs/>
          <w:color w:val="auto"/>
          <w:szCs w:val="32"/>
          <w:lang w:val="en-US" w:eastAsia="zh-CN"/>
        </w:rPr>
        <w:fldChar w:fldCharType="end"/>
      </w:r>
    </w:p>
    <w:p w14:paraId="49F26DB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_Toc605203552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_Toc605203552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1D559DD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_Toc1173546272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_Toc1173546272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2F451B8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_Toc1302379456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_Toc1302379456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4DB5A37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_Toc1938186768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_Toc1938186768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11E99615">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_Toc2073052080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_Toc2073052080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776527C0">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_Toc1011619632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_Toc1011619632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22A39E1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_Toc663121725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_Toc663121725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0F95F7E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_Toc1794187792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_Toc1794187792 \h </w:instrText>
      </w:r>
      <w:r>
        <w:fldChar w:fldCharType="separate"/>
      </w:r>
      <w:r>
        <w:t>32</w:t>
      </w:r>
      <w:r>
        <w:fldChar w:fldCharType="end"/>
      </w:r>
      <w:r>
        <w:rPr>
          <w:rFonts w:hint="eastAsia" w:ascii="黑体" w:hAnsi="黑体" w:eastAsia="黑体" w:cs="黑体"/>
          <w:bCs/>
          <w:color w:val="auto"/>
          <w:szCs w:val="32"/>
          <w:lang w:val="en-US" w:eastAsia="zh-CN"/>
        </w:rPr>
        <w:fldChar w:fldCharType="end"/>
      </w:r>
    </w:p>
    <w:p w14:paraId="555738F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_Toc2096332617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_Toc2096332617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740B462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_Toc1445581237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_Toc1445581237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6937E0C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_Toc1401351748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_Toc1401351748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153717B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_Toc1065671987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_Toc1065671987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22F88EF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_Toc735469529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_Toc735469529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33FD3D2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_Toc120501771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_Toc120501771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58DA1EC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_Toc196186076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_Toc196186076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3676039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_Toc911981187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_Toc911981187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0F313C9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_Toc1077021270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_Toc1077021270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59743CD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_Toc356824327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_Toc356824327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26383E5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_Toc1372121465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_Toc1372121465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6263062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_Toc1566060769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_Toc1566060769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1F4455EF">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_Toc1223766951 </w:instrText>
      </w:r>
      <w:r>
        <w:rPr>
          <w:rFonts w:hint="eastAsia" w:ascii="黑体" w:hAnsi="黑体" w:eastAsia="黑体" w:cs="黑体"/>
          <w:bCs/>
          <w:szCs w:val="32"/>
          <w:lang w:val="en-US" w:eastAsia="zh-CN"/>
        </w:rPr>
        <w:fldChar w:fldCharType="separate"/>
      </w:r>
      <w:r>
        <w:rPr>
          <w:rFonts w:hint="eastAsia"/>
          <w:bCs w:val="0"/>
        </w:rPr>
        <w:t xml:space="preserve">（一） </w:t>
      </w:r>
      <w:r>
        <w:rPr>
          <w:bCs w:val="0"/>
        </w:rPr>
        <w:t>信众价值认同度评估。</w:t>
      </w:r>
      <w:r>
        <w:tab/>
      </w:r>
      <w:r>
        <w:fldChar w:fldCharType="begin"/>
      </w:r>
      <w:r>
        <w:instrText xml:space="preserve"> PAGEREF _Toc1223766951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31A20621">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_Toc1400258138 </w:instrText>
      </w:r>
      <w:r>
        <w:rPr>
          <w:rFonts w:hint="eastAsia" w:ascii="黑体" w:hAnsi="黑体" w:eastAsia="黑体" w:cs="黑体"/>
          <w:bCs/>
          <w:szCs w:val="32"/>
          <w:lang w:val="en-US" w:eastAsia="zh-CN"/>
        </w:rPr>
        <w:fldChar w:fldCharType="separate"/>
      </w:r>
      <w:r>
        <w:rPr>
          <w:rFonts w:hint="eastAsia"/>
          <w:bCs w:val="0"/>
        </w:rPr>
        <w:t xml:space="preserve">（二） </w:t>
      </w:r>
      <w:r>
        <w:rPr>
          <w:bCs w:val="0"/>
        </w:rPr>
        <w:t>公益活动社会影响评估。</w:t>
      </w:r>
      <w:r>
        <w:tab/>
      </w:r>
      <w:r>
        <w:fldChar w:fldCharType="begin"/>
      </w:r>
      <w:r>
        <w:instrText xml:space="preserve"> PAGEREF _Toc1400258138 \h </w:instrText>
      </w:r>
      <w:r>
        <w:fldChar w:fldCharType="separate"/>
      </w:r>
      <w:r>
        <w:t>40</w:t>
      </w:r>
      <w:r>
        <w:fldChar w:fldCharType="end"/>
      </w:r>
      <w:r>
        <w:rPr>
          <w:rFonts w:hint="eastAsia" w:ascii="黑体" w:hAnsi="黑体" w:eastAsia="黑体" w:cs="黑体"/>
          <w:bCs/>
          <w:color w:val="auto"/>
          <w:szCs w:val="32"/>
          <w:lang w:val="en-US" w:eastAsia="zh-CN"/>
        </w:rPr>
        <w:fldChar w:fldCharType="end"/>
      </w:r>
    </w:p>
    <w:p w14:paraId="0C98C992">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_Toc2012721540 </w:instrText>
      </w:r>
      <w:r>
        <w:rPr>
          <w:rFonts w:hint="eastAsia" w:ascii="黑体" w:hAnsi="黑体" w:eastAsia="黑体" w:cs="黑体"/>
          <w:bCs/>
          <w:szCs w:val="32"/>
          <w:lang w:val="en-US" w:eastAsia="zh-CN"/>
        </w:rPr>
        <w:fldChar w:fldCharType="separate"/>
      </w:r>
      <w:r>
        <w:rPr>
          <w:rFonts w:hint="eastAsia"/>
          <w:bCs w:val="0"/>
        </w:rPr>
        <w:t xml:space="preserve">（三） </w:t>
      </w:r>
      <w:r>
        <w:rPr>
          <w:bCs w:val="0"/>
        </w:rPr>
        <w:t>教义阐释质量评估。</w:t>
      </w:r>
      <w:r>
        <w:tab/>
      </w:r>
      <w:r>
        <w:fldChar w:fldCharType="begin"/>
      </w:r>
      <w:r>
        <w:instrText xml:space="preserve"> PAGEREF _Toc2012721540 \h </w:instrText>
      </w:r>
      <w:r>
        <w:fldChar w:fldCharType="separate"/>
      </w:r>
      <w:r>
        <w:t>41</w:t>
      </w:r>
      <w:r>
        <w:fldChar w:fldCharType="end"/>
      </w:r>
      <w:r>
        <w:rPr>
          <w:rFonts w:hint="eastAsia" w:ascii="黑体" w:hAnsi="黑体" w:eastAsia="黑体" w:cs="黑体"/>
          <w:bCs/>
          <w:color w:val="auto"/>
          <w:szCs w:val="32"/>
          <w:lang w:val="en-US" w:eastAsia="zh-CN"/>
        </w:rPr>
        <w:fldChar w:fldCharType="end"/>
      </w:r>
    </w:p>
    <w:p w14:paraId="6E5FBB9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_Toc648515236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_Toc648515236 \h </w:instrText>
      </w:r>
      <w:r>
        <w:fldChar w:fldCharType="separate"/>
      </w:r>
      <w:r>
        <w:t>41</w:t>
      </w:r>
      <w:r>
        <w:fldChar w:fldCharType="end"/>
      </w:r>
      <w:r>
        <w:rPr>
          <w:rFonts w:hint="eastAsia" w:ascii="黑体" w:hAnsi="黑体" w:eastAsia="黑体" w:cs="黑体"/>
          <w:bCs/>
          <w:color w:val="auto"/>
          <w:szCs w:val="32"/>
          <w:lang w:val="en-US" w:eastAsia="zh-CN"/>
        </w:rPr>
        <w:fldChar w:fldCharType="end"/>
      </w:r>
    </w:p>
    <w:p w14:paraId="7773A6B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_Toc1116062927 </w:instrText>
      </w:r>
      <w:r>
        <w:rPr>
          <w:rFonts w:hint="eastAsia" w:ascii="黑体" w:hAnsi="黑体" w:eastAsia="黑体" w:cs="黑体"/>
          <w:bCs/>
          <w:szCs w:val="32"/>
          <w:lang w:val="en-US" w:eastAsia="zh-CN"/>
        </w:rPr>
        <w:fldChar w:fldCharType="separate"/>
      </w:r>
      <w:r>
        <w:t>四、</w:t>
      </w:r>
      <w:r>
        <w:rPr>
          <w:rFonts w:hint="eastAsia"/>
          <w:lang w:eastAsia="zh-CN"/>
        </w:rPr>
        <w:t>“</w:t>
      </w:r>
      <w:r>
        <w:t>公正</w:t>
      </w:r>
      <w:r>
        <w:rPr>
          <w:rFonts w:hint="eastAsia"/>
          <w:lang w:eastAsia="zh-CN"/>
        </w:rPr>
        <w:t>”“</w:t>
      </w:r>
      <w:r>
        <w:t>平等</w:t>
      </w:r>
      <w:r>
        <w:rPr>
          <w:rFonts w:hint="eastAsia"/>
          <w:lang w:eastAsia="zh-CN"/>
        </w:rPr>
        <w:t>”</w:t>
      </w:r>
      <w:r>
        <w:t>价值的制度性融入路径</w:t>
      </w:r>
      <w:r>
        <w:tab/>
      </w:r>
      <w:r>
        <w:fldChar w:fldCharType="begin"/>
      </w:r>
      <w:r>
        <w:instrText xml:space="preserve"> PAGEREF _Toc1116062927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1CBD35B5">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_Toc1547441191 </w:instrText>
      </w:r>
      <w:r>
        <w:rPr>
          <w:rFonts w:hint="eastAsia" w:ascii="黑体" w:hAnsi="黑体" w:eastAsia="黑体" w:cs="黑体"/>
          <w:bCs/>
          <w:szCs w:val="32"/>
          <w:lang w:val="en-US" w:eastAsia="zh-CN"/>
        </w:rPr>
        <w:fldChar w:fldCharType="separate"/>
      </w:r>
      <w:r>
        <w:rPr>
          <w:rFonts w:hint="eastAsia"/>
        </w:rPr>
        <w:t xml:space="preserve">（一） </w:t>
      </w:r>
      <w:r>
        <w:t>推动基督教团体参与社会公平正义建设。</w:t>
      </w:r>
      <w:r>
        <w:tab/>
      </w:r>
      <w:r>
        <w:fldChar w:fldCharType="begin"/>
      </w:r>
      <w:r>
        <w:instrText xml:space="preserve"> PAGEREF _Toc1547441191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7D180B2A">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_Toc1817131967 </w:instrText>
      </w:r>
      <w:r>
        <w:rPr>
          <w:rFonts w:hint="eastAsia" w:ascii="黑体" w:hAnsi="黑体" w:eastAsia="黑体" w:cs="黑体"/>
          <w:bCs/>
          <w:szCs w:val="32"/>
          <w:lang w:val="en-US" w:eastAsia="zh-CN"/>
        </w:rPr>
        <w:fldChar w:fldCharType="separate"/>
      </w:r>
      <w:r>
        <w:rPr>
          <w:rFonts w:hint="eastAsia"/>
        </w:rPr>
        <w:t xml:space="preserve">（二） </w:t>
      </w:r>
      <w:r>
        <w:t>建立公益项目的机会平等评估机制。</w:t>
      </w:r>
      <w:r>
        <w:tab/>
      </w:r>
      <w:r>
        <w:fldChar w:fldCharType="begin"/>
      </w:r>
      <w:r>
        <w:instrText xml:space="preserve"> PAGEREF _Toc1817131967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061C9BDB">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_Toc1172025382 </w:instrText>
      </w:r>
      <w:r>
        <w:rPr>
          <w:rFonts w:hint="eastAsia" w:ascii="黑体" w:hAnsi="黑体" w:eastAsia="黑体" w:cs="黑体"/>
          <w:bCs/>
          <w:szCs w:val="32"/>
          <w:lang w:val="en-US" w:eastAsia="zh-CN"/>
        </w:rPr>
        <w:fldChar w:fldCharType="separate"/>
      </w:r>
      <w:r>
        <w:rPr>
          <w:rFonts w:hint="eastAsia"/>
        </w:rPr>
        <w:t xml:space="preserve">（三） </w:t>
      </w:r>
      <w:r>
        <w:t>强化基层宗教工作队伍的</w:t>
      </w:r>
      <w:r>
        <w:rPr>
          <w:rFonts w:hint="eastAsia"/>
          <w:lang w:eastAsia="zh-CN"/>
        </w:rPr>
        <w:t>“</w:t>
      </w:r>
      <w:r>
        <w:t>公正</w:t>
      </w:r>
      <w:r>
        <w:rPr>
          <w:rFonts w:hint="eastAsia"/>
          <w:lang w:eastAsia="zh-CN"/>
        </w:rPr>
        <w:t>”</w:t>
      </w:r>
      <w:r>
        <w:t>意识培训。</w:t>
      </w:r>
      <w:r>
        <w:tab/>
      </w:r>
      <w:r>
        <w:fldChar w:fldCharType="begin"/>
      </w:r>
      <w:r>
        <w:instrText xml:space="preserve"> PAGEREF _Toc1172025382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7AE9FE54">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_Toc1510584990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_Toc1510584990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552AC2E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_Toc850252096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_Toc850252096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5BA2565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_Toc830790334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_Toc830790334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3CCC136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_Toc154470744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_Toc154470744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522F0E6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_Toc2029548832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_Toc2029548832 \h </w:instrText>
      </w:r>
      <w:r>
        <w:fldChar w:fldCharType="separate"/>
      </w:r>
      <w:r>
        <w:t>44</w:t>
      </w:r>
      <w:r>
        <w:fldChar w:fldCharType="end"/>
      </w:r>
      <w:r>
        <w:rPr>
          <w:rFonts w:hint="eastAsia" w:ascii="黑体" w:hAnsi="黑体" w:eastAsia="黑体" w:cs="黑体"/>
          <w:bCs/>
          <w:color w:val="auto"/>
          <w:szCs w:val="32"/>
          <w:lang w:val="en-US" w:eastAsia="zh-CN"/>
        </w:rPr>
        <w:fldChar w:fldCharType="end"/>
      </w:r>
    </w:p>
    <w:p w14:paraId="19EF0EE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_Toc2144454123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_Toc2144454123 \h </w:instrText>
      </w:r>
      <w:r>
        <w:fldChar w:fldCharType="separate"/>
      </w:r>
      <w:r>
        <w:t>44</w:t>
      </w:r>
      <w:r>
        <w:fldChar w:fldCharType="end"/>
      </w:r>
      <w:r>
        <w:rPr>
          <w:rFonts w:hint="eastAsia" w:ascii="黑体" w:hAnsi="黑体" w:eastAsia="黑体" w:cs="黑体"/>
          <w:bCs/>
          <w:color w:val="auto"/>
          <w:szCs w:val="32"/>
          <w:lang w:val="en-US" w:eastAsia="zh-CN"/>
        </w:rPr>
        <w:fldChar w:fldCharType="end"/>
      </w:r>
    </w:p>
    <w:p w14:paraId="0E3E74D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_Toc622397660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_Toc622397660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5CEF2F87">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_Toc244627083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_Toc244627083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57002A4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_Toc1163683623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_Toc1163683623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3A1A1FB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_Toc897078532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_Toc897078532 \h </w:instrText>
      </w:r>
      <w:r>
        <w:fldChar w:fldCharType="separate"/>
      </w:r>
      <w:r>
        <w:t>47</w:t>
      </w:r>
      <w:r>
        <w:fldChar w:fldCharType="end"/>
      </w:r>
      <w:r>
        <w:rPr>
          <w:rFonts w:hint="eastAsia" w:ascii="黑体" w:hAnsi="黑体" w:eastAsia="黑体" w:cs="黑体"/>
          <w:bCs/>
          <w:color w:val="auto"/>
          <w:szCs w:val="32"/>
          <w:lang w:val="en-US" w:eastAsia="zh-CN"/>
        </w:rPr>
        <w:fldChar w:fldCharType="end"/>
      </w:r>
    </w:p>
    <w:p w14:paraId="48498F4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_Toc1863685384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_Toc1863685384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298E9A1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_Toc1911257393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_Toc1911257393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681B5A3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_Toc442612325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_Toc442612325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3783BC31">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_Toc101993067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_Toc101993067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5E92DC8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_Toc505526763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_Toc505526763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6E11494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_Toc942998209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_Toc942998209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21AD01D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_Toc541583803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_Toc541583803 \h </w:instrText>
      </w:r>
      <w:r>
        <w:fldChar w:fldCharType="separate"/>
      </w:r>
      <w:r>
        <w:t>52</w:t>
      </w:r>
      <w:r>
        <w:fldChar w:fldCharType="end"/>
      </w:r>
      <w:r>
        <w:rPr>
          <w:rFonts w:hint="eastAsia" w:ascii="黑体" w:hAnsi="黑体" w:eastAsia="黑体" w:cs="黑体"/>
          <w:bCs/>
          <w:color w:val="auto"/>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color w:val="auto"/>
          <w:sz w:val="32"/>
          <w:szCs w:val="32"/>
          <w:lang w:val="en-US" w:eastAsia="zh-CN"/>
        </w:rPr>
      </w:pPr>
      <w:r>
        <w:rPr>
          <w:rFonts w:hint="eastAsia" w:ascii="黑体" w:hAnsi="黑体" w:eastAsia="黑体" w:cs="黑体"/>
          <w:bCs/>
          <w:color w:val="auto"/>
          <w:szCs w:val="32"/>
          <w:lang w:val="en-US" w:eastAsia="zh-CN"/>
        </w:rPr>
        <w:fldChar w:fldCharType="end"/>
      </w:r>
    </w:p>
    <w:bookmarkEnd w:id="47"/>
    <w:p w14:paraId="651D0FF2">
      <w:pPr>
        <w:pageBreakBefore w:val="0"/>
        <w:kinsoku/>
        <w:wordWrap/>
        <w:overflowPunct/>
        <w:topLinePunct w:val="0"/>
        <w:bidi w:val="0"/>
        <w:adjustRightInd w:val="0"/>
        <w:snapToGrid w:val="0"/>
        <w:ind w:left="0" w:leftChars="0" w:firstLine="480" w:firstLineChars="200"/>
        <w:textAlignment w:val="auto"/>
        <w:rPr>
          <w:rFonts w:hint="eastAsia"/>
          <w:color w:val="auto"/>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bookmarkStart w:id="975" w:name="_GoBack"/>
      <w:bookmarkEnd w:id="975"/>
    </w:p>
    <w:p w14:paraId="743D1CCB">
      <w:pPr>
        <w:pStyle w:val="2"/>
        <w:bidi w:val="0"/>
        <w:rPr>
          <w:rFonts w:hint="eastAsia"/>
          <w:color w:val="auto"/>
          <w:lang w:val="en-US" w:eastAsia="zh-CN"/>
        </w:rPr>
      </w:pPr>
      <w:bookmarkStart w:id="48" w:name="_Toc2147402238"/>
      <w:bookmarkStart w:id="49" w:name="_Toc9661"/>
      <w:bookmarkStart w:id="50" w:name="_Toc1992287126"/>
      <w:bookmarkStart w:id="51" w:name="_Toc698215329"/>
      <w:bookmarkStart w:id="52" w:name="_Toc311664942"/>
      <w:bookmarkStart w:id="53" w:name="_Toc897384602"/>
      <w:bookmarkStart w:id="54" w:name="_Toc1138181288"/>
      <w:bookmarkStart w:id="55" w:name="_Toc1566118065"/>
      <w:bookmarkStart w:id="56" w:name="_Toc2065133620"/>
      <w:bookmarkStart w:id="57" w:name="_Toc500452949"/>
      <w:bookmarkStart w:id="58" w:name="_Toc578278431"/>
      <w:r>
        <w:rPr>
          <w:rFonts w:hint="eastAsia"/>
          <w:color w:val="auto"/>
          <w:lang w:val="en-US" w:eastAsia="zh-CN"/>
        </w:rPr>
        <w:t>一、引言</w:t>
      </w:r>
      <w:bookmarkEnd w:id="48"/>
      <w:bookmarkEnd w:id="49"/>
      <w:bookmarkEnd w:id="50"/>
      <w:bookmarkEnd w:id="51"/>
      <w:bookmarkEnd w:id="52"/>
      <w:bookmarkEnd w:id="53"/>
      <w:bookmarkEnd w:id="54"/>
      <w:bookmarkEnd w:id="55"/>
      <w:bookmarkEnd w:id="56"/>
      <w:bookmarkEnd w:id="57"/>
      <w:bookmarkEnd w:id="58"/>
    </w:p>
    <w:p w14:paraId="21EE77DF">
      <w:pPr>
        <w:pStyle w:val="3"/>
        <w:bidi w:val="0"/>
        <w:rPr>
          <w:rFonts w:hint="eastAsia"/>
          <w:color w:val="auto"/>
          <w:lang w:val="en-US" w:eastAsia="zh-CN"/>
        </w:rPr>
      </w:pPr>
      <w:bookmarkStart w:id="59" w:name="_Toc490"/>
      <w:bookmarkStart w:id="60" w:name="_Toc1566752191"/>
      <w:bookmarkStart w:id="61" w:name="_Toc440065161"/>
      <w:bookmarkStart w:id="62" w:name="_Toc39257176"/>
      <w:bookmarkStart w:id="63" w:name="_Toc1070048526"/>
      <w:bookmarkStart w:id="64" w:name="_Toc565352933"/>
      <w:bookmarkStart w:id="65" w:name="_Toc779242584"/>
      <w:bookmarkStart w:id="66" w:name="_Toc804702658"/>
      <w:bookmarkStart w:id="67" w:name="_Toc1776063587"/>
      <w:bookmarkStart w:id="68" w:name="_Toc1054387295"/>
      <w:bookmarkStart w:id="69" w:name="_Toc1762087142"/>
      <w:r>
        <w:rPr>
          <w:rFonts w:hint="eastAsia"/>
          <w:color w:val="auto"/>
          <w:lang w:val="en-US" w:eastAsia="zh-CN"/>
        </w:rPr>
        <w:t xml:space="preserve">第一节 </w:t>
      </w:r>
      <w:bookmarkEnd w:id="59"/>
      <w:r>
        <w:rPr>
          <w:rFonts w:hint="eastAsia"/>
          <w:color w:val="auto"/>
          <w:lang w:val="en-US" w:eastAsia="zh-CN"/>
        </w:rPr>
        <w:t>研究背景与问题提出</w:t>
      </w:r>
      <w:bookmarkEnd w:id="60"/>
      <w:bookmarkEnd w:id="61"/>
      <w:bookmarkEnd w:id="62"/>
      <w:bookmarkEnd w:id="63"/>
      <w:bookmarkEnd w:id="64"/>
      <w:bookmarkEnd w:id="65"/>
      <w:bookmarkEnd w:id="66"/>
      <w:bookmarkEnd w:id="67"/>
      <w:bookmarkEnd w:id="68"/>
      <w:bookmarkEnd w:id="69"/>
    </w:p>
    <w:p w14:paraId="2CFDF7BD">
      <w:pPr>
        <w:pStyle w:val="4"/>
        <w:bidi w:val="0"/>
        <w:rPr>
          <w:rFonts w:hint="eastAsia"/>
          <w:color w:val="auto"/>
          <w:lang w:val="en-US" w:eastAsia="zh-CN"/>
        </w:rPr>
      </w:pPr>
      <w:bookmarkStart w:id="70" w:name="_Toc27344"/>
      <w:bookmarkStart w:id="71" w:name="_Toc2158"/>
      <w:bookmarkStart w:id="72" w:name="_Toc32018"/>
      <w:bookmarkStart w:id="73" w:name="_Toc17822"/>
      <w:bookmarkStart w:id="74" w:name="_Toc1588"/>
      <w:bookmarkStart w:id="75" w:name="_Toc52212021"/>
      <w:bookmarkStart w:id="76" w:name="_Toc241480659"/>
      <w:bookmarkStart w:id="77" w:name="_Toc2107078270"/>
      <w:bookmarkStart w:id="78" w:name="_Toc517877403"/>
      <w:bookmarkStart w:id="79" w:name="_Toc278013409"/>
      <w:bookmarkStart w:id="80" w:name="_Toc1374829882"/>
      <w:bookmarkStart w:id="81" w:name="_Toc1277516504"/>
      <w:bookmarkStart w:id="82" w:name="_Toc1419090603"/>
      <w:bookmarkStart w:id="83" w:name="_Toc1933047847"/>
      <w:bookmarkStart w:id="84" w:name="_Toc1599103464"/>
      <w:r>
        <w:rPr>
          <w:rFonts w:hint="eastAsia"/>
          <w:color w:val="auto"/>
          <w:lang w:val="en-US" w:eastAsia="zh-CN"/>
        </w:rPr>
        <w:t>一、</w:t>
      </w:r>
      <w:bookmarkEnd w:id="70"/>
      <w:bookmarkEnd w:id="71"/>
      <w:bookmarkEnd w:id="72"/>
      <w:bookmarkEnd w:id="73"/>
      <w:bookmarkEnd w:id="74"/>
      <w:r>
        <w:rPr>
          <w:rFonts w:hint="eastAsia"/>
          <w:color w:val="auto"/>
          <w:lang w:val="en-US" w:eastAsia="zh-CN"/>
        </w:rPr>
        <w:t>宗教中国化的政策演进与“五个认同”的时代要求</w:t>
      </w:r>
      <w:bookmarkEnd w:id="75"/>
      <w:bookmarkEnd w:id="76"/>
      <w:bookmarkEnd w:id="77"/>
      <w:bookmarkEnd w:id="78"/>
      <w:bookmarkEnd w:id="79"/>
      <w:bookmarkEnd w:id="80"/>
      <w:bookmarkEnd w:id="81"/>
      <w:bookmarkEnd w:id="82"/>
      <w:bookmarkEnd w:id="83"/>
      <w:bookmarkEnd w:id="84"/>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t>"宗教中国化"这一概念在学术界的兴起，可以追溯到2016年召开的全国宗教工作会议。该次会议首次系统性地提出，宗教团体应当对自身的教义教规进行符合时代发展需要的重新解读，同时融入中华优秀传统文化的精髓。这一指示为基督教等外来宗教的本土化探索提供了明确的方向指引，也为本文的研究主旨奠定了政策基础。</w:t>
        <w:rPr>
          <w:color w:val="FF0000"/>
        </w:rPr>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t>作为新时代宗教工作的政治基石，"五个认同"构成了一个逻辑自洽的价值框架。这一框架以国家认同为起点，以民族认同为载体，以文化认同为根基，以政党认同为保障，以制度认同为落脚点。具体而言，信众需要首先确立公民身份认知，将国家利益置于首位；其次强化中华民族共同体意识，促进跨民族交流互动；再次从中华优秀传统文化中汲取养分，实现宗教文化与本土文化的有机融合；最后深化对党的领导地位和社会主义道路的理解与认同。这五个层面相互交织，共同服务于宗教中国化的实践目标。</w:t>
        <w:rPr>
          <w:color w:val="FF0000"/>
        </w:rPr>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color w:val="auto"/>
          <w:sz w:val="24"/>
          <w:szCs w:val="24"/>
        </w:rPr>
        <w:footnoteReference w:id="1"/>
      </w:r>
      <w:r>
        <w:rPr>
          <w:rStyle w:val="29"/>
          <w:rFonts w:hint="eastAsia" w:ascii="宋体" w:hAnsi="宋体" w:eastAsia="宋体" w:cs="宋体"/>
          <w:color w:val="auto"/>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color w:val="auto"/>
          <w:sz w:val="24"/>
          <w:szCs w:val="24"/>
          <w:lang w:val="en-US" w:eastAsia="zh-CN"/>
        </w:rPr>
        <w:footnoteReference w:id="3"/>
      </w:r>
      <w:r>
        <w:rPr>
          <w:rFonts w:hint="eastAsia" w:ascii="宋体" w:hAnsi="宋体" w:eastAsia="宋体" w:cs="宋体"/>
          <w:color w:val="auto"/>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color w:val="auto"/>
          <w:sz w:val="24"/>
          <w:szCs w:val="24"/>
          <w:lang w:val="en-US" w:eastAsia="zh-CN"/>
        </w:rPr>
        <w:footnoteReference w:id="4"/>
      </w:r>
      <w:r>
        <w:rPr>
          <w:rFonts w:hint="eastAsia" w:ascii="宋体" w:hAnsi="宋体" w:eastAsia="宋体" w:cs="宋体"/>
          <w:color w:val="auto"/>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color w:val="auto"/>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t>作为浙江省宗教界"双通"人才研修班的学员，本文研究始终坚持以"五个认同"为根本政治遵循，将"政治上靠得住、宗教上有造诣、品德上能服众、关键时起作用"的培养要求作为学术写作的价值坐标。在论文撰写过程中，注重将宗教中国化的政策导向转化为具体的学术论证，将理论分析与实践路径设计相结合，体现出对伟大祖国、中华民族、中华文化、中国共产党和中国特色社会主义的坚定认同。</w:t>
        <w:rPr>
          <w:color w:val="FF0000"/>
        </w:rPr>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t>在此基础上，本文将"五个认同"从宏观政治要求转化为贯穿全文的具体分析工具，具体操作化为五个检验维度：其一，以"认同伟大祖国"为标准，检验融合实践是否有助于增进国家意识、公民意识和法治意识；其二，以"认同中华民族"为标准，检验融合实践是否有助于铸牢中华民族共同体意识；其三，以"认同中华文化"为标准，检验教义阐释是否有效吸收了中华优秀传统文化资源；其四，以"认同中国共产党"为标准，检验融合路径是否有助于引导信众拥护党的领导；其五，以"认同中国特色社会主义"为标准，检验融合实践是否有助于宗教与社会主义社会相适应。这五个维度贯穿于本文的契合性分析、障碍梳理与路径构建全过程，形成从政治引领到理论分析再到实践检验的完整逻辑链条。</w:t>
        <w:rPr>
          <w:color w:val="FF0000"/>
        </w:rPr>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p>
    <w:p w14:paraId="7D4925B8">
      <w:pPr>
        <w:pStyle w:val="4"/>
        <w:bidi w:val="0"/>
        <w:rPr>
          <w:rFonts w:hint="eastAsia"/>
          <w:color w:val="auto"/>
          <w:lang w:val="en-US" w:eastAsia="zh-CN"/>
        </w:rPr>
      </w:pPr>
      <w:bookmarkStart w:id="85" w:name="_Toc1989268701"/>
      <w:bookmarkStart w:id="86" w:name="_Toc1602552713"/>
      <w:bookmarkStart w:id="87" w:name="_Toc1968826630"/>
      <w:bookmarkStart w:id="88" w:name="_Toc214290930"/>
      <w:bookmarkStart w:id="89" w:name="_Toc1354108971"/>
      <w:bookmarkStart w:id="90" w:name="_Toc1659144860"/>
      <w:bookmarkStart w:id="91" w:name="_Toc1794432838"/>
      <w:bookmarkStart w:id="92" w:name="_Toc702381039"/>
      <w:bookmarkStart w:id="93" w:name="_Toc678380022"/>
      <w:bookmarkStart w:id="94" w:name="_Toc374077243"/>
      <w:r>
        <w:rPr>
          <w:rFonts w:hint="eastAsia"/>
          <w:color w:val="auto"/>
          <w:lang w:val="en-US" w:eastAsia="zh-CN"/>
        </w:rPr>
        <w:t>二、要求基督教本土化发展的现实困境</w:t>
      </w:r>
      <w:bookmarkEnd w:id="85"/>
      <w:bookmarkEnd w:id="86"/>
      <w:bookmarkEnd w:id="87"/>
      <w:bookmarkEnd w:id="88"/>
      <w:bookmarkEnd w:id="89"/>
      <w:bookmarkEnd w:id="90"/>
      <w:bookmarkEnd w:id="91"/>
      <w:bookmarkEnd w:id="92"/>
      <w:bookmarkEnd w:id="93"/>
      <w:bookmarkEnd w:id="94"/>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据国内宗教研究领域的公开统计数据，目前我国基督教信众总规模约3800万人，地域分布呈现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县域及以下乡村占比高、中西部地区占比高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的特征。</w:t>
      </w:r>
      <w:r>
        <w:rPr>
          <w:rStyle w:val="29"/>
          <w:rFonts w:hint="eastAsia" w:ascii="宋体" w:hAnsi="宋体" w:eastAsia="宋体" w:cs="宋体"/>
          <w:color w:val="auto"/>
          <w:sz w:val="24"/>
          <w:szCs w:val="24"/>
        </w:rPr>
        <w:footnoteReference w:id="6"/>
      </w:r>
      <w:r>
        <w:rPr>
          <w:rFonts w:hint="eastAsia" w:ascii="宋体" w:hAnsi="宋体" w:eastAsia="宋体" w:cs="宋体"/>
          <w:color w:val="auto"/>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第一，教义阐释的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西方中心主义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残余。部分偏远乡村教会的讲经内容直接照搬国外神学体系，缺乏对儒家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等本土文化语境的创造性转化，导致信众在文化认同上出现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叠合身份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困境——既难以完全融入本土社会文化，又无法维持纯粹的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信仰形态。</w:t>
      </w:r>
      <w:r>
        <w:rPr>
          <w:rStyle w:val="29"/>
          <w:rFonts w:hint="eastAsia" w:ascii="宋体" w:hAnsi="宋体" w:eastAsia="宋体" w:cs="宋体"/>
          <w:color w:val="auto"/>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第三，价值对话的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话语体系断裂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。基督教神学话语与社会主义核心价值观话语之间存在显著的语义鸿沟，前者以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神启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救赎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为核心范畴，后者以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为核心范畴，二者在公共领域的对话缺乏有效的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信仰市场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中提升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产品适配性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的战略选择——将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这一宗教伦理进行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本土化包装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，以契合主流文化的价值偏好，从而扩大其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社会认可度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
      </w:r>
    </w:p>
    <w:p w14:paraId="45A16FE0">
      <w:pPr>
        <w:pStyle w:val="3"/>
        <w:bidi w:val="0"/>
        <w:rPr>
          <w:rFonts w:hint="eastAsia"/>
          <w:color w:val="auto"/>
          <w:lang w:val="en-US" w:eastAsia="zh-CN"/>
        </w:rPr>
      </w:pPr>
      <w:bookmarkStart w:id="95" w:name="_Toc200514914"/>
      <w:bookmarkStart w:id="96" w:name="_Toc1641137434"/>
      <w:bookmarkStart w:id="97" w:name="_Toc1919853445"/>
      <w:bookmarkStart w:id="98" w:name="_Toc363546717"/>
      <w:bookmarkStart w:id="99" w:name="_Toc172505725"/>
      <w:bookmarkStart w:id="100" w:name="_Toc1613641211"/>
      <w:bookmarkStart w:id="101" w:name="_Toc257584491"/>
      <w:bookmarkStart w:id="102" w:name="_Toc1625268338"/>
      <w:bookmarkStart w:id="103" w:name="_Toc542347831"/>
      <w:bookmarkStart w:id="104" w:name="_Toc1431588332"/>
      <w:r>
        <w:rPr>
          <w:rFonts w:hint="eastAsia"/>
          <w:color w:val="auto"/>
          <w:lang w:val="en-US" w:eastAsia="zh-CN"/>
        </w:rPr>
        <w:t>第二节 文献综述</w:t>
      </w:r>
      <w:bookmarkEnd w:id="95"/>
      <w:bookmarkEnd w:id="96"/>
      <w:bookmarkEnd w:id="97"/>
      <w:bookmarkEnd w:id="98"/>
      <w:bookmarkEnd w:id="99"/>
      <w:bookmarkEnd w:id="100"/>
      <w:bookmarkEnd w:id="101"/>
      <w:bookmarkEnd w:id="102"/>
      <w:bookmarkEnd w:id="103"/>
      <w:bookmarkEnd w:id="104"/>
    </w:p>
    <w:p w14:paraId="33329422">
      <w:pPr>
        <w:pStyle w:val="4"/>
        <w:bidi w:val="0"/>
        <w:rPr>
          <w:rFonts w:hint="eastAsia"/>
          <w:color w:val="auto"/>
          <w:lang w:val="en-US" w:eastAsia="zh-CN"/>
        </w:rPr>
      </w:pPr>
      <w:bookmarkStart w:id="105" w:name="_Toc2042991532"/>
      <w:bookmarkStart w:id="106" w:name="_Toc2044338961"/>
      <w:bookmarkStart w:id="107" w:name="_Toc652317455"/>
      <w:bookmarkStart w:id="108" w:name="_Toc2040450573"/>
      <w:bookmarkStart w:id="109" w:name="_Toc538696904"/>
      <w:bookmarkStart w:id="110" w:name="_Toc316891170"/>
      <w:bookmarkStart w:id="111" w:name="_Toc1035053940"/>
      <w:bookmarkStart w:id="112" w:name="_Toc200796625"/>
      <w:bookmarkStart w:id="113" w:name="_Toc1319397749"/>
      <w:bookmarkStart w:id="114" w:name="_Toc298314936"/>
      <w:r>
        <w:rPr>
          <w:rFonts w:hint="eastAsia"/>
          <w:color w:val="auto"/>
          <w:lang w:val="en-US" w:eastAsia="zh-CN"/>
        </w:rPr>
        <w:t>一、基督教仁爱观念的本源阐释与跨文化研究</w:t>
      </w:r>
      <w:bookmarkEnd w:id="105"/>
      <w:bookmarkEnd w:id="106"/>
      <w:bookmarkEnd w:id="107"/>
      <w:bookmarkEnd w:id="108"/>
      <w:bookmarkEnd w:id="109"/>
      <w:bookmarkEnd w:id="110"/>
      <w:bookmarkEnd w:id="111"/>
      <w:bookmarkEnd w:id="112"/>
      <w:bookmarkEnd w:id="113"/>
      <w:bookmarkEnd w:id="114"/>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基督教仁爱观念的本源研究集中在对希腊语汇</w:t>
      </w:r>
      <w:r>
        <w:rPr>
          <w:rFonts w:hint="default" w:ascii="Times New Roman" w:hAnsi="Times New Roman" w:eastAsia="宋体" w:cs="Times New Roman"/>
          <w:color w:val="auto"/>
          <w:sz w:val="24"/>
          <w:szCs w:val="24"/>
          <w:lang w:val="en-US" w:eastAsia="zh-CN"/>
        </w:rPr>
        <w:t>Agape（ἀγάπη）</w:t>
      </w:r>
      <w:r>
        <w:rPr>
          <w:rFonts w:hint="eastAsia" w:ascii="宋体" w:hAnsi="宋体" w:eastAsia="宋体" w:cs="宋体"/>
          <w:color w:val="auto"/>
          <w:sz w:val="24"/>
          <w:szCs w:val="24"/>
          <w:lang w:val="en-US" w:eastAsia="zh-CN"/>
        </w:rPr>
        <w:t>的神学阐释。</w:t>
      </w:r>
      <w:r>
        <w:rPr>
          <w:rFonts w:hint="default" w:ascii="Times New Roman" w:hAnsi="Times New Roman" w:eastAsia="宋体" w:cs="Times New Roman"/>
          <w:color w:val="auto"/>
          <w:sz w:val="24"/>
          <w:szCs w:val="24"/>
          <w:lang w:val="en-US" w:eastAsia="zh-CN"/>
        </w:rPr>
        <w:t>Anders Nygren</w:t>
      </w:r>
      <w:r>
        <w:rPr>
          <w:rFonts w:hint="eastAsia" w:ascii="宋体" w:hAnsi="宋体" w:eastAsia="宋体" w:cs="宋体"/>
          <w:color w:val="auto"/>
          <w:sz w:val="24"/>
          <w:szCs w:val="24"/>
          <w:lang w:val="en-US" w:eastAsia="zh-CN"/>
        </w:rPr>
        <w:t>在经典著作《圣爱与欲爱》中严格区分了</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Eros：Agape</w:t>
      </w:r>
      <w:r>
        <w:rPr>
          <w:rFonts w:hint="eastAsia" w:ascii="宋体" w:hAnsi="宋体" w:eastAsia="宋体" w:cs="宋体"/>
          <w:color w:val="auto"/>
          <w:sz w:val="24"/>
          <w:szCs w:val="24"/>
          <w:lang w:val="en-US" w:eastAsia="zh-CN"/>
        </w:rPr>
        <w:t>是“自上而下的赐予”，以上帝为唯一主体，具有无条件性和神圣性；</w:t>
      </w:r>
      <w:r>
        <w:rPr>
          <w:rFonts w:hint="default" w:ascii="Times New Roman" w:hAnsi="Times New Roman" w:eastAsia="宋体" w:cs="Times New Roman"/>
          <w:color w:val="auto"/>
          <w:sz w:val="24"/>
          <w:szCs w:val="24"/>
          <w:lang w:val="en-US" w:eastAsia="zh-CN"/>
        </w:rPr>
        <w:t>Eros</w:t>
      </w:r>
      <w:r>
        <w:rPr>
          <w:rFonts w:hint="eastAsia" w:ascii="宋体" w:hAnsi="宋体" w:eastAsia="宋体" w:cs="宋体"/>
          <w:color w:val="auto"/>
          <w:sz w:val="24"/>
          <w:szCs w:val="24"/>
          <w:lang w:val="en-US" w:eastAsia="zh-CN"/>
        </w:rPr>
        <w:t>则是“自下而上的追求”，以人的需要为驱动力，具有条件性和世俗性。</w:t>
      </w:r>
      <w:r>
        <w:rPr>
          <w:rStyle w:val="29"/>
          <w:rFonts w:hint="eastAsia" w:ascii="宋体" w:hAnsi="宋体" w:eastAsia="宋体" w:cs="宋体"/>
          <w:color w:val="auto"/>
          <w:sz w:val="24"/>
          <w:szCs w:val="24"/>
          <w:lang w:val="en-US" w:eastAsia="zh-CN"/>
        </w:rPr>
        <w:footnoteReference w:id="9"/>
      </w:r>
      <w:r>
        <w:rPr>
          <w:rFonts w:hint="eastAsia" w:ascii="宋体" w:hAnsi="宋体" w:eastAsia="宋体" w:cs="宋体"/>
          <w:color w:val="auto"/>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color w:val="auto"/>
          <w:sz w:val="24"/>
          <w:szCs w:val="24"/>
          <w:lang w:val="en-US" w:eastAsia="zh-CN"/>
        </w:rPr>
        <w:footnoteReference w:id="10"/>
      </w:r>
      <w:r>
        <w:rPr>
          <w:rFonts w:hint="eastAsia" w:ascii="宋体" w:hAnsi="宋体" w:eastAsia="宋体" w:cs="宋体"/>
          <w:color w:val="auto"/>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color w:val="auto"/>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color w:val="auto"/>
          <w:sz w:val="24"/>
          <w:szCs w:val="24"/>
          <w:lang w:val="en-US" w:eastAsia="zh-CN"/>
        </w:rPr>
        <w:footnoteReference w:id="12"/>
      </w:r>
      <w:r>
        <w:rPr>
          <w:rFonts w:hint="eastAsia" w:ascii="宋体" w:hAnsi="宋体" w:eastAsia="宋体" w:cs="宋体"/>
          <w:color w:val="auto"/>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color w:val="auto"/>
          <w:sz w:val="24"/>
          <w:szCs w:val="24"/>
          <w:lang w:val="en-US" w:eastAsia="zh-CN"/>
        </w:rPr>
        <w:footnoteReference w:id="13"/>
      </w:r>
      <w:r>
        <w:rPr>
          <w:rFonts w:hint="eastAsia" w:ascii="宋体" w:hAnsi="宋体" w:eastAsia="宋体" w:cs="宋体"/>
          <w:color w:val="auto"/>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color w:val="auto"/>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color w:val="auto"/>
          <w:sz w:val="24"/>
          <w:szCs w:val="24"/>
          <w:lang w:val="en-US" w:eastAsia="zh-CN"/>
        </w:rPr>
        <w:footnoteReference w:id="15"/>
      </w:r>
      <w:r>
        <w:rPr>
          <w:rFonts w:hint="eastAsia" w:ascii="宋体" w:hAnsi="宋体" w:eastAsia="宋体" w:cs="宋体"/>
          <w:color w:val="auto"/>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color w:val="auto"/>
          <w:sz w:val="24"/>
          <w:szCs w:val="24"/>
          <w:lang w:val="en-US" w:eastAsia="zh-CN"/>
        </w:rPr>
        <w:footnoteReference w:id="16"/>
      </w:r>
      <w:r>
        <w:rPr>
          <w:rFonts w:hint="eastAsia" w:ascii="宋体" w:hAnsi="宋体" w:eastAsia="宋体" w:cs="宋体"/>
          <w:color w:val="auto"/>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color w:val="auto"/>
          <w:sz w:val="24"/>
          <w:szCs w:val="24"/>
          <w:lang w:val="en-US" w:eastAsia="zh-CN"/>
        </w:rPr>
        <w:footnoteReference w:id="17"/>
      </w:r>
    </w:p>
    <w:p w14:paraId="2BD903D7">
      <w:pPr>
        <w:pStyle w:val="4"/>
        <w:bidi w:val="0"/>
        <w:rPr>
          <w:rFonts w:hint="eastAsia"/>
          <w:color w:val="auto"/>
          <w:lang w:val="en-US" w:eastAsia="zh-CN"/>
        </w:rPr>
      </w:pPr>
      <w:bookmarkStart w:id="115" w:name="_Toc230449630"/>
      <w:bookmarkStart w:id="116" w:name="_Toc1092066938"/>
      <w:bookmarkStart w:id="117" w:name="_Toc1614049174"/>
      <w:bookmarkStart w:id="118" w:name="_Toc1534028880"/>
      <w:bookmarkStart w:id="119" w:name="_Toc595448250"/>
      <w:bookmarkStart w:id="120" w:name="_Toc442646441"/>
      <w:bookmarkStart w:id="121" w:name="_Toc201828521"/>
      <w:bookmarkStart w:id="122" w:name="_Toc686421468"/>
      <w:bookmarkStart w:id="123" w:name="_Toc87809776"/>
      <w:bookmarkStart w:id="124" w:name="_Toc1552297254"/>
      <w:r>
        <w:rPr>
          <w:rFonts w:hint="eastAsia"/>
          <w:color w:val="auto"/>
          <w:lang w:val="en-US" w:eastAsia="zh-CN"/>
        </w:rPr>
        <w:t>二、研究宗教价值与主流社会价值融合的国际比较</w:t>
      </w:r>
      <w:bookmarkEnd w:id="115"/>
      <w:bookmarkEnd w:id="116"/>
      <w:bookmarkEnd w:id="117"/>
      <w:bookmarkEnd w:id="118"/>
      <w:bookmarkEnd w:id="119"/>
      <w:bookmarkEnd w:id="120"/>
      <w:bookmarkEnd w:id="121"/>
      <w:bookmarkEnd w:id="122"/>
      <w:bookmarkEnd w:id="123"/>
      <w:bookmarkEnd w:id="124"/>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在比较研究方面，Casanova的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非意图后果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与社会主流价值实现功能整合的方法论，对理解基督教仁爱实践与核心价值观的关系具有启发意义。</w:t>
      </w:r>
      <w:r>
        <w:rPr>
          <w:rStyle w:val="29"/>
          <w:rFonts w:hint="eastAsia" w:ascii="宋体" w:hAnsi="宋体" w:eastAsia="宋体" w:cs="宋体"/>
          <w:color w:val="auto"/>
          <w:sz w:val="24"/>
          <w:szCs w:val="24"/>
        </w:rPr>
        <w:footnoteReference w:id="18"/>
      </w:r>
      <w:r>
        <w:rPr>
          <w:rStyle w:val="29"/>
          <w:rFonts w:hint="eastAsia" w:ascii="宋体" w:hAnsi="宋体" w:eastAsia="宋体" w:cs="宋体"/>
          <w:color w:val="auto"/>
          <w:sz w:val="24"/>
          <w:szCs w:val="24"/>
        </w:rPr>
        <w:footnoteReference w:id="19"/>
      </w:r>
      <w:r>
        <w:rPr>
          <w:rStyle w:val="29"/>
          <w:rFonts w:hint="eastAsia" w:ascii="宋体" w:hAnsi="宋体" w:eastAsia="宋体" w:cs="宋体"/>
          <w:color w:val="auto"/>
          <w:sz w:val="24"/>
          <w:szCs w:val="24"/>
        </w:rPr>
        <w:footnoteReference w:id="20"/>
      </w:r>
      <w:r>
        <w:rPr>
          <w:rStyle w:val="29"/>
          <w:rFonts w:hint="eastAsia" w:ascii="宋体" w:hAnsi="宋体" w:eastAsia="宋体" w:cs="宋体"/>
          <w:color w:val="auto"/>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color w:val="auto"/>
          <w:sz w:val="24"/>
          <w:szCs w:val="24"/>
          <w:lang w:val="en-US" w:eastAsia="zh-CN"/>
        </w:rPr>
        <w:footnoteReference w:id="22"/>
      </w:r>
      <w:r>
        <w:rPr>
          <w:rFonts w:hint="eastAsia" w:ascii="宋体" w:hAnsi="宋体" w:eastAsia="宋体" w:cs="宋体"/>
          <w:color w:val="auto"/>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color w:val="auto"/>
          <w:sz w:val="24"/>
          <w:szCs w:val="24"/>
          <w:lang w:val="en-US" w:eastAsia="zh-CN"/>
        </w:rPr>
        <w:footnoteReference w:id="23"/>
      </w:r>
      <w:r>
        <w:rPr>
          <w:rFonts w:hint="eastAsia" w:ascii="宋体" w:hAnsi="宋体" w:eastAsia="宋体" w:cs="宋体"/>
          <w:color w:val="auto"/>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color w:val="auto"/>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color w:val="auto"/>
          <w:sz w:val="24"/>
          <w:szCs w:val="24"/>
        </w:rPr>
        <w:footnoteReference w:id="25"/>
      </w:r>
      <w:r>
        <w:rPr>
          <w:rStyle w:val="29"/>
          <w:rFonts w:hint="eastAsia" w:ascii="宋体" w:hAnsi="宋体" w:eastAsia="宋体" w:cs="宋体"/>
          <w:color w:val="auto"/>
          <w:sz w:val="24"/>
          <w:szCs w:val="24"/>
        </w:rPr>
        <w:footnoteReference w:id="26"/>
      </w:r>
    </w:p>
    <w:p w14:paraId="6BEA0713">
      <w:pPr>
        <w:pStyle w:val="4"/>
        <w:bidi w:val="0"/>
        <w:rPr>
          <w:rFonts w:hint="eastAsia"/>
          <w:color w:val="auto"/>
          <w:lang w:val="en-US" w:eastAsia="zh-CN"/>
        </w:rPr>
      </w:pPr>
      <w:bookmarkStart w:id="125" w:name="_Toc1255273834"/>
      <w:bookmarkStart w:id="126" w:name="_Toc675380679"/>
      <w:bookmarkStart w:id="127" w:name="_Toc403460992"/>
      <w:bookmarkStart w:id="128" w:name="_Toc497639743"/>
      <w:bookmarkStart w:id="129" w:name="_Toc311038514"/>
      <w:bookmarkStart w:id="130" w:name="_Toc424942730"/>
      <w:bookmarkStart w:id="131" w:name="_Toc1882203925"/>
      <w:bookmarkStart w:id="132" w:name="_Toc1973779704"/>
      <w:bookmarkStart w:id="133" w:name="_Toc1253915869"/>
      <w:bookmarkStart w:id="134" w:name="_Toc1828604222"/>
      <w:r>
        <w:rPr>
          <w:rFonts w:hint="eastAsia"/>
          <w:color w:val="auto"/>
          <w:lang w:val="en-US" w:eastAsia="zh-CN"/>
        </w:rPr>
        <w:t>三、比较宗教中国化与社会主义核心价值观引领的国内研究</w:t>
      </w:r>
      <w:bookmarkEnd w:id="125"/>
      <w:bookmarkEnd w:id="126"/>
      <w:bookmarkEnd w:id="127"/>
      <w:bookmarkEnd w:id="128"/>
      <w:bookmarkEnd w:id="129"/>
      <w:bookmarkEnd w:id="130"/>
      <w:bookmarkEnd w:id="131"/>
      <w:bookmarkEnd w:id="132"/>
      <w:bookmarkEnd w:id="133"/>
      <w:bookmarkEnd w:id="13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国内关于宗教中国化的研究近年来呈现井喷态势。张志刚系统阐释了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宗教中国化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的学理内涵，指出其包含政治认同、社会适应、文化融合、文明互鉴四个维度。</w:t>
      </w:r>
      <w:r>
        <w:rPr>
          <w:rStyle w:val="29"/>
          <w:rFonts w:hint="eastAsia" w:ascii="宋体" w:hAnsi="宋体" w:eastAsia="宋体" w:cs="宋体"/>
          <w:color w:val="auto"/>
          <w:sz w:val="24"/>
          <w:szCs w:val="24"/>
        </w:rPr>
        <w:footnoteReference w:id="27"/>
      </w:r>
      <w:r>
        <w:rPr>
          <w:rFonts w:hint="eastAsia" w:ascii="宋体" w:hAnsi="宋体" w:eastAsia="宋体" w:cs="宋体"/>
          <w:color w:val="auto"/>
          <w:sz w:val="24"/>
          <w:szCs w:val="24"/>
        </w:rPr>
        <w:t xml:space="preserve"> 牟钟鉴从中华文化主体性出发，论证宗教中国化是宗教在中华大地上生存发展的必由之路。</w:t>
      </w:r>
      <w:r>
        <w:rPr>
          <w:rStyle w:val="29"/>
          <w:rFonts w:hint="eastAsia" w:ascii="宋体" w:hAnsi="宋体" w:eastAsia="宋体" w:cs="宋体"/>
          <w:color w:val="auto"/>
          <w:sz w:val="24"/>
          <w:szCs w:val="24"/>
        </w:rPr>
        <w:footnoteReference w:id="28"/>
      </w:r>
      <w:r>
        <w:rPr>
          <w:rFonts w:hint="eastAsia" w:ascii="宋体" w:hAnsi="宋体" w:eastAsia="宋体" w:cs="宋体"/>
          <w:color w:val="auto"/>
          <w:sz w:val="24"/>
          <w:szCs w:val="24"/>
        </w:rPr>
        <w:t xml:space="preserve"> 王作安从宗教工作实务角度，论述了宗教与社会主义社会相适应的理论基础与实践路径。</w:t>
      </w:r>
      <w:r>
        <w:rPr>
          <w:rStyle w:val="29"/>
          <w:rFonts w:hint="eastAsia" w:ascii="宋体" w:hAnsi="宋体" w:eastAsia="宋体" w:cs="宋体"/>
          <w:color w:val="auto"/>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color w:val="auto"/>
          <w:sz w:val="24"/>
          <w:szCs w:val="24"/>
        </w:rPr>
        <w:footnoteReference w:id="30"/>
      </w:r>
      <w:r>
        <w:rPr>
          <w:rFonts w:hint="eastAsia" w:ascii="宋体" w:hAnsi="宋体" w:eastAsia="宋体" w:cs="宋体"/>
          <w:color w:val="auto"/>
          <w:sz w:val="24"/>
          <w:szCs w:val="24"/>
        </w:rPr>
        <w:t xml:space="preserve"> 唐晓峰分析了改革开放以来基督教神学思想建设的成就与挑战。</w:t>
      </w:r>
      <w:r>
        <w:rPr>
          <w:rStyle w:val="29"/>
          <w:rFonts w:hint="eastAsia" w:ascii="宋体" w:hAnsi="宋体" w:eastAsia="宋体" w:cs="宋体"/>
          <w:color w:val="auto"/>
          <w:sz w:val="24"/>
          <w:szCs w:val="24"/>
        </w:rPr>
        <w:footnoteReference w:id="31"/>
      </w:r>
      <w:r>
        <w:rPr>
          <w:rFonts w:hint="eastAsia" w:ascii="宋体" w:hAnsi="宋体" w:eastAsia="宋体" w:cs="宋体"/>
          <w:color w:val="auto"/>
          <w:sz w:val="24"/>
          <w:szCs w:val="24"/>
        </w:rPr>
        <w:t xml:space="preserve"> 徐以骅从宗教与国际关系视角，讨论了基督教中国化在国际传播中的战略意义。</w:t>
      </w:r>
      <w:r>
        <w:rPr>
          <w:rStyle w:val="29"/>
          <w:rFonts w:hint="eastAsia" w:ascii="宋体" w:hAnsi="宋体" w:eastAsia="宋体" w:cs="宋体"/>
          <w:color w:val="auto"/>
          <w:sz w:val="24"/>
          <w:szCs w:val="24"/>
        </w:rPr>
        <w:footnoteReference w:id="32"/>
      </w:r>
      <w:r>
        <w:rPr>
          <w:rFonts w:hint="eastAsia" w:ascii="宋体" w:hAnsi="宋体" w:eastAsia="宋体" w:cs="宋体"/>
          <w:color w:val="auto"/>
          <w:sz w:val="24"/>
          <w:szCs w:val="24"/>
        </w:rPr>
        <w:t xml:space="preserve"> 游斌从圣经诠释学角度，探讨了基督教经典在汉语语境中的翻译与诠释问题。</w:t>
      </w:r>
      <w:r>
        <w:rPr>
          <w:rStyle w:val="29"/>
          <w:rFonts w:hint="eastAsia" w:ascii="宋体" w:hAnsi="宋体" w:eastAsia="宋体" w:cs="宋体"/>
          <w:color w:val="auto"/>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color w:val="auto"/>
          <w:sz w:val="24"/>
          <w:szCs w:val="24"/>
        </w:rPr>
        <w:footnoteReference w:id="34"/>
      </w:r>
      <w:r>
        <w:rPr>
          <w:rFonts w:hint="eastAsia" w:ascii="宋体" w:hAnsi="宋体" w:eastAsia="宋体" w:cs="宋体"/>
          <w:color w:val="auto"/>
          <w:sz w:val="24"/>
          <w:szCs w:val="24"/>
        </w:rPr>
        <w:t xml:space="preserve"> 李平晔从神学角度，探讨了基督教伦理与社会主义道德建设的对话空间。</w:t>
      </w:r>
      <w:r>
        <w:rPr>
          <w:rStyle w:val="29"/>
          <w:rFonts w:hint="eastAsia" w:ascii="宋体" w:hAnsi="宋体" w:eastAsia="宋体" w:cs="宋体"/>
          <w:color w:val="auto"/>
          <w:sz w:val="24"/>
          <w:szCs w:val="24"/>
        </w:rPr>
        <w:footnoteReference w:id="35"/>
      </w:r>
      <w:r>
        <w:rPr>
          <w:rFonts w:hint="eastAsia" w:ascii="宋体" w:hAnsi="宋体" w:eastAsia="宋体" w:cs="宋体"/>
          <w:color w:val="auto"/>
          <w:sz w:val="24"/>
          <w:szCs w:val="24"/>
        </w:rPr>
        <w:t xml:space="preserve"> 赵敦华从基督教哲学角度，分析了基督教伦理与中华传统美德的相通性。</w:t>
      </w:r>
      <w:r>
        <w:rPr>
          <w:rStyle w:val="29"/>
          <w:rFonts w:hint="eastAsia" w:ascii="宋体" w:hAnsi="宋体" w:eastAsia="宋体" w:cs="宋体"/>
          <w:color w:val="auto"/>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t>2023年发布的基督教中国化五年规划指出，基督教界需要以社会主义核心价值观作为指导方向，吸收中华优秀传统文化的精华，最终形成具有中国本土特色的神学理论体系。2024年的年度工作要点进一步强调，核心价值观应当贯穿于神学思考、教会管理和信徒日常生活中。</w:t>
        <w:rPr>
          <w:color w:val="FF0000"/>
        </w:rPr>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color w:val="auto"/>
          <w:sz w:val="24"/>
          <w:szCs w:val="24"/>
        </w:rPr>
        <w:footnoteReference w:id="39"/>
      </w:r>
      <w:r>
        <w:rPr>
          <w:rFonts w:hint="eastAsia" w:ascii="宋体" w:hAnsi="宋体" w:eastAsia="宋体" w:cs="宋体"/>
          <w:color w:val="auto"/>
          <w:sz w:val="24"/>
          <w:szCs w:val="24"/>
        </w:rPr>
        <w:t xml:space="preserve"> 赵卫红探讨了将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教育融入基督教神学教育、推动基督教中国化走深走实的路径。</w:t>
      </w:r>
      <w:r>
        <w:rPr>
          <w:rStyle w:val="29"/>
          <w:rFonts w:hint="eastAsia" w:ascii="宋体" w:hAnsi="宋体" w:eastAsia="宋体" w:cs="宋体"/>
          <w:color w:val="auto"/>
          <w:sz w:val="24"/>
          <w:szCs w:val="24"/>
        </w:rPr>
        <w:footnoteReference w:id="40"/>
      </w:r>
      <w:r>
        <w:rPr>
          <w:rFonts w:hint="eastAsia" w:ascii="宋体" w:hAnsi="宋体" w:eastAsia="宋体" w:cs="宋体"/>
          <w:color w:val="auto"/>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color w:val="auto"/>
          <w:sz w:val="24"/>
          <w:szCs w:val="24"/>
        </w:rPr>
        <w:footnoteReference w:id="41"/>
      </w:r>
      <w:r>
        <w:rPr>
          <w:rFonts w:hint="eastAsia" w:ascii="宋体" w:hAnsi="宋体" w:eastAsia="宋体" w:cs="宋体"/>
          <w:color w:val="auto"/>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color w:val="auto"/>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color w:val="auto"/>
          <w:sz w:val="24"/>
          <w:szCs w:val="24"/>
        </w:rPr>
        <w:footnoteReference w:id="43"/>
      </w:r>
      <w:r>
        <w:rPr>
          <w:rFonts w:hint="eastAsia" w:ascii="宋体" w:hAnsi="宋体" w:eastAsia="宋体" w:cs="宋体"/>
          <w:color w:val="auto"/>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color w:val="auto"/>
          <w:sz w:val="24"/>
          <w:szCs w:val="24"/>
        </w:rPr>
        <w:footnoteReference w:id="44"/>
      </w:r>
      <w:r>
        <w:rPr>
          <w:rFonts w:hint="eastAsia" w:ascii="宋体" w:hAnsi="宋体" w:eastAsia="宋体" w:cs="宋体"/>
          <w:color w:val="auto"/>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color w:val="auto"/>
          <w:sz w:val="24"/>
          <w:szCs w:val="24"/>
        </w:rPr>
        <w:footnoteReference w:id="45"/>
      </w:r>
    </w:p>
    <w:p w14:paraId="436D186F">
      <w:pPr>
        <w:pStyle w:val="4"/>
        <w:bidi w:val="0"/>
        <w:rPr>
          <w:rFonts w:hint="eastAsia"/>
          <w:color w:val="auto"/>
          <w:lang w:val="en-US" w:eastAsia="zh-CN"/>
        </w:rPr>
      </w:pPr>
      <w:bookmarkStart w:id="135" w:name="_Toc507979910"/>
      <w:bookmarkStart w:id="136" w:name="_Toc1629336835"/>
      <w:bookmarkStart w:id="137" w:name="_Toc1363018965"/>
      <w:bookmarkStart w:id="138" w:name="_Toc1135589919"/>
      <w:bookmarkStart w:id="139" w:name="_Toc1767247165"/>
      <w:bookmarkStart w:id="140" w:name="_Toc1306982272"/>
      <w:bookmarkStart w:id="141" w:name="_Toc1529839183"/>
      <w:bookmarkStart w:id="142" w:name="_Toc649108000"/>
      <w:bookmarkStart w:id="143" w:name="_Toc1671997558"/>
      <w:bookmarkStart w:id="144" w:name="_Toc712686937"/>
      <w:r>
        <w:rPr>
          <w:rFonts w:hint="eastAsia"/>
          <w:color w:val="auto"/>
          <w:lang w:val="en-US" w:eastAsia="zh-CN"/>
        </w:rPr>
        <w:t>四、现有研究的贡献与不足</w:t>
      </w:r>
      <w:bookmarkEnd w:id="135"/>
      <w:bookmarkEnd w:id="136"/>
      <w:bookmarkEnd w:id="137"/>
      <w:bookmarkEnd w:id="138"/>
      <w:bookmarkEnd w:id="139"/>
      <w:bookmarkEnd w:id="140"/>
      <w:bookmarkEnd w:id="141"/>
      <w:bookmarkEnd w:id="142"/>
      <w:bookmarkEnd w:id="143"/>
      <w:bookmarkEnd w:id="144"/>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本文正是针对上述研究缺口，在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color w:val="auto"/>
          <w:lang w:val="en-US" w:eastAsia="zh-CN"/>
        </w:rPr>
      </w:pPr>
      <w:bookmarkStart w:id="145" w:name="_Toc185443150"/>
      <w:bookmarkStart w:id="146" w:name="_Toc1439436311"/>
      <w:bookmarkStart w:id="147" w:name="_Toc341229240"/>
      <w:bookmarkStart w:id="148" w:name="_Toc1700202948"/>
      <w:bookmarkStart w:id="149" w:name="_Toc1172597744"/>
      <w:bookmarkStart w:id="150" w:name="_Toc1370850545"/>
      <w:bookmarkStart w:id="151" w:name="_Toc276780498"/>
      <w:bookmarkStart w:id="152" w:name="_Toc1988303988"/>
      <w:bookmarkStart w:id="153" w:name="_Toc1051682206"/>
      <w:bookmarkStart w:id="154" w:name="_Toc1613050840"/>
      <w:r>
        <w:rPr>
          <w:rFonts w:hint="eastAsia"/>
          <w:color w:val="auto"/>
          <w:lang w:val="en-US" w:eastAsia="zh-CN"/>
        </w:rPr>
        <w:t>第三节 研究意义</w:t>
      </w:r>
      <w:bookmarkEnd w:id="145"/>
      <w:bookmarkEnd w:id="146"/>
      <w:bookmarkEnd w:id="147"/>
      <w:bookmarkEnd w:id="148"/>
      <w:bookmarkEnd w:id="149"/>
      <w:bookmarkEnd w:id="150"/>
      <w:bookmarkEnd w:id="151"/>
      <w:bookmarkEnd w:id="152"/>
      <w:bookmarkEnd w:id="153"/>
      <w:bookmarkEnd w:id="154"/>
    </w:p>
    <w:p w14:paraId="7E7E3129">
      <w:pPr>
        <w:pStyle w:val="4"/>
        <w:bidi w:val="0"/>
        <w:rPr>
          <w:rFonts w:hint="eastAsia"/>
          <w:color w:val="auto"/>
          <w:lang w:val="en-US" w:eastAsia="zh-CN"/>
        </w:rPr>
      </w:pPr>
      <w:bookmarkStart w:id="155" w:name="_Toc893540054"/>
      <w:bookmarkStart w:id="156" w:name="_Toc392854889"/>
      <w:bookmarkStart w:id="157" w:name="_Toc1832421432"/>
      <w:bookmarkStart w:id="158" w:name="_Toc1680544799"/>
      <w:bookmarkStart w:id="159" w:name="_Toc1202795522"/>
      <w:bookmarkStart w:id="160" w:name="_Toc744250253"/>
      <w:bookmarkStart w:id="161" w:name="_Toc400250484"/>
      <w:bookmarkStart w:id="162" w:name="_Toc1258499190"/>
      <w:bookmarkStart w:id="163" w:name="_Toc432095349"/>
      <w:bookmarkStart w:id="164" w:name="_Toc711908152"/>
      <w:r>
        <w:rPr>
          <w:rFonts w:hint="eastAsia"/>
          <w:color w:val="auto"/>
          <w:lang w:val="en-US" w:eastAsia="zh-CN"/>
        </w:rPr>
        <w:t>一、理论意义</w:t>
      </w:r>
      <w:bookmarkEnd w:id="155"/>
      <w:bookmarkEnd w:id="156"/>
      <w:bookmarkEnd w:id="157"/>
      <w:bookmarkEnd w:id="158"/>
      <w:bookmarkEnd w:id="159"/>
      <w:bookmarkEnd w:id="160"/>
      <w:bookmarkEnd w:id="161"/>
      <w:bookmarkEnd w:id="162"/>
      <w:bookmarkEnd w:id="163"/>
      <w:bookmarkEnd w:id="164"/>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第二，将文化翻译理论应用于宗教本土化场景。本文将Bhabha关于文化互动中生成新意义的分析框架，以及刘耘华关于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跨文化诠释的研究，延伸至当代宗教中国化语境，形成具有历史连续性的文化翻译谱系。</w:t>
      </w:r>
      <w:r>
        <w:rPr>
          <w:rStyle w:val="29"/>
          <w:rFonts w:hint="eastAsia" w:ascii="宋体" w:hAnsi="宋体" w:eastAsia="宋体" w:cs="宋体"/>
          <w:color w:val="auto"/>
          <w:sz w:val="24"/>
          <w:szCs w:val="24"/>
        </w:rPr>
        <w:footnoteReference w:id="46"/>
      </w:r>
      <w:r>
        <w:rPr>
          <w:rStyle w:val="29"/>
          <w:rFonts w:hint="eastAsia" w:ascii="宋体" w:hAnsi="宋体" w:eastAsia="宋体" w:cs="宋体"/>
          <w:color w:val="auto"/>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第三，对处境化神学理论的社会主义语境创新。本文借鉴Bevans的处境化神学模型与Schreiter的本土神学建构理论，提出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社会主义核心价值观引领下的处境化诠释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概念，为基督教教义的中国化阐释提供新的方法论工具。</w:t>
      </w:r>
      <w:r>
        <w:rPr>
          <w:rStyle w:val="29"/>
          <w:rFonts w:hint="eastAsia" w:ascii="宋体" w:hAnsi="宋体" w:eastAsia="宋体" w:cs="宋体"/>
          <w:color w:val="auto"/>
          <w:sz w:val="24"/>
          <w:szCs w:val="24"/>
        </w:rPr>
        <w:footnoteReference w:id="48"/>
      </w:r>
      <w:r>
        <w:rPr>
          <w:rStyle w:val="29"/>
          <w:rFonts w:hint="eastAsia" w:ascii="宋体" w:hAnsi="宋体" w:eastAsia="宋体" w:cs="宋体"/>
          <w:color w:val="auto"/>
          <w:sz w:val="24"/>
          <w:szCs w:val="24"/>
        </w:rPr>
        <w:footnoteReference w:id="49"/>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这一创新回应了2023年《纲要》关于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的政策要求，填补了理论到实践的转化空白。</w:t>
      </w:r>
    </w:p>
    <w:p w14:paraId="05748294">
      <w:pPr>
        <w:pStyle w:val="4"/>
        <w:bidi w:val="0"/>
        <w:rPr>
          <w:rFonts w:hint="eastAsia"/>
          <w:color w:val="auto"/>
          <w:lang w:val="en-US" w:eastAsia="zh-CN"/>
        </w:rPr>
      </w:pPr>
      <w:bookmarkStart w:id="165" w:name="_Toc1347388545"/>
      <w:bookmarkStart w:id="166" w:name="_Toc1120769043"/>
      <w:bookmarkStart w:id="167" w:name="_Toc1584320136"/>
      <w:bookmarkStart w:id="168" w:name="_Toc374544107"/>
      <w:bookmarkStart w:id="169" w:name="_Toc1211511449"/>
      <w:bookmarkStart w:id="170" w:name="_Toc1029447027"/>
      <w:bookmarkStart w:id="171" w:name="_Toc1091102184"/>
      <w:bookmarkStart w:id="172" w:name="_Toc1669242043"/>
      <w:bookmarkStart w:id="173" w:name="_Toc444025997"/>
      <w:bookmarkStart w:id="174" w:name="_Toc1408913227"/>
      <w:r>
        <w:rPr>
          <w:rFonts w:hint="eastAsia"/>
          <w:color w:val="auto"/>
          <w:lang w:val="en-US" w:eastAsia="zh-CN"/>
        </w:rPr>
        <w:t>二、实践意义</w:t>
      </w:r>
      <w:bookmarkEnd w:id="165"/>
      <w:bookmarkEnd w:id="166"/>
      <w:bookmarkEnd w:id="167"/>
      <w:bookmarkEnd w:id="168"/>
      <w:bookmarkEnd w:id="169"/>
      <w:bookmarkEnd w:id="170"/>
      <w:bookmarkEnd w:id="171"/>
      <w:bookmarkEnd w:id="172"/>
      <w:bookmarkEnd w:id="173"/>
      <w:bookmarkEnd w:id="174"/>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人才培养提供学术范式参考。本文在研究中充分体现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政治上靠得住、文化上有自觉、教义诠释有创新、价值引领有实效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color w:val="auto"/>
          <w:lang w:val="en-US" w:eastAsia="zh-CN"/>
        </w:rPr>
      </w:pPr>
      <w:bookmarkStart w:id="175" w:name="_Toc1580466136"/>
      <w:bookmarkStart w:id="176" w:name="_Toc688236992"/>
      <w:bookmarkStart w:id="177" w:name="_Toc344218200"/>
      <w:bookmarkStart w:id="178" w:name="_Toc791544755"/>
      <w:bookmarkStart w:id="179" w:name="_Toc1787922557"/>
      <w:bookmarkStart w:id="180" w:name="_Toc1186237864"/>
      <w:bookmarkStart w:id="181" w:name="_Toc239258254"/>
      <w:bookmarkStart w:id="182" w:name="_Toc224652293"/>
      <w:bookmarkStart w:id="183" w:name="_Toc1018786599"/>
      <w:bookmarkStart w:id="184" w:name="_Toc1449914367"/>
      <w:r>
        <w:rPr>
          <w:rFonts w:hint="eastAsia"/>
          <w:color w:val="auto"/>
          <w:lang w:val="en-US" w:eastAsia="zh-CN"/>
        </w:rPr>
        <w:t>第四节 研究思路、方法与创新点</w:t>
      </w:r>
      <w:bookmarkEnd w:id="175"/>
      <w:bookmarkEnd w:id="176"/>
      <w:bookmarkEnd w:id="177"/>
      <w:bookmarkEnd w:id="178"/>
      <w:bookmarkEnd w:id="179"/>
      <w:bookmarkEnd w:id="180"/>
      <w:bookmarkEnd w:id="181"/>
      <w:bookmarkEnd w:id="182"/>
      <w:bookmarkEnd w:id="183"/>
      <w:bookmarkEnd w:id="184"/>
    </w:p>
    <w:p w14:paraId="0028FD14">
      <w:pPr>
        <w:pStyle w:val="4"/>
        <w:bidi w:val="0"/>
        <w:rPr>
          <w:rFonts w:hint="eastAsia"/>
          <w:color w:val="auto"/>
          <w:lang w:val="en-US" w:eastAsia="zh-CN"/>
        </w:rPr>
      </w:pPr>
      <w:bookmarkStart w:id="185" w:name="_Toc852201802"/>
      <w:bookmarkStart w:id="186" w:name="_Toc454837025"/>
      <w:bookmarkStart w:id="187" w:name="_Toc2101826029"/>
      <w:bookmarkStart w:id="188" w:name="_Toc2023226675"/>
      <w:bookmarkStart w:id="189" w:name="_Toc669118009"/>
      <w:bookmarkStart w:id="190" w:name="_Toc1124087794"/>
      <w:bookmarkStart w:id="191" w:name="_Toc859251862"/>
      <w:bookmarkStart w:id="192" w:name="_Toc2009085147"/>
      <w:bookmarkStart w:id="193" w:name="_Toc1978987767"/>
      <w:bookmarkStart w:id="194" w:name="_Toc1213823660"/>
      <w:r>
        <w:rPr>
          <w:rFonts w:hint="eastAsia"/>
          <w:color w:val="auto"/>
          <w:lang w:val="en-US" w:eastAsia="zh-CN"/>
        </w:rPr>
        <w:t>一、整体研究框架</w:t>
      </w:r>
      <w:bookmarkEnd w:id="185"/>
      <w:bookmarkEnd w:id="186"/>
      <w:bookmarkEnd w:id="187"/>
      <w:bookmarkEnd w:id="188"/>
      <w:bookmarkEnd w:id="189"/>
      <w:bookmarkEnd w:id="190"/>
      <w:bookmarkEnd w:id="191"/>
      <w:bookmarkEnd w:id="192"/>
      <w:bookmarkEnd w:id="193"/>
      <w:bookmarkEnd w:id="194"/>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本文的整体研究沿着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文献综述与概念界定—融合可行性论证—现实障碍梳理—实践路径构建—研究总结展望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color w:val="auto"/>
          <w:lang w:val="en-US" w:eastAsia="zh-CN"/>
        </w:rPr>
      </w:pPr>
      <w:bookmarkStart w:id="195" w:name="_Toc1431559900"/>
      <w:bookmarkStart w:id="196" w:name="_Toc1808683848"/>
      <w:bookmarkStart w:id="197" w:name="_Toc1114660127"/>
      <w:bookmarkStart w:id="198" w:name="_Toc1129911099"/>
      <w:bookmarkStart w:id="199" w:name="_Toc1551579502"/>
      <w:bookmarkStart w:id="200" w:name="_Toc620675233"/>
      <w:bookmarkStart w:id="201" w:name="_Toc1642001571"/>
      <w:bookmarkStart w:id="202" w:name="_Toc1766002206"/>
      <w:bookmarkStart w:id="203" w:name="_Toc1387244371"/>
      <w:bookmarkStart w:id="204" w:name="_Toc1787090767"/>
      <w:r>
        <w:rPr>
          <w:rFonts w:hint="eastAsia"/>
          <w:color w:val="auto"/>
          <w:lang w:val="en-US" w:eastAsia="zh-CN"/>
        </w:rPr>
        <w:t>二、核心研究方法</w:t>
      </w:r>
      <w:bookmarkEnd w:id="195"/>
      <w:bookmarkEnd w:id="196"/>
      <w:bookmarkEnd w:id="197"/>
      <w:bookmarkEnd w:id="198"/>
      <w:bookmarkEnd w:id="199"/>
      <w:bookmarkEnd w:id="200"/>
      <w:bookmarkEnd w:id="201"/>
      <w:bookmarkEnd w:id="202"/>
      <w:bookmarkEnd w:id="203"/>
      <w:bookmarkEnd w:id="204"/>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第二，历史比较法。考察了基督教仁爱观念从早期教会的Agape传统到明清耶稣会士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第四，跨文化诠释法。借鉴刘耘华、Roger Ames、Tu Weiming等学者的跨文化比较方法，对基督教Agape与儒家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进行语义分析、结构比较与实践对接，探索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中的创造性诠释可能。</w:t>
      </w:r>
    </w:p>
    <w:p w14:paraId="679BE087">
      <w:pPr>
        <w:pStyle w:val="4"/>
        <w:bidi w:val="0"/>
        <w:rPr>
          <w:rFonts w:hint="eastAsia"/>
          <w:color w:val="auto"/>
          <w:lang w:val="en-US" w:eastAsia="zh-CN"/>
        </w:rPr>
      </w:pPr>
      <w:bookmarkStart w:id="205" w:name="_Toc502764593"/>
      <w:bookmarkStart w:id="206" w:name="_Toc1592901708"/>
      <w:bookmarkStart w:id="207" w:name="_Toc217950472"/>
      <w:bookmarkStart w:id="208" w:name="_Toc1967941959"/>
      <w:bookmarkStart w:id="209" w:name="_Toc1955539847"/>
      <w:bookmarkStart w:id="210" w:name="_Toc827591055"/>
      <w:bookmarkStart w:id="211" w:name="_Toc1360567552"/>
      <w:bookmarkStart w:id="212" w:name="_Toc186187918"/>
      <w:bookmarkStart w:id="213" w:name="_Toc918410051"/>
      <w:bookmarkStart w:id="214" w:name="_Toc928234027"/>
      <w:r>
        <w:rPr>
          <w:rFonts w:hint="eastAsia"/>
          <w:color w:val="auto"/>
          <w:lang w:val="en-US" w:eastAsia="zh-CN"/>
        </w:rPr>
        <w:t>三、主要创新点</w:t>
      </w:r>
      <w:bookmarkEnd w:id="205"/>
      <w:bookmarkEnd w:id="206"/>
      <w:bookmarkEnd w:id="207"/>
      <w:bookmarkEnd w:id="208"/>
      <w:bookmarkEnd w:id="209"/>
      <w:bookmarkEnd w:id="210"/>
      <w:bookmarkEnd w:id="211"/>
      <w:bookmarkEnd w:id="212"/>
      <w:bookmarkEnd w:id="213"/>
      <w:bookmarkEnd w:id="214"/>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本文的创新点主要体现在四个方面：第一，理论框架的创新。首次将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政治框架、Bhabha</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文化翻译理论、Rawls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政治哲学与Bevans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处境化神学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第二，教义诠释方案的创新。提出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的差序推扩逻辑与基督教Agape的普遍主义进行辩证统一，设计出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的三层诠释结构，为当代基督教讲道、神学思想建设提供可直接应用的方法论。这一方案直接回应了2023年《纲要》关于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第三，转化机制的创新。提出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的分层浸润机制，针对不同年龄、文化程度、地域特征的信众群体，设计差异化的教育引导策略，避免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的形式主义。特别设计了浙江神学院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需要特别说明的是，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不仅是本文的政治前提，更是贯穿全文的分析尺度。在第三章的契合性分析中，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认同伟大祖国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认同中华民族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构成价值追求契合的政治基础；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构成文化内核契合的历史根基；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认同中国共产党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则构成实践转化路径的制度保障。本文在教义阐释、教育引导、实践转化与制度保障四维路径的设计中，始终以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color w:val="auto"/>
          <w:sz w:val="24"/>
          <w:szCs w:val="24"/>
        </w:rPr>
      </w:pPr>
      <w:r>
        <w:rPr>
          <w:rFonts w:hint="eastAsia" w:ascii="宋体" w:hAnsi="宋体" w:eastAsia="宋体" w:cs="宋体"/>
          <w:color w:val="auto"/>
          <w:sz w:val="24"/>
          <w:szCs w:val="24"/>
        </w:rPr>
        <w:br w:type="page"/>
      </w:r>
    </w:p>
    <w:p w14:paraId="6EEF3911">
      <w:pPr>
        <w:pStyle w:val="2"/>
        <w:bidi w:val="0"/>
        <w:rPr>
          <w:rFonts w:hint="eastAsia"/>
          <w:color w:val="auto"/>
          <w:lang w:val="en-US" w:eastAsia="zh-CN"/>
        </w:rPr>
      </w:pPr>
      <w:bookmarkStart w:id="215" w:name="_Toc71279766"/>
      <w:bookmarkStart w:id="216" w:name="_Toc1633964769"/>
      <w:bookmarkStart w:id="217" w:name="_Toc376664147"/>
      <w:bookmarkStart w:id="218" w:name="_Toc652973208"/>
      <w:bookmarkStart w:id="219" w:name="_Toc1752756168"/>
      <w:bookmarkStart w:id="220" w:name="_Toc1763847253"/>
      <w:bookmarkStart w:id="221" w:name="_Toc1668474841"/>
      <w:bookmarkStart w:id="222" w:name="_Toc1804857466"/>
      <w:bookmarkStart w:id="223" w:name="_Toc1367862854"/>
      <w:bookmarkStart w:id="224" w:name="_Toc1508079981"/>
      <w:r>
        <w:rPr>
          <w:rFonts w:hint="eastAsia"/>
          <w:color w:val="auto"/>
          <w:lang w:val="en-US" w:eastAsia="zh-CN"/>
        </w:rPr>
        <w:t>二、</w:t>
      </w:r>
      <w:r>
        <w:rPr>
          <w:rFonts w:hint="eastAsia"/>
          <w:color w:val="auto"/>
        </w:rPr>
        <w:t>核心概念界定与理论基础</w:t>
      </w:r>
      <w:bookmarkEnd w:id="215"/>
      <w:bookmarkEnd w:id="216"/>
      <w:bookmarkEnd w:id="217"/>
      <w:bookmarkEnd w:id="218"/>
      <w:bookmarkEnd w:id="219"/>
      <w:bookmarkEnd w:id="220"/>
      <w:bookmarkEnd w:id="221"/>
      <w:bookmarkEnd w:id="222"/>
      <w:bookmarkEnd w:id="223"/>
      <w:bookmarkEnd w:id="224"/>
    </w:p>
    <w:p w14:paraId="1479F8BC">
      <w:pPr>
        <w:pStyle w:val="3"/>
        <w:bidi w:val="0"/>
        <w:rPr>
          <w:rFonts w:hint="eastAsia"/>
          <w:color w:val="auto"/>
          <w:lang w:val="en-US" w:eastAsia="zh-CN"/>
        </w:rPr>
      </w:pPr>
      <w:bookmarkStart w:id="225" w:name="_Toc1850635783"/>
      <w:bookmarkStart w:id="226" w:name="_Toc24994747"/>
      <w:bookmarkStart w:id="227" w:name="_Toc858546043"/>
      <w:bookmarkStart w:id="228" w:name="_Toc1539729677"/>
      <w:bookmarkStart w:id="229" w:name="_Toc1116517983"/>
      <w:bookmarkStart w:id="230" w:name="_Toc215190161"/>
      <w:bookmarkStart w:id="231" w:name="_Toc879270686"/>
      <w:bookmarkStart w:id="232" w:name="_Toc1032917187"/>
      <w:bookmarkStart w:id="233" w:name="_Toc1960010920"/>
      <w:bookmarkStart w:id="234" w:name="_Toc1698238773"/>
      <w:r>
        <w:rPr>
          <w:rFonts w:hint="eastAsia"/>
          <w:color w:val="auto"/>
          <w:lang w:val="en-US" w:eastAsia="zh-CN"/>
        </w:rPr>
        <w:t xml:space="preserve">第一节 </w:t>
      </w:r>
      <w:r>
        <w:rPr>
          <w:rFonts w:hint="eastAsia"/>
          <w:color w:val="auto"/>
        </w:rPr>
        <w:t>基督教仁爱观念的核心内涵与历史演进</w:t>
      </w:r>
      <w:bookmarkEnd w:id="225"/>
      <w:bookmarkEnd w:id="226"/>
      <w:bookmarkEnd w:id="227"/>
      <w:bookmarkEnd w:id="228"/>
      <w:bookmarkEnd w:id="229"/>
      <w:bookmarkEnd w:id="230"/>
      <w:bookmarkEnd w:id="231"/>
      <w:bookmarkEnd w:id="232"/>
      <w:bookmarkEnd w:id="233"/>
      <w:bookmarkEnd w:id="234"/>
    </w:p>
    <w:p w14:paraId="7DDB9437">
      <w:pPr>
        <w:pStyle w:val="4"/>
        <w:bidi w:val="0"/>
        <w:rPr>
          <w:rFonts w:hint="eastAsia"/>
          <w:color w:val="auto"/>
          <w:lang w:val="en-US" w:eastAsia="zh-CN"/>
        </w:rPr>
      </w:pPr>
      <w:bookmarkStart w:id="235" w:name="_Toc1067444595"/>
      <w:bookmarkStart w:id="236" w:name="_Toc605632795"/>
      <w:bookmarkStart w:id="237" w:name="_Toc640720508"/>
      <w:bookmarkStart w:id="238" w:name="_Toc1327401664"/>
      <w:bookmarkStart w:id="239" w:name="_Toc338574379"/>
      <w:bookmarkStart w:id="240" w:name="_Toc1651871107"/>
      <w:bookmarkStart w:id="241" w:name="_Toc2128843208"/>
      <w:bookmarkStart w:id="242" w:name="_Toc1058734989"/>
      <w:bookmarkStart w:id="243" w:name="_Toc1629945380"/>
      <w:bookmarkStart w:id="244" w:name="_Toc93905534"/>
      <w:r>
        <w:rPr>
          <w:rFonts w:hint="eastAsia"/>
          <w:color w:val="auto"/>
          <w:lang w:val="en-US" w:eastAsia="zh-CN"/>
        </w:rPr>
        <w:t>一、</w:t>
      </w:r>
      <w:r>
        <w:rPr>
          <w:rFonts w:hint="eastAsia"/>
          <w:color w:val="auto"/>
        </w:rPr>
        <w:t>Agape的神学本源：从希腊语汇到基督教伦理</w:t>
      </w:r>
      <w:bookmarkEnd w:id="235"/>
      <w:bookmarkEnd w:id="236"/>
      <w:bookmarkEnd w:id="237"/>
      <w:bookmarkEnd w:id="238"/>
      <w:bookmarkEnd w:id="239"/>
      <w:bookmarkEnd w:id="240"/>
      <w:bookmarkEnd w:id="241"/>
      <w:bookmarkEnd w:id="242"/>
      <w:bookmarkEnd w:id="243"/>
      <w:bookmarkEnd w:id="244"/>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t>基督教仁爱观念的本源内涵根植于其经典教义体系，核心表述"爱神"与"爱人"构成了一个不可分割的有机整体。在《圣经》的文本脉络里，这一观念并非简单的伦理倡导，而是源于神圣启示并以上帝之爱为终极典范的信仰实践。根据《马太福音》的记载，耶稣提出了两条核心诫命：一是全心全意地爱上帝，二是像爱自己一样关爱他人（太22:37-39）。这两条诫命共同确立了仁爱观念的神学基础与双重维度。</w:t>
        <w:rPr>
          <w:color w:val="FF0000"/>
        </w:rPr>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Anders Nygren在《圣爱与欲爱》中严格区分了Agape与Eros：Agape是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自上而下的赐予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，以上帝为唯一主体，具有无条件性和神圣性；Eros则是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自下而上的追求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，以人的需要为驱动力，具有条件性和世俗性。</w:t>
      </w:r>
      <w:r>
        <w:rPr>
          <w:rStyle w:val="29"/>
          <w:rFonts w:hint="eastAsia" w:ascii="宋体" w:hAnsi="宋体" w:eastAsia="宋体" w:cs="宋体"/>
          <w:color w:val="auto"/>
          <w:sz w:val="24"/>
          <w:szCs w:val="24"/>
        </w:rPr>
        <w:footnoteReference w:id="50"/>
      </w:r>
      <w:r>
        <w:rPr>
          <w:rFonts w:hint="eastAsia" w:ascii="宋体" w:hAnsi="宋体" w:eastAsia="宋体" w:cs="宋体"/>
          <w:color w:val="auto"/>
          <w:sz w:val="24"/>
          <w:szCs w:val="24"/>
        </w:rPr>
        <w:t xml:space="preserve"> 这一区分对理解基督教仁爱观念至关重要：其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无条件性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源于Agape的神学逻辑，而社会主义核心价值观的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则基于人的社会性需要，二者在本体论层面不可通约，但在伦理实践层面具有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家族相似性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（family resemblance）——即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Thomas Aquinas在《神学大全》中进一步将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（Charity/Caritas）系统化为神学德性，指出其本质在于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愿上帝得荣耀、愿邻人得拯救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，强调爱德不仅是情感，更是意志的定向（act of will）。</w:t>
      </w:r>
      <w:r>
        <w:rPr>
          <w:rStyle w:val="29"/>
          <w:rFonts w:hint="eastAsia" w:ascii="宋体" w:hAnsi="宋体" w:eastAsia="宋体" w:cs="宋体"/>
          <w:color w:val="auto"/>
          <w:sz w:val="24"/>
          <w:szCs w:val="24"/>
        </w:rPr>
        <w:footnoteReference w:id="51"/>
      </w:r>
      <w:r>
        <w:rPr>
          <w:rFonts w:hint="eastAsia" w:ascii="宋体" w:hAnsi="宋体" w:eastAsia="宋体" w:cs="宋体"/>
          <w:color w:val="auto"/>
          <w:sz w:val="24"/>
          <w:szCs w:val="24"/>
        </w:rPr>
        <w:t xml:space="preserve"> Pope Benedict XVI在通谕《天主是爱》中重新激活了这一传统，指出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作为教会团体的爱（charity）与作为个人情感的爱（eros）并非对立，而是统一于上帝之爱的完整表达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，并强调教会的社会服务是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爱德的公共实践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（public practice of charity）。</w:t>
      </w:r>
      <w:r>
        <w:rPr>
          <w:rStyle w:val="29"/>
          <w:rFonts w:hint="eastAsia" w:ascii="宋体" w:hAnsi="宋体" w:eastAsia="宋体" w:cs="宋体"/>
          <w:color w:val="auto"/>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耶稣关于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为逼迫你们的祷告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的教导（太5:44），以及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的寓言（路10:25-37），都深刻诠释了这种爱的超越性，它要求打破血缘、族群乃至敌友的界限，以一种普遍性的姿态关怀每一个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恩惠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的世俗化理解；仁则是儒家伦理的核心概念，以血缘亲情为根基的差序性推扩。三者的关系并非简单的线性对应，而是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翻译—转化—再创造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的复杂过程。</w:t>
      </w:r>
    </w:p>
    <w:p w14:paraId="71F29256">
      <w:pPr>
        <w:pStyle w:val="4"/>
        <w:bidi w:val="0"/>
        <w:rPr>
          <w:rFonts w:hint="eastAsia"/>
          <w:color w:val="auto"/>
          <w:lang w:val="en-US" w:eastAsia="zh-CN"/>
        </w:rPr>
      </w:pPr>
      <w:bookmarkStart w:id="245" w:name="_Toc462921127"/>
      <w:bookmarkStart w:id="246" w:name="_Toc1106571898"/>
      <w:bookmarkStart w:id="247" w:name="_Toc1579641812"/>
      <w:bookmarkStart w:id="248" w:name="_Toc1735406950"/>
      <w:bookmarkStart w:id="249" w:name="_Toc1945382432"/>
      <w:bookmarkStart w:id="250" w:name="_Toc329106933"/>
      <w:bookmarkStart w:id="251" w:name="_Toc242754189"/>
      <w:bookmarkStart w:id="252" w:name="_Toc109461081"/>
      <w:bookmarkStart w:id="253" w:name="_Toc1190600528"/>
      <w:bookmarkStart w:id="254" w:name="_Toc2017313040"/>
      <w:r>
        <w:rPr>
          <w:rFonts w:hint="eastAsia"/>
          <w:color w:val="auto"/>
          <w:lang w:val="en-US" w:eastAsia="zh-CN"/>
        </w:rPr>
        <w:t>二、</w:t>
      </w:r>
      <w:r>
        <w:rPr>
          <w:rFonts w:hint="eastAsia"/>
          <w:color w:val="auto"/>
        </w:rPr>
        <w:t>基督教仁爱观念的中国化演进：从</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到三自爱国</w:t>
      </w:r>
      <w:bookmarkEnd w:id="245"/>
      <w:bookmarkEnd w:id="246"/>
      <w:bookmarkEnd w:id="247"/>
      <w:bookmarkEnd w:id="248"/>
      <w:bookmarkEnd w:id="249"/>
      <w:bookmarkEnd w:id="250"/>
      <w:bookmarkEnd w:id="251"/>
      <w:bookmarkEnd w:id="252"/>
      <w:bookmarkEnd w:id="253"/>
      <w:bookmarkEnd w:id="254"/>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清末民初伴随不平等条约进入中国的基督教会，多以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洋教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思想和基督教伦理的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博爱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思想分别代表了东西方文明的思想精华，二者的差异在于社会历史文化背景不同、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的对象与范围不同、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的表现形式不同、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的实现途径不同。</w:t>
      </w:r>
      <w:r>
        <w:rPr>
          <w:rStyle w:val="29"/>
          <w:rFonts w:hint="eastAsia" w:ascii="宋体" w:hAnsi="宋体" w:eastAsia="宋体" w:cs="宋体"/>
          <w:color w:val="auto"/>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民国时期本土教会发起的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本色化运动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率先开启了仁爱观念的适配调整。赵天恩指出，本色化运动的核心在于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使基督教在中华国土上彻底除去洋教的面貌，建立由中国信徒自主、自养、自传的教会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4"/>
      </w:r>
      <w:r>
        <w:rPr>
          <w:rFonts w:hint="eastAsia" w:ascii="宋体" w:hAnsi="宋体" w:eastAsia="宋体" w:cs="宋体"/>
          <w:color w:val="auto"/>
          <w:sz w:val="24"/>
          <w:szCs w:val="24"/>
        </w:rPr>
        <w:t xml:space="preserve"> 不少教会人士尝试将基督教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的教义与儒家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克己复礼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的思想做互释，弱化教义中的排他性，转而吸纳儒家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color w:val="auto"/>
          <w:sz w:val="24"/>
          <w:szCs w:val="24"/>
        </w:rPr>
        <w:footnoteReference w:id="55"/>
      </w:r>
      <w:r>
        <w:rPr>
          <w:rStyle w:val="29"/>
          <w:rFonts w:hint="eastAsia" w:ascii="宋体" w:hAnsi="宋体" w:eastAsia="宋体" w:cs="宋体"/>
          <w:color w:val="auto"/>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color w:val="auto"/>
          <w:lang w:val="en-US" w:eastAsia="zh-CN"/>
        </w:rPr>
      </w:pPr>
      <w:bookmarkStart w:id="255" w:name="_Toc2009198743"/>
      <w:bookmarkStart w:id="256" w:name="_Toc170451350"/>
      <w:bookmarkStart w:id="257" w:name="_Toc604009049"/>
      <w:bookmarkStart w:id="258" w:name="_Toc1898208870"/>
      <w:bookmarkStart w:id="259" w:name="_Toc2129612055"/>
      <w:bookmarkStart w:id="260" w:name="_Toc945506666"/>
      <w:bookmarkStart w:id="261" w:name="_Toc1529831906"/>
      <w:bookmarkStart w:id="262" w:name="_Toc1847090070"/>
      <w:bookmarkStart w:id="263" w:name="_Toc1466386535"/>
      <w:bookmarkStart w:id="264" w:name="_Toc508444444"/>
      <w:r>
        <w:rPr>
          <w:rFonts w:hint="eastAsia"/>
          <w:color w:val="auto"/>
          <w:lang w:val="en-US" w:eastAsia="zh-CN"/>
        </w:rPr>
        <w:t>三、</w:t>
      </w:r>
      <w:r>
        <w:rPr>
          <w:rFonts w:hint="eastAsia"/>
          <w:color w:val="auto"/>
        </w:rPr>
        <w:t>当代中国基督教仁爱观念的实践特征与世俗化趋势</w:t>
      </w:r>
      <w:bookmarkEnd w:id="255"/>
      <w:bookmarkEnd w:id="256"/>
      <w:bookmarkEnd w:id="257"/>
      <w:bookmarkEnd w:id="258"/>
      <w:bookmarkEnd w:id="259"/>
      <w:bookmarkEnd w:id="260"/>
      <w:bookmarkEnd w:id="261"/>
      <w:bookmarkEnd w:id="262"/>
      <w:bookmarkEnd w:id="263"/>
      <w:bookmarkEnd w:id="264"/>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color w:val="auto"/>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color w:val="auto"/>
          <w:lang w:val="en-US" w:eastAsia="zh-CN"/>
        </w:rPr>
      </w:pPr>
      <w:bookmarkStart w:id="265" w:name="_Toc63138611"/>
      <w:bookmarkStart w:id="266" w:name="_Toc424887174"/>
      <w:bookmarkStart w:id="267" w:name="_Toc279863836"/>
      <w:bookmarkStart w:id="268" w:name="_Toc19205458"/>
      <w:bookmarkStart w:id="269" w:name="_Toc1899031309"/>
      <w:bookmarkStart w:id="270" w:name="_Toc32654352"/>
      <w:bookmarkStart w:id="271" w:name="_Toc1570408173"/>
      <w:bookmarkStart w:id="272" w:name="_Toc179418258"/>
      <w:bookmarkStart w:id="273" w:name="_Toc1036160773"/>
      <w:bookmarkStart w:id="274" w:name="_Toc588338895"/>
      <w:r>
        <w:rPr>
          <w:rFonts w:hint="eastAsia"/>
          <w:color w:val="auto"/>
          <w:lang w:val="en-US" w:eastAsia="zh-CN"/>
        </w:rPr>
        <w:t xml:space="preserve">第二节 </w:t>
      </w:r>
      <w:r>
        <w:rPr>
          <w:rFonts w:hint="eastAsia"/>
          <w:color w:val="auto"/>
        </w:rPr>
        <w:t>社会主义核心价值观的核心要义与价值追求</w:t>
      </w:r>
      <w:bookmarkEnd w:id="265"/>
      <w:bookmarkEnd w:id="266"/>
      <w:bookmarkEnd w:id="267"/>
      <w:bookmarkEnd w:id="268"/>
      <w:bookmarkEnd w:id="269"/>
      <w:bookmarkEnd w:id="270"/>
      <w:bookmarkEnd w:id="271"/>
      <w:bookmarkEnd w:id="272"/>
      <w:bookmarkEnd w:id="273"/>
      <w:bookmarkEnd w:id="274"/>
    </w:p>
    <w:p w14:paraId="4AE00435">
      <w:pPr>
        <w:pStyle w:val="4"/>
        <w:bidi w:val="0"/>
        <w:rPr>
          <w:rFonts w:hint="eastAsia"/>
          <w:color w:val="auto"/>
          <w:lang w:val="en-US" w:eastAsia="zh-CN"/>
        </w:rPr>
      </w:pPr>
      <w:bookmarkStart w:id="275" w:name="_Toc1117248649"/>
      <w:bookmarkStart w:id="276" w:name="_Toc809218288"/>
      <w:bookmarkStart w:id="277" w:name="_Toc1213364079"/>
      <w:bookmarkStart w:id="278" w:name="_Toc663585556"/>
      <w:bookmarkStart w:id="279" w:name="_Toc1276141981"/>
      <w:bookmarkStart w:id="280" w:name="_Toc415621818"/>
      <w:bookmarkStart w:id="281" w:name="_Toc313713459"/>
      <w:bookmarkStart w:id="282" w:name="_Toc695607143"/>
      <w:bookmarkStart w:id="283" w:name="_Toc682304722"/>
      <w:bookmarkStart w:id="284" w:name="_Toc1197097477"/>
      <w:r>
        <w:rPr>
          <w:rFonts w:hint="eastAsia"/>
          <w:color w:val="auto"/>
          <w:lang w:val="en-US" w:eastAsia="zh-CN"/>
        </w:rPr>
        <w:t>一、</w:t>
      </w:r>
      <w:r>
        <w:rPr>
          <w:rFonts w:hint="eastAsia"/>
          <w:color w:val="auto"/>
        </w:rPr>
        <w:t>三个层面的价值内涵与逻辑关联</w:t>
      </w:r>
      <w:bookmarkEnd w:id="275"/>
      <w:bookmarkEnd w:id="276"/>
      <w:bookmarkEnd w:id="277"/>
      <w:bookmarkEnd w:id="278"/>
      <w:bookmarkEnd w:id="279"/>
      <w:bookmarkEnd w:id="280"/>
      <w:bookmarkEnd w:id="281"/>
      <w:bookmarkEnd w:id="282"/>
      <w:bookmarkEnd w:id="283"/>
      <w:bookmarkEnd w:id="284"/>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民富国强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color w:val="auto"/>
          <w:lang w:val="en-US" w:eastAsia="zh-CN"/>
        </w:rPr>
      </w:pPr>
      <w:bookmarkStart w:id="285" w:name="_Toc1739075082"/>
      <w:bookmarkStart w:id="286" w:name="_Toc509752028"/>
      <w:bookmarkStart w:id="287" w:name="_Toc1034375"/>
      <w:bookmarkStart w:id="288" w:name="_Toc2080271321"/>
      <w:bookmarkStart w:id="289" w:name="_Toc168278133"/>
      <w:bookmarkStart w:id="290" w:name="_Toc505363841"/>
      <w:bookmarkStart w:id="291" w:name="_Toc1199092078"/>
      <w:bookmarkStart w:id="292" w:name="_Toc999860821"/>
      <w:bookmarkStart w:id="293" w:name="_Toc517829965"/>
      <w:bookmarkStart w:id="294" w:name="_Toc1990490843"/>
      <w:r>
        <w:rPr>
          <w:rFonts w:hint="eastAsia"/>
          <w:color w:val="auto"/>
          <w:lang w:val="en-US" w:eastAsia="zh-CN"/>
        </w:rPr>
        <w:t>二、</w:t>
      </w:r>
      <w:r>
        <w:rPr>
          <w:rFonts w:hint="eastAsia"/>
          <w:color w:val="auto"/>
        </w:rPr>
        <w:t>核心价值观对宗教领域的引领功能</w:t>
      </w:r>
      <w:bookmarkEnd w:id="285"/>
      <w:bookmarkEnd w:id="286"/>
      <w:bookmarkEnd w:id="287"/>
      <w:bookmarkEnd w:id="288"/>
      <w:bookmarkEnd w:id="289"/>
      <w:bookmarkEnd w:id="290"/>
      <w:bookmarkEnd w:id="291"/>
      <w:bookmarkEnd w:id="292"/>
      <w:bookmarkEnd w:id="293"/>
      <w:bookmarkEnd w:id="294"/>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color w:val="auto"/>
          <w:lang w:val="en-US" w:eastAsia="zh-CN"/>
        </w:rPr>
      </w:pPr>
      <w:bookmarkStart w:id="295" w:name="_Toc352251802"/>
      <w:bookmarkStart w:id="296" w:name="_Toc1382467504"/>
      <w:bookmarkStart w:id="297" w:name="_Toc679345335"/>
      <w:r>
        <w:rPr>
          <w:color w:val="auto"/>
        </w:rPr>
        <w:t>第三节 研究的理论基础与分析框架</w:t>
      </w:r>
      <w:bookmarkEnd w:id="295"/>
      <w:bookmarkEnd w:id="296"/>
      <w:bookmarkEnd w:id="297"/>
    </w:p>
    <w:p w14:paraId="48ABBCA4">
      <w:pPr>
        <w:pStyle w:val="4"/>
        <w:bidi w:val="0"/>
        <w:rPr>
          <w:rFonts w:hint="eastAsia"/>
          <w:color w:val="auto"/>
          <w:lang w:val="en-US" w:eastAsia="zh-CN"/>
        </w:rPr>
      </w:pPr>
      <w:bookmarkStart w:id="298" w:name="_Toc494679709"/>
      <w:bookmarkStart w:id="299" w:name="_Toc1546430829"/>
      <w:bookmarkStart w:id="300" w:name="_Toc1831105082"/>
      <w:bookmarkStart w:id="301" w:name="_Toc1505762835"/>
      <w:bookmarkStart w:id="302" w:name="_Toc1815375869"/>
      <w:bookmarkStart w:id="303" w:name="_Toc875489466"/>
      <w:bookmarkStart w:id="304" w:name="_Toc648545593"/>
      <w:bookmarkStart w:id="305" w:name="_Toc568252834"/>
      <w:bookmarkStart w:id="306" w:name="_Toc858157202"/>
      <w:bookmarkStart w:id="307" w:name="_Toc1733977893"/>
      <w:r>
        <w:rPr>
          <w:rFonts w:hint="eastAsia"/>
          <w:color w:val="auto"/>
          <w:lang w:val="en-US" w:eastAsia="zh-CN"/>
        </w:rPr>
        <w:t>一、</w:t>
      </w:r>
      <w:r>
        <w:rPr>
          <w:rFonts w:hint="eastAsia"/>
          <w:color w:val="auto"/>
        </w:rPr>
        <w:t>中国特色社会主义宗教理论：政策合法性框架</w:t>
      </w:r>
      <w:bookmarkEnd w:id="298"/>
      <w:bookmarkEnd w:id="299"/>
      <w:bookmarkEnd w:id="300"/>
      <w:bookmarkEnd w:id="301"/>
      <w:bookmarkEnd w:id="302"/>
      <w:bookmarkEnd w:id="303"/>
      <w:bookmarkEnd w:id="304"/>
      <w:bookmarkEnd w:id="305"/>
      <w:bookmarkEnd w:id="306"/>
      <w:bookmarkEnd w:id="307"/>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color w:val="auto"/>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改革开放后，随着社会转型和宗教领域的新变化，理论不断得到丰富和发展。龚学增系统论述了社会主义与宗教的关系，提出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积极引导宗教与社会主义社会相适应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是处理中国宗教问题的根本途径。</w:t>
      </w:r>
      <w:r>
        <w:rPr>
          <w:rStyle w:val="29"/>
          <w:rFonts w:hint="eastAsia" w:ascii="宋体" w:hAnsi="宋体" w:eastAsia="宋体" w:cs="宋体"/>
          <w:color w:val="auto"/>
          <w:sz w:val="24"/>
          <w:szCs w:val="24"/>
        </w:rPr>
        <w:footnoteReference w:id="59"/>
      </w:r>
      <w:r>
        <w:rPr>
          <w:rFonts w:hint="eastAsia" w:ascii="宋体" w:hAnsi="宋体" w:eastAsia="宋体" w:cs="宋体"/>
          <w:color w:val="auto"/>
          <w:sz w:val="24"/>
          <w:szCs w:val="24"/>
        </w:rPr>
        <w:t xml:space="preserve"> 到新时代，习近平总书记提出的坚持宗教中国化方向、以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该理论的核心内容包括几个关键方面：首先是关于我国宗教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的基本判断，即长期性、群众性、民族性、国际性、复杂性；其次是坚持宗教中国化方向的核心要求；最后是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的宗教工作方针，主张积极引导宗教与社会主义社会相适应。</w:t>
      </w:r>
      <w:r>
        <w:rPr>
          <w:rStyle w:val="29"/>
          <w:rFonts w:hint="eastAsia" w:ascii="宋体" w:hAnsi="宋体" w:eastAsia="宋体" w:cs="宋体"/>
          <w:color w:val="auto"/>
          <w:sz w:val="24"/>
          <w:szCs w:val="24"/>
        </w:rPr>
        <w:footnoteReference w:id="60"/>
      </w:r>
      <w:r>
        <w:rPr>
          <w:rFonts w:hint="eastAsia" w:ascii="宋体" w:hAnsi="宋体" w:eastAsia="宋体" w:cs="宋体"/>
          <w:color w:val="auto"/>
          <w:sz w:val="24"/>
          <w:szCs w:val="24"/>
        </w:rPr>
        <w:t xml:space="preserve"> 本文以此作为研究的根本政策遵循，确保分析不偏离正确的政治方向。</w:t>
      </w:r>
    </w:p>
    <w:p w14:paraId="6E62AE12">
      <w:pPr>
        <w:pStyle w:val="4"/>
        <w:bidi w:val="0"/>
        <w:rPr>
          <w:rFonts w:hint="eastAsia"/>
          <w:color w:val="auto"/>
          <w:lang w:val="en-US" w:eastAsia="zh-CN"/>
        </w:rPr>
      </w:pPr>
      <w:bookmarkStart w:id="308" w:name="_Toc2015847009"/>
      <w:bookmarkStart w:id="309" w:name="_Toc765602829"/>
      <w:bookmarkStart w:id="310" w:name="_Toc1172671626"/>
      <w:bookmarkStart w:id="311" w:name="_Toc547920762"/>
      <w:bookmarkStart w:id="312" w:name="_Toc1408671597"/>
      <w:bookmarkStart w:id="313" w:name="_Toc1942451664"/>
      <w:bookmarkStart w:id="314" w:name="_Toc1940989465"/>
      <w:bookmarkStart w:id="315" w:name="_Toc1626273026"/>
      <w:bookmarkStart w:id="316" w:name="_Toc1722057354"/>
      <w:bookmarkStart w:id="317" w:name="_Toc1613357861"/>
      <w:r>
        <w:rPr>
          <w:rFonts w:hint="eastAsia"/>
          <w:color w:val="auto"/>
          <w:lang w:val="en-US" w:eastAsia="zh-CN"/>
        </w:rPr>
        <w:t>二、</w:t>
      </w:r>
      <w:r>
        <w:rPr>
          <w:rFonts w:hint="eastAsia"/>
          <w:color w:val="auto"/>
        </w:rPr>
        <w:t>文化翻译理论与</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：过程分析框架</w:t>
      </w:r>
      <w:bookmarkEnd w:id="308"/>
      <w:bookmarkEnd w:id="309"/>
      <w:bookmarkEnd w:id="310"/>
      <w:bookmarkEnd w:id="311"/>
      <w:bookmarkEnd w:id="312"/>
      <w:bookmarkEnd w:id="313"/>
      <w:bookmarkEnd w:id="314"/>
      <w:bookmarkEnd w:id="315"/>
      <w:bookmarkEnd w:id="316"/>
      <w:bookmarkEnd w:id="31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Homi Bhabha的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理论指出，文化相遇并非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本土—外来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的二元对立，而是在交互中生成新的意义空间。</w:t>
      </w:r>
      <w:r>
        <w:rPr>
          <w:rStyle w:val="29"/>
          <w:rFonts w:hint="eastAsia" w:ascii="宋体" w:hAnsi="宋体" w:eastAsia="宋体" w:cs="宋体"/>
          <w:color w:val="auto"/>
          <w:sz w:val="24"/>
          <w:szCs w:val="24"/>
        </w:rPr>
        <w:footnoteReference w:id="61"/>
      </w:r>
      <w:r>
        <w:rPr>
          <w:rFonts w:hint="eastAsia" w:ascii="宋体" w:hAnsi="宋体" w:eastAsia="宋体" w:cs="宋体"/>
          <w:color w:val="auto"/>
          <w:sz w:val="24"/>
          <w:szCs w:val="24"/>
        </w:rPr>
        <w:t xml:space="preserve"> 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的实践，正是发生在这一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刘耘华系统分析了这一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的机制，指出其本质是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62"/>
      </w:r>
      <w:r>
        <w:rPr>
          <w:rFonts w:hint="eastAsia" w:ascii="宋体" w:hAnsi="宋体" w:eastAsia="宋体" w:cs="宋体"/>
          <w:color w:val="auto"/>
          <w:sz w:val="24"/>
          <w:szCs w:val="24"/>
        </w:rPr>
        <w:t xml:space="preserve"> 本文将当代融合视为这一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的延续：基督教仁爱观念与核心价值观的对话，不是在二者之间寻找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最大公约数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中生成兼具双方特质的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新意义。这一理论视角为第三章第三节分析二者文化内核的契合性提供了分析工具。</w:t>
      </w:r>
    </w:p>
    <w:p w14:paraId="6DD6A973">
      <w:pPr>
        <w:pStyle w:val="4"/>
        <w:bidi w:val="0"/>
        <w:rPr>
          <w:rFonts w:hint="eastAsia"/>
          <w:color w:val="auto"/>
          <w:lang w:val="en-US" w:eastAsia="zh-CN"/>
        </w:rPr>
      </w:pPr>
      <w:bookmarkStart w:id="318" w:name="_Toc980838059"/>
      <w:bookmarkStart w:id="319" w:name="_Toc1933340325"/>
      <w:bookmarkStart w:id="320" w:name="_Toc1638665191"/>
      <w:bookmarkStart w:id="321" w:name="_Toc494368598"/>
      <w:bookmarkStart w:id="322" w:name="_Toc1683806251"/>
      <w:bookmarkStart w:id="323" w:name="_Toc1912217826"/>
      <w:bookmarkStart w:id="324" w:name="_Toc1746372613"/>
      <w:bookmarkStart w:id="325" w:name="_Toc1634589663"/>
      <w:bookmarkStart w:id="326" w:name="_Toc738715154"/>
      <w:bookmarkStart w:id="327" w:name="_Toc1577042805"/>
      <w:r>
        <w:rPr>
          <w:rFonts w:hint="eastAsia"/>
          <w:color w:val="auto"/>
          <w:lang w:val="en-US" w:eastAsia="zh-CN"/>
        </w:rPr>
        <w:t>三、</w:t>
      </w:r>
      <w:r>
        <w:rPr>
          <w:rFonts w:hint="eastAsia"/>
          <w:color w:val="auto"/>
        </w:rPr>
        <w:t>交叠共识理论：价值对话框架</w:t>
      </w:r>
      <w:bookmarkEnd w:id="318"/>
      <w:bookmarkEnd w:id="319"/>
      <w:bookmarkEnd w:id="320"/>
      <w:bookmarkEnd w:id="321"/>
      <w:bookmarkEnd w:id="322"/>
      <w:bookmarkEnd w:id="323"/>
      <w:bookmarkEnd w:id="324"/>
      <w:bookmarkEnd w:id="325"/>
      <w:bookmarkEnd w:id="326"/>
      <w:bookmarkEnd w:id="327"/>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等实践性价值上形成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63"/>
      </w:r>
      <w:r>
        <w:rPr>
          <w:rStyle w:val="29"/>
          <w:rFonts w:hint="eastAsia" w:ascii="宋体" w:hAnsi="宋体" w:eastAsia="宋体" w:cs="宋体"/>
          <w:color w:val="auto"/>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这一理论视角为第三章第一节分析二者价值追求的契合性提供了分析工具，同时也回应了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的质疑——融合不是掩盖差异，而是承认差异前提下的实践合作。</w:t>
      </w:r>
    </w:p>
    <w:p w14:paraId="6A5BDA40">
      <w:pPr>
        <w:pStyle w:val="4"/>
        <w:bidi w:val="0"/>
        <w:rPr>
          <w:rFonts w:hint="eastAsia"/>
          <w:color w:val="auto"/>
          <w:lang w:val="en-US" w:eastAsia="zh-CN"/>
        </w:rPr>
      </w:pPr>
      <w:bookmarkStart w:id="328" w:name="_Toc1625503142"/>
      <w:bookmarkStart w:id="329" w:name="_Toc860783241"/>
      <w:bookmarkStart w:id="330" w:name="_Toc1552224227"/>
      <w:bookmarkStart w:id="331" w:name="_Toc1937653617"/>
      <w:bookmarkStart w:id="332" w:name="_Toc192160391"/>
      <w:bookmarkStart w:id="333" w:name="_Toc238796343"/>
      <w:bookmarkStart w:id="334" w:name="_Toc982629971"/>
      <w:bookmarkStart w:id="335" w:name="_Toc75779518"/>
      <w:bookmarkStart w:id="336" w:name="_Toc1715576009"/>
      <w:bookmarkStart w:id="337" w:name="_Toc1115252361"/>
      <w:r>
        <w:rPr>
          <w:rFonts w:hint="eastAsia"/>
          <w:color w:val="auto"/>
          <w:lang w:val="en-US" w:eastAsia="zh-CN"/>
        </w:rPr>
        <w:t>四、</w:t>
      </w:r>
      <w:r>
        <w:rPr>
          <w:rFonts w:hint="eastAsia"/>
          <w:color w:val="auto"/>
        </w:rPr>
        <w:t>处境化神学理论：教义诠释创新框架</w:t>
      </w:r>
      <w:bookmarkEnd w:id="328"/>
      <w:bookmarkEnd w:id="329"/>
      <w:bookmarkEnd w:id="330"/>
      <w:bookmarkEnd w:id="331"/>
      <w:bookmarkEnd w:id="332"/>
      <w:bookmarkEnd w:id="333"/>
      <w:bookmarkEnd w:id="334"/>
      <w:bookmarkEnd w:id="335"/>
      <w:bookmarkEnd w:id="336"/>
      <w:bookmarkEnd w:id="337"/>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在教义诠释的方法论方面，Bevans的处境化神学理论为基督教教义的本土化提供了多种路径选择。其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合成模型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主张在基督教传统与本土文化之间寻找综合点，创造新的神学表达；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自然模型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则主张在本土文化的自然发展中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福音的踪迹，而非强加外来的神学框架。Schreiter进一步指出，本土神学建构需经历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外来神学中的文化霸权元素，然后在本土经验中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福音的意义。本文提出的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Agape与仁的创造性对接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w:t>
      </w:r>
      <w:r>
        <w:rPr>
          <w:rStyle w:val="29"/>
          <w:rFonts w:hint="eastAsia" w:ascii="宋体" w:hAnsi="宋体" w:eastAsia="宋体" w:cs="宋体"/>
          <w:color w:val="auto"/>
          <w:sz w:val="24"/>
          <w:szCs w:val="24"/>
        </w:rPr>
        <w:footnoteReference w:id="65"/>
      </w:r>
      <w:r>
        <w:rPr>
          <w:rStyle w:val="29"/>
          <w:rFonts w:hint="eastAsia" w:ascii="宋体" w:hAnsi="宋体" w:eastAsia="宋体" w:cs="宋体"/>
          <w:color w:val="auto"/>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Robert Schreiter在《建构本土神学》中进一步指出，本土神学建构需要经历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（deconstruction）与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（reconstruction）两个阶段：首先解构外来神学中的文化霸权元素，然后在本土经验中重构福音的意义。</w:t>
      </w:r>
      <w:r>
        <w:rPr>
          <w:rStyle w:val="29"/>
          <w:rFonts w:hint="eastAsia" w:ascii="宋体" w:hAnsi="宋体" w:eastAsia="宋体" w:cs="宋体"/>
          <w:color w:val="auto"/>
          <w:sz w:val="24"/>
          <w:szCs w:val="24"/>
        </w:rPr>
        <w:footnoteReference w:id="67"/>
      </w:r>
      <w:r>
        <w:rPr>
          <w:rFonts w:hint="eastAsia" w:ascii="宋体" w:hAnsi="宋体" w:eastAsia="宋体" w:cs="宋体"/>
          <w:color w:val="auto"/>
          <w:sz w:val="24"/>
          <w:szCs w:val="24"/>
        </w:rPr>
        <w:t xml:space="preserve"> 本文提出的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方案，正是这一方法论的具体应用。2023年《纲要》明确提出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以社会主义核心价值观为引领，用中华优秀传统文化浸润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，这一政策要求与处境化神学理论形成了理论与实践的双向互动。</w:t>
      </w:r>
    </w:p>
    <w:p w14:paraId="37A1B6C4">
      <w:pPr>
        <w:pStyle w:val="4"/>
        <w:bidi w:val="0"/>
        <w:rPr>
          <w:rFonts w:hint="eastAsia"/>
          <w:color w:val="auto"/>
          <w:lang w:val="en-US" w:eastAsia="zh-CN"/>
        </w:rPr>
      </w:pPr>
      <w:bookmarkStart w:id="338" w:name="_Toc1691834107"/>
      <w:bookmarkStart w:id="339" w:name="_Toc1734085295"/>
      <w:bookmarkStart w:id="340" w:name="_Toc168556355"/>
      <w:bookmarkStart w:id="341" w:name="_Toc601239433"/>
      <w:bookmarkStart w:id="342" w:name="_Toc1971770096"/>
      <w:bookmarkStart w:id="343" w:name="_Toc912677167"/>
      <w:bookmarkStart w:id="344" w:name="_Toc1950684205"/>
      <w:bookmarkStart w:id="345" w:name="_Toc1570538641"/>
      <w:bookmarkStart w:id="346" w:name="_Toc1702317811"/>
      <w:bookmarkStart w:id="347" w:name="_Toc809160311"/>
      <w:r>
        <w:rPr>
          <w:rFonts w:hint="eastAsia"/>
          <w:color w:val="auto"/>
          <w:lang w:val="en-US" w:eastAsia="zh-CN"/>
        </w:rPr>
        <w:t>五、</w:t>
      </w:r>
      <w:r>
        <w:rPr>
          <w:rFonts w:hint="eastAsia"/>
          <w:color w:val="auto"/>
        </w:rPr>
        <w:t>研究边界与理论承诺</w:t>
      </w:r>
      <w:bookmarkEnd w:id="338"/>
      <w:bookmarkEnd w:id="339"/>
      <w:bookmarkEnd w:id="340"/>
      <w:bookmarkEnd w:id="341"/>
      <w:bookmarkEnd w:id="342"/>
      <w:bookmarkEnd w:id="343"/>
      <w:bookmarkEnd w:id="344"/>
      <w:bookmarkEnd w:id="345"/>
      <w:bookmarkEnd w:id="346"/>
      <w:bookmarkEnd w:id="347"/>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41F0EDF3">
      <w:pPr>
        <w:pStyle w:val="2"/>
        <w:bidi w:val="0"/>
        <w:rPr>
          <w:rFonts w:hint="eastAsia"/>
          <w:color w:val="auto"/>
          <w:lang w:val="en-US" w:eastAsia="zh-CN"/>
        </w:rPr>
      </w:pPr>
      <w:bookmarkStart w:id="348" w:name="_Toc395728092"/>
      <w:bookmarkStart w:id="349" w:name="_Toc2036938895"/>
      <w:bookmarkStart w:id="350" w:name="_Toc1719846615"/>
      <w:bookmarkStart w:id="351" w:name="_Toc1270979628"/>
      <w:bookmarkStart w:id="352" w:name="_Toc1120591296"/>
      <w:bookmarkStart w:id="353" w:name="_Toc1321434010"/>
      <w:bookmarkStart w:id="354" w:name="_Toc2078304143"/>
      <w:bookmarkStart w:id="355" w:name="_Toc1664078333"/>
      <w:bookmarkStart w:id="356" w:name="_Toc1972350069"/>
      <w:bookmarkStart w:id="357" w:name="_Toc1690894173"/>
      <w:r>
        <w:rPr>
          <w:rFonts w:hint="eastAsia"/>
          <w:color w:val="auto"/>
          <w:lang w:val="en-US" w:eastAsia="zh-CN"/>
        </w:rPr>
        <w:t>三、</w:t>
      </w:r>
      <w:r>
        <w:rPr>
          <w:rFonts w:hint="eastAsia"/>
          <w:color w:val="auto"/>
        </w:rPr>
        <w:t>基督教仁爱观念与社会主义核心价值观的契合性分析</w:t>
      </w:r>
      <w:bookmarkEnd w:id="348"/>
      <w:bookmarkEnd w:id="349"/>
      <w:bookmarkEnd w:id="350"/>
      <w:bookmarkEnd w:id="351"/>
      <w:bookmarkEnd w:id="352"/>
      <w:bookmarkEnd w:id="353"/>
      <w:bookmarkEnd w:id="354"/>
      <w:bookmarkEnd w:id="355"/>
      <w:bookmarkEnd w:id="356"/>
      <w:bookmarkEnd w:id="357"/>
    </w:p>
    <w:p w14:paraId="15750AA9">
      <w:pPr>
        <w:pStyle w:val="3"/>
        <w:bidi w:val="0"/>
        <w:rPr>
          <w:rFonts w:hint="eastAsia"/>
          <w:color w:val="auto"/>
          <w:lang w:val="en-US" w:eastAsia="zh-CN"/>
        </w:rPr>
      </w:pPr>
      <w:bookmarkStart w:id="358" w:name="_Toc1236212946"/>
      <w:bookmarkStart w:id="359" w:name="_Toc730034591"/>
      <w:bookmarkStart w:id="360" w:name="_Toc245187485"/>
      <w:bookmarkStart w:id="361" w:name="_Toc334771087"/>
      <w:bookmarkStart w:id="362" w:name="_Toc346327682"/>
      <w:bookmarkStart w:id="363" w:name="_Toc65528796"/>
      <w:bookmarkStart w:id="364" w:name="_Toc1795191438"/>
      <w:bookmarkStart w:id="365" w:name="_Toc1485007850"/>
      <w:bookmarkStart w:id="366" w:name="_Toc332169685"/>
      <w:bookmarkStart w:id="367" w:name="_Toc1207264860"/>
      <w:r>
        <w:rPr>
          <w:rFonts w:hint="eastAsia"/>
          <w:color w:val="auto"/>
          <w:lang w:val="en-US" w:eastAsia="zh-CN"/>
        </w:rPr>
        <w:t xml:space="preserve">第一节 </w:t>
      </w:r>
      <w:r>
        <w:rPr>
          <w:rFonts w:hint="eastAsia"/>
          <w:color w:val="auto"/>
        </w:rPr>
        <w:t>价值追求的契合：对人的尊严与福祉的共同关切</w:t>
      </w:r>
      <w:bookmarkEnd w:id="358"/>
      <w:bookmarkEnd w:id="359"/>
      <w:bookmarkEnd w:id="360"/>
      <w:bookmarkEnd w:id="361"/>
      <w:bookmarkEnd w:id="362"/>
      <w:bookmarkEnd w:id="363"/>
      <w:bookmarkEnd w:id="364"/>
      <w:bookmarkEnd w:id="365"/>
      <w:bookmarkEnd w:id="366"/>
      <w:bookmarkEnd w:id="367"/>
    </w:p>
    <w:p w14:paraId="5C38FD65">
      <w:pPr>
        <w:pStyle w:val="4"/>
        <w:bidi w:val="0"/>
        <w:rPr>
          <w:rFonts w:hint="eastAsia"/>
          <w:color w:val="auto"/>
          <w:lang w:val="en-US" w:eastAsia="zh-CN"/>
        </w:rPr>
      </w:pPr>
      <w:bookmarkStart w:id="368" w:name="_Toc1992425449"/>
      <w:bookmarkStart w:id="369" w:name="_Toc1784741763"/>
      <w:bookmarkStart w:id="370" w:name="_Toc126698697"/>
      <w:bookmarkStart w:id="371" w:name="_Toc1465897242"/>
      <w:bookmarkStart w:id="372" w:name="_Toc471989516"/>
      <w:bookmarkStart w:id="373" w:name="_Toc1830847108"/>
      <w:bookmarkStart w:id="374" w:name="_Toc90504069"/>
      <w:bookmarkStart w:id="375" w:name="_Toc1048668004"/>
      <w:bookmarkStart w:id="376" w:name="_Toc1117295626"/>
      <w:bookmarkStart w:id="377" w:name="_Toc1075005164"/>
      <w:r>
        <w:rPr>
          <w:rFonts w:hint="eastAsia"/>
          <w:color w:val="auto"/>
          <w:lang w:val="en-US" w:eastAsia="zh-CN"/>
        </w:rPr>
        <w:t>一、</w:t>
      </w:r>
      <w:r>
        <w:rPr>
          <w:rFonts w:hint="eastAsia"/>
          <w:color w:val="auto"/>
        </w:rPr>
        <w:t>基督教</w:t>
      </w:r>
      <w:r>
        <w:rPr>
          <w:rFonts w:hint="eastAsia"/>
          <w:color w:val="auto"/>
          <w:lang w:eastAsia="zh-CN"/>
        </w:rPr>
        <w:t>“</w:t>
      </w:r>
      <w:r>
        <w:rPr>
          <w:rFonts w:hint="eastAsia"/>
          <w:color w:val="auto"/>
        </w:rPr>
        <w:t>爱人如己</w:t>
      </w:r>
      <w:r>
        <w:rPr>
          <w:rFonts w:hint="eastAsia"/>
          <w:color w:val="auto"/>
          <w:lang w:eastAsia="zh-CN"/>
        </w:rPr>
        <w:t>”</w:t>
      </w:r>
      <w:r>
        <w:rPr>
          <w:rFonts w:hint="eastAsia"/>
          <w:color w:val="auto"/>
        </w:rPr>
        <w:t>的人本导向解析</w:t>
      </w:r>
      <w:bookmarkEnd w:id="368"/>
      <w:bookmarkEnd w:id="369"/>
      <w:bookmarkEnd w:id="370"/>
      <w:bookmarkEnd w:id="371"/>
      <w:bookmarkEnd w:id="372"/>
      <w:bookmarkEnd w:id="373"/>
      <w:bookmarkEnd w:id="374"/>
      <w:bookmarkEnd w:id="375"/>
      <w:bookmarkEnd w:id="376"/>
      <w:bookmarkEnd w:id="377"/>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color w:val="auto"/>
          <w:sz w:val="24"/>
          <w:szCs w:val="24"/>
        </w:rPr>
        <w:footnoteReference w:id="68"/>
      </w:r>
      <w:r>
        <w:rPr>
          <w:rFonts w:hint="eastAsia" w:ascii="宋体" w:hAnsi="宋体" w:eastAsia="宋体" w:cs="宋体"/>
          <w:color w:val="auto"/>
          <w:sz w:val="24"/>
          <w:szCs w:val="24"/>
        </w:rPr>
        <w:t xml:space="preserve"> 从处境化神学角度看，基督教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的诫命在不同文化语境中必然经历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再语境化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准则的主动践行。</w:t>
      </w:r>
    </w:p>
    <w:p w14:paraId="6D4EC2B8">
      <w:pPr>
        <w:pStyle w:val="4"/>
        <w:bidi w:val="0"/>
        <w:rPr>
          <w:rFonts w:hint="eastAsia"/>
          <w:color w:val="auto"/>
          <w:lang w:val="en-US" w:eastAsia="zh-CN"/>
        </w:rPr>
      </w:pPr>
      <w:bookmarkStart w:id="378" w:name="_Toc683465607"/>
      <w:bookmarkStart w:id="379" w:name="_Toc1901649940"/>
      <w:bookmarkStart w:id="380" w:name="_Toc790576814"/>
      <w:bookmarkStart w:id="381" w:name="_Toc564852299"/>
      <w:bookmarkStart w:id="382" w:name="_Toc103229445"/>
      <w:bookmarkStart w:id="383" w:name="_Toc1268706302"/>
      <w:bookmarkStart w:id="384" w:name="_Toc982013672"/>
      <w:bookmarkStart w:id="385" w:name="_Toc2070687041"/>
      <w:bookmarkStart w:id="386" w:name="_Toc1402547910"/>
      <w:bookmarkStart w:id="387" w:name="_Toc831869137"/>
      <w:r>
        <w:rPr>
          <w:rFonts w:hint="eastAsia"/>
          <w:color w:val="auto"/>
          <w:lang w:val="en-US" w:eastAsia="zh-CN"/>
        </w:rPr>
        <w:t>二、</w:t>
      </w:r>
      <w:r>
        <w:rPr>
          <w:rFonts w:hint="eastAsia"/>
          <w:color w:val="auto"/>
        </w:rPr>
        <w:t>社会主义核心价值观</w:t>
      </w:r>
      <w:r>
        <w:rPr>
          <w:rFonts w:hint="eastAsia"/>
          <w:color w:val="auto"/>
          <w:lang w:eastAsia="zh-CN"/>
        </w:rPr>
        <w:t>“</w:t>
      </w:r>
      <w:r>
        <w:rPr>
          <w:rFonts w:hint="eastAsia"/>
          <w:color w:val="auto"/>
        </w:rPr>
        <w:t>以人为本</w:t>
      </w:r>
      <w:r>
        <w:rPr>
          <w:rFonts w:hint="eastAsia"/>
          <w:color w:val="auto"/>
          <w:lang w:eastAsia="zh-CN"/>
        </w:rPr>
        <w:t>”</w:t>
      </w:r>
      <w:r>
        <w:rPr>
          <w:rFonts w:hint="eastAsia"/>
          <w:color w:val="auto"/>
        </w:rPr>
        <w:t>的价值逻辑</w:t>
      </w:r>
      <w:bookmarkEnd w:id="378"/>
      <w:bookmarkEnd w:id="379"/>
      <w:bookmarkEnd w:id="380"/>
      <w:bookmarkEnd w:id="381"/>
      <w:bookmarkEnd w:id="382"/>
      <w:bookmarkEnd w:id="383"/>
      <w:bookmarkEnd w:id="384"/>
      <w:bookmarkEnd w:id="385"/>
      <w:bookmarkEnd w:id="386"/>
      <w:bookmarkEnd w:id="387"/>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，价值逻辑的起点与归宿均指向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以人民为中心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从理论渊源上看，这一逻辑继承并发展了中华传统文化中源远流长的民本思想，如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民惟邦本，本固邦宁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价值理念在法律制度中的具体落实。</w:t>
      </w:r>
    </w:p>
    <w:p w14:paraId="606A0C73">
      <w:pPr>
        <w:pStyle w:val="4"/>
        <w:bidi w:val="0"/>
        <w:rPr>
          <w:rFonts w:hint="eastAsia"/>
          <w:color w:val="auto"/>
          <w:lang w:val="en-US" w:eastAsia="zh-CN"/>
        </w:rPr>
      </w:pPr>
      <w:bookmarkStart w:id="388" w:name="_Toc31423279"/>
      <w:bookmarkStart w:id="389" w:name="_Toc116429046"/>
      <w:bookmarkStart w:id="390" w:name="_Toc2064598452"/>
      <w:bookmarkStart w:id="391" w:name="_Toc1842213898"/>
      <w:bookmarkStart w:id="392" w:name="_Toc1291958109"/>
      <w:bookmarkStart w:id="393" w:name="_Toc1957978986"/>
      <w:bookmarkStart w:id="394" w:name="_Toc1594869553"/>
      <w:bookmarkStart w:id="395" w:name="_Toc781686651"/>
      <w:bookmarkStart w:id="396" w:name="_Toc743188909"/>
      <w:bookmarkStart w:id="397" w:name="_Toc1106043589"/>
      <w:r>
        <w:rPr>
          <w:rFonts w:hint="eastAsia"/>
          <w:color w:val="auto"/>
          <w:lang w:val="en-US" w:eastAsia="zh-CN"/>
        </w:rPr>
        <w:t>三、</w:t>
      </w:r>
      <w:r>
        <w:rPr>
          <w:rFonts w:hint="eastAsia"/>
          <w:color w:val="auto"/>
        </w:rPr>
        <w:t>二者价值追求的交叠共识：差异中的统一</w:t>
      </w:r>
      <w:bookmarkEnd w:id="388"/>
      <w:bookmarkEnd w:id="389"/>
      <w:bookmarkEnd w:id="390"/>
      <w:bookmarkEnd w:id="391"/>
      <w:bookmarkEnd w:id="392"/>
      <w:bookmarkEnd w:id="393"/>
      <w:bookmarkEnd w:id="394"/>
      <w:bookmarkEnd w:id="395"/>
      <w:bookmarkEnd w:id="396"/>
      <w:bookmarkEnd w:id="397"/>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与此相应，社会主义核心价值观将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从政治哲学的视角看，基督教仁爱观念与核心价值观属于两种不同的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整全性学说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（Comprehensive Doctrines），前者以上帝为价值根基，后者以人民为主体，二者在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终极关切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层面不可通约。但在公共伦理层面，二者可以就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促进社会福祉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等实践性价值达成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——这不是掩盖差异的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，而是承认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不可通约性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前提下的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t>以原典文本为参照，可以更清晰地看到这一交叠共识的生成机制。儒家之"仁"的核心要义即在于"爱人"，这一思想在《论语·颜渊》中得到了明确表达；而《礼记·礼运》则提出了"天下为公"的社会理想，确立了中华文明对社会公义的追求。这些经典论述与基督教"爱人如己"的伦理训导、以及"行公义，好怜悯"的宗教教导（弥6:8）在伦理实践层面形成了深刻的呼应。值得注意的是，这种呼应不是简单的概念等同，而是在文化交融的"第三空间"中生成的创造性诠释——儒家之"仁"为基督教Agape提供了"差序推扩"的本土化路径，而基督教Agape的普遍主义则为儒家"仁"突破了"爱有差等"的局限，二者在对话中各自获得了新的理论生命力。</w:t>
        <w:rPr>
          <w:color w:val="FF0000"/>
        </w:rPr>
      </w:r>
    </w:p>
    <w:p w14:paraId="3AE4CC9E">
      <w:pPr>
        <w:pStyle w:val="4"/>
        <w:bidi w:val="0"/>
        <w:rPr>
          <w:rFonts w:hint="eastAsia"/>
          <w:color w:val="auto"/>
          <w:lang w:val="en-US" w:eastAsia="zh-CN"/>
        </w:rPr>
      </w:pPr>
      <w:bookmarkStart w:id="398" w:name="_Toc1860894721"/>
      <w:bookmarkStart w:id="399" w:name="_Toc1011102611"/>
      <w:bookmarkStart w:id="400" w:name="_Toc665414538"/>
      <w:bookmarkStart w:id="401" w:name="_Toc732783146"/>
      <w:bookmarkStart w:id="402" w:name="_Toc1817244887"/>
      <w:bookmarkStart w:id="403" w:name="_Toc656151891"/>
      <w:r>
        <w:rPr>
          <w:rFonts w:hint="eastAsia"/>
          <w:color w:val="auto"/>
        </w:rPr>
        <w:t>四、“公正”与“平等”：基督教社会伦理与核心价值观的深层契合</w:t>
      </w:r>
      <w:bookmarkEnd w:id="398"/>
      <w:bookmarkEnd w:id="399"/>
      <w:bookmarkEnd w:id="400"/>
      <w:bookmarkEnd w:id="401"/>
      <w:bookmarkEnd w:id="402"/>
      <w:bookmarkEnd w:id="403"/>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color w:val="auto"/>
          <w:lang w:val="en-US" w:eastAsia="zh-CN"/>
        </w:rPr>
      </w:pPr>
      <w:bookmarkStart w:id="404" w:name="_Toc1650074658"/>
      <w:bookmarkStart w:id="405" w:name="_Toc67619277"/>
      <w:bookmarkStart w:id="406" w:name="_Toc563484366"/>
      <w:bookmarkStart w:id="407" w:name="_Toc105740939"/>
      <w:bookmarkStart w:id="408" w:name="_Toc1674790237"/>
      <w:bookmarkStart w:id="409" w:name="_Toc922388175"/>
      <w:bookmarkStart w:id="410" w:name="_Toc465373705"/>
      <w:bookmarkStart w:id="411" w:name="_Toc1997556638"/>
      <w:bookmarkStart w:id="412" w:name="_Toc812823086"/>
      <w:bookmarkStart w:id="413" w:name="_Toc616304692"/>
      <w:r>
        <w:rPr>
          <w:rFonts w:hint="eastAsia"/>
          <w:color w:val="auto"/>
          <w:lang w:val="en-US" w:eastAsia="zh-CN"/>
        </w:rPr>
        <w:t xml:space="preserve">第二节 </w:t>
      </w:r>
      <w:r>
        <w:rPr>
          <w:rFonts w:hint="eastAsia"/>
          <w:color w:val="auto"/>
        </w:rPr>
        <w:t>社会功能的契合：对社会和谐与稳定的共同维护</w:t>
      </w:r>
      <w:bookmarkEnd w:id="404"/>
      <w:bookmarkEnd w:id="405"/>
      <w:bookmarkEnd w:id="406"/>
      <w:bookmarkEnd w:id="407"/>
      <w:bookmarkEnd w:id="408"/>
      <w:bookmarkEnd w:id="409"/>
      <w:bookmarkEnd w:id="410"/>
      <w:bookmarkEnd w:id="411"/>
      <w:bookmarkEnd w:id="412"/>
      <w:bookmarkEnd w:id="413"/>
    </w:p>
    <w:p w14:paraId="0FEC4982">
      <w:pPr>
        <w:pStyle w:val="4"/>
        <w:bidi w:val="0"/>
        <w:rPr>
          <w:rFonts w:hint="eastAsia"/>
          <w:color w:val="auto"/>
          <w:lang w:val="en-US" w:eastAsia="zh-CN"/>
        </w:rPr>
      </w:pPr>
      <w:bookmarkStart w:id="414" w:name="_Toc458339276"/>
      <w:bookmarkStart w:id="415" w:name="_Toc400417561"/>
      <w:bookmarkStart w:id="416" w:name="_Toc1218985704"/>
      <w:bookmarkStart w:id="417" w:name="_Toc78856092"/>
      <w:bookmarkStart w:id="418" w:name="_Toc1131352030"/>
      <w:bookmarkStart w:id="419" w:name="_Toc200959648"/>
      <w:bookmarkStart w:id="420" w:name="_Toc1322561315"/>
      <w:bookmarkStart w:id="421" w:name="_Toc974127835"/>
      <w:bookmarkStart w:id="422" w:name="_Toc2041093179"/>
      <w:bookmarkStart w:id="423" w:name="_Toc919328963"/>
      <w:r>
        <w:rPr>
          <w:rFonts w:hint="eastAsia"/>
          <w:color w:val="auto"/>
          <w:lang w:val="en-US" w:eastAsia="zh-CN"/>
        </w:rPr>
        <w:t>一、</w:t>
      </w:r>
      <w:r>
        <w:rPr>
          <w:rFonts w:hint="eastAsia"/>
          <w:color w:val="auto"/>
        </w:rPr>
        <w:t>基督教仁爱观念的社会调节与伦理约束功能</w:t>
      </w:r>
      <w:bookmarkEnd w:id="414"/>
      <w:bookmarkEnd w:id="415"/>
      <w:bookmarkEnd w:id="416"/>
      <w:bookmarkEnd w:id="417"/>
      <w:bookmarkEnd w:id="418"/>
      <w:bookmarkEnd w:id="419"/>
      <w:bookmarkEnd w:id="420"/>
      <w:bookmarkEnd w:id="421"/>
      <w:bookmarkEnd w:id="422"/>
      <w:bookmarkEnd w:id="423"/>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color w:val="auto"/>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color w:val="auto"/>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color w:val="auto"/>
          <w:sz w:val="24"/>
          <w:szCs w:val="24"/>
        </w:rPr>
        <w:footnoteReference w:id="71"/>
      </w:r>
    </w:p>
    <w:p w14:paraId="585457D2">
      <w:pPr>
        <w:pStyle w:val="4"/>
        <w:bidi w:val="0"/>
        <w:rPr>
          <w:rFonts w:hint="eastAsia"/>
          <w:color w:val="auto"/>
          <w:lang w:val="en-US" w:eastAsia="zh-CN"/>
        </w:rPr>
      </w:pPr>
      <w:bookmarkStart w:id="424" w:name="_Toc1684510852"/>
      <w:bookmarkStart w:id="425" w:name="_Toc1898681764"/>
      <w:bookmarkStart w:id="426" w:name="_Toc498734748"/>
      <w:bookmarkStart w:id="427" w:name="_Toc813357672"/>
      <w:bookmarkStart w:id="428" w:name="_Toc1832274755"/>
      <w:bookmarkStart w:id="429" w:name="_Toc1751681676"/>
      <w:bookmarkStart w:id="430" w:name="_Toc749282275"/>
      <w:bookmarkStart w:id="431" w:name="_Toc284369943"/>
      <w:bookmarkStart w:id="432" w:name="_Toc336928045"/>
      <w:bookmarkStart w:id="433" w:name="_Toc17040976"/>
      <w:r>
        <w:rPr>
          <w:rFonts w:hint="eastAsia"/>
          <w:color w:val="auto"/>
          <w:lang w:val="en-US" w:eastAsia="zh-CN"/>
        </w:rPr>
        <w:t>二、</w:t>
      </w:r>
      <w:r>
        <w:rPr>
          <w:rFonts w:hint="eastAsia"/>
          <w:color w:val="auto"/>
        </w:rPr>
        <w:t>核心价值观的社会整合与公序良俗维护功能</w:t>
      </w:r>
      <w:bookmarkEnd w:id="424"/>
      <w:bookmarkEnd w:id="425"/>
      <w:bookmarkEnd w:id="426"/>
      <w:bookmarkEnd w:id="427"/>
      <w:bookmarkEnd w:id="428"/>
      <w:bookmarkEnd w:id="429"/>
      <w:bookmarkEnd w:id="430"/>
      <w:bookmarkEnd w:id="431"/>
      <w:bookmarkEnd w:id="432"/>
      <w:bookmarkEnd w:id="433"/>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富强、民主、文明、和谐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国家目标，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自由、平等、公正、法治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社会取向，以及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爱国、敬业、诚信、友善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通过将这些价值理念融入法律法规、政策制度和社会治理的方方面面，能够潜移默化地规范社会行为，调节人际关系。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价值倡导下社会信用体系的建设，不仅惩戒失信，更激励守信，优化了市场环境和社会交往环境；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color w:val="auto"/>
          <w:lang w:val="en-US" w:eastAsia="zh-CN"/>
        </w:rPr>
      </w:pPr>
      <w:bookmarkStart w:id="434" w:name="_Toc1684896775"/>
      <w:bookmarkStart w:id="435" w:name="_Toc1368980149"/>
      <w:bookmarkStart w:id="436" w:name="_Toc606235395"/>
      <w:bookmarkStart w:id="437" w:name="_Toc660611809"/>
      <w:bookmarkStart w:id="438" w:name="_Toc1296971163"/>
      <w:bookmarkStart w:id="439" w:name="_Toc343089917"/>
      <w:bookmarkStart w:id="440" w:name="_Toc126309305"/>
      <w:bookmarkStart w:id="441" w:name="_Toc1254517426"/>
      <w:bookmarkStart w:id="442" w:name="_Toc1982758823"/>
      <w:bookmarkStart w:id="443" w:name="_Toc792358581"/>
      <w:r>
        <w:rPr>
          <w:rFonts w:hint="eastAsia"/>
          <w:color w:val="auto"/>
          <w:lang w:val="en-US" w:eastAsia="zh-CN"/>
        </w:rPr>
        <w:t>三、</w:t>
      </w:r>
      <w:r>
        <w:rPr>
          <w:rFonts w:hint="eastAsia"/>
          <w:color w:val="auto"/>
        </w:rPr>
        <w:t>二者社会功能的互补性竞争关系</w:t>
      </w:r>
      <w:bookmarkEnd w:id="434"/>
      <w:bookmarkEnd w:id="435"/>
      <w:bookmarkEnd w:id="436"/>
      <w:bookmarkEnd w:id="437"/>
      <w:bookmarkEnd w:id="438"/>
      <w:bookmarkEnd w:id="439"/>
      <w:bookmarkEnd w:id="440"/>
      <w:bookmarkEnd w:id="441"/>
      <w:bookmarkEnd w:id="442"/>
      <w:bookmarkEnd w:id="443"/>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社会服务版本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——通过满足社会的公共需求来获取社会认可度。当这一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与核心价值观倡导的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公共伦理产品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形成功能替代时，二者便构成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互补性竞争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José Casanova的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color w:val="auto"/>
          <w:sz w:val="24"/>
          <w:szCs w:val="24"/>
        </w:rPr>
        <w:footnoteReference w:id="72"/>
      </w:r>
      <w:r>
        <w:rPr>
          <w:rFonts w:hint="eastAsia" w:ascii="宋体" w:hAnsi="宋体" w:eastAsia="宋体" w:cs="宋体"/>
          <w:color w:val="auto"/>
          <w:sz w:val="24"/>
          <w:szCs w:val="24"/>
        </w:rPr>
        <w:t xml:space="preserve"> 在这一框架下，基督教仁爱实践与核心价值观的社会整合功能不是相互排斥的，而是可以在公共领域中形成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分工合作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color w:val="auto"/>
          <w:lang w:val="en-US" w:eastAsia="zh-CN"/>
        </w:rPr>
      </w:pPr>
      <w:bookmarkStart w:id="444" w:name="_Toc1235319491"/>
      <w:bookmarkStart w:id="445" w:name="_Toc1166645899"/>
      <w:bookmarkStart w:id="446" w:name="_Toc1335862397"/>
      <w:bookmarkStart w:id="447" w:name="_Toc412218873"/>
      <w:bookmarkStart w:id="448" w:name="_Toc309570285"/>
      <w:bookmarkStart w:id="449" w:name="_Toc318642824"/>
      <w:bookmarkStart w:id="450" w:name="_Toc1723787662"/>
      <w:bookmarkStart w:id="451" w:name="_Toc1340728083"/>
      <w:bookmarkStart w:id="452" w:name="_Toc679932536"/>
      <w:bookmarkStart w:id="453" w:name="_Toc624575820"/>
      <w:r>
        <w:rPr>
          <w:rFonts w:hint="eastAsia"/>
          <w:color w:val="auto"/>
          <w:lang w:val="en-US" w:eastAsia="zh-CN"/>
        </w:rPr>
        <w:t xml:space="preserve">第三节 </w:t>
      </w:r>
      <w:r>
        <w:rPr>
          <w:rFonts w:hint="eastAsia"/>
          <w:color w:val="auto"/>
        </w:rPr>
        <w:t>文化内核的契合：对中华优秀传统文化的共同吸纳</w:t>
      </w:r>
      <w:bookmarkEnd w:id="444"/>
      <w:bookmarkEnd w:id="445"/>
      <w:bookmarkEnd w:id="446"/>
      <w:bookmarkEnd w:id="447"/>
      <w:bookmarkEnd w:id="448"/>
      <w:bookmarkEnd w:id="449"/>
      <w:bookmarkEnd w:id="450"/>
      <w:bookmarkEnd w:id="451"/>
      <w:bookmarkEnd w:id="452"/>
      <w:bookmarkEnd w:id="453"/>
    </w:p>
    <w:p w14:paraId="37B2AE37">
      <w:pPr>
        <w:pStyle w:val="4"/>
        <w:bidi w:val="0"/>
        <w:rPr>
          <w:rFonts w:hint="eastAsia"/>
          <w:color w:val="auto"/>
          <w:lang w:val="en-US" w:eastAsia="zh-CN"/>
        </w:rPr>
      </w:pPr>
      <w:bookmarkStart w:id="454" w:name="_Toc2045260641"/>
      <w:bookmarkStart w:id="455" w:name="_Toc1753210997"/>
      <w:bookmarkStart w:id="456" w:name="_Toc380353289"/>
      <w:bookmarkStart w:id="457" w:name="_Toc70983010"/>
      <w:bookmarkStart w:id="458" w:name="_Toc142786041"/>
      <w:bookmarkStart w:id="459" w:name="_Toc865646865"/>
      <w:bookmarkStart w:id="460" w:name="_Toc2144837204"/>
      <w:bookmarkStart w:id="461" w:name="_Toc1742386961"/>
      <w:bookmarkStart w:id="462" w:name="_Toc1291927383"/>
      <w:bookmarkStart w:id="463" w:name="_Toc345740204"/>
      <w:r>
        <w:rPr>
          <w:rFonts w:hint="eastAsia"/>
          <w:color w:val="auto"/>
          <w:lang w:val="en-US" w:eastAsia="zh-CN"/>
        </w:rPr>
        <w:t>一、</w:t>
      </w:r>
      <w:r>
        <w:rPr>
          <w:rFonts w:hint="eastAsia"/>
          <w:color w:val="auto"/>
        </w:rPr>
        <w:t>基督教仁爱对儒家</w:t>
      </w:r>
      <w:r>
        <w:rPr>
          <w:rFonts w:hint="eastAsia"/>
          <w:color w:val="auto"/>
          <w:lang w:eastAsia="zh-CN"/>
        </w:rPr>
        <w:t>“</w:t>
      </w:r>
      <w:r>
        <w:rPr>
          <w:rFonts w:hint="eastAsia"/>
          <w:color w:val="auto"/>
        </w:rPr>
        <w:t>仁</w:t>
      </w:r>
      <w:r>
        <w:rPr>
          <w:rFonts w:hint="eastAsia"/>
          <w:color w:val="auto"/>
          <w:lang w:eastAsia="zh-CN"/>
        </w:rPr>
        <w:t>”</w:t>
      </w:r>
      <w:r>
        <w:rPr>
          <w:rFonts w:hint="eastAsia"/>
          <w:color w:val="auto"/>
        </w:rPr>
        <w:t>文化的创造性吸纳</w:t>
      </w:r>
      <w:bookmarkEnd w:id="454"/>
      <w:bookmarkEnd w:id="455"/>
      <w:bookmarkEnd w:id="456"/>
      <w:bookmarkEnd w:id="457"/>
      <w:bookmarkEnd w:id="458"/>
      <w:bookmarkEnd w:id="459"/>
      <w:bookmarkEnd w:id="460"/>
      <w:bookmarkEnd w:id="461"/>
      <w:bookmarkEnd w:id="462"/>
      <w:bookmarkEnd w:id="463"/>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基督教仁爱观念的中国化，本身就是一个持续的文化翻译过程。如前文所述，Bhabha的文化翻译理论强调，文化相遇不是简单的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原文—译文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对应，而是在交互中生成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的新意义。利玛窦以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的实践正是这一理论的早期历史例证：他并非在寻找Agape与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的完全等价物，而是在两种文化符号的碰撞中创造新的神学表达。刘耘华将这一机制概括为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73"/>
      </w:r>
      <w:r>
        <w:rPr>
          <w:rStyle w:val="29"/>
          <w:rFonts w:hint="eastAsia" w:ascii="宋体" w:hAnsi="宋体" w:eastAsia="宋体" w:cs="宋体"/>
          <w:color w:val="auto"/>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color w:val="auto"/>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color w:val="auto"/>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color w:val="auto"/>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这些例子说明，基督教仁爱观念在与儒家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文化接触中，不断吸纳核心内容，形成中国特色表达形式。这种吸纳不是简单照搬，而是基于文化适配性的选择——儒家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文化中的人文关怀、社会责任感与基督教仁爱观念中的爱人如己、服务他人有天然共通之处，为两者融合提供基础。</w:t>
      </w:r>
    </w:p>
    <w:p w14:paraId="54B27E3B">
      <w:pPr>
        <w:pStyle w:val="4"/>
        <w:bidi w:val="0"/>
        <w:rPr>
          <w:rFonts w:hint="eastAsia"/>
          <w:color w:val="auto"/>
          <w:lang w:val="en-US" w:eastAsia="zh-CN"/>
        </w:rPr>
      </w:pPr>
      <w:bookmarkStart w:id="464" w:name="_Toc618389086"/>
      <w:bookmarkStart w:id="465" w:name="_Toc216371264"/>
      <w:bookmarkStart w:id="466" w:name="_Toc2072339405"/>
      <w:bookmarkStart w:id="467" w:name="_Toc1210643035"/>
      <w:bookmarkStart w:id="468" w:name="_Toc1686394751"/>
      <w:bookmarkStart w:id="469" w:name="_Toc594106092"/>
      <w:bookmarkStart w:id="470" w:name="_Toc1065757388"/>
      <w:bookmarkStart w:id="471" w:name="_Toc1158024985"/>
      <w:bookmarkStart w:id="472" w:name="_Toc1872635277"/>
      <w:bookmarkStart w:id="473" w:name="_Toc1912343493"/>
      <w:r>
        <w:rPr>
          <w:rFonts w:hint="eastAsia"/>
          <w:color w:val="auto"/>
          <w:lang w:val="en-US" w:eastAsia="zh-CN"/>
        </w:rPr>
        <w:t>二、</w:t>
      </w:r>
      <w:r>
        <w:rPr>
          <w:rFonts w:hint="eastAsia"/>
          <w:color w:val="auto"/>
        </w:rPr>
        <w:t>社会主义核心价值观对中华优秀传统文化的传承发展</w:t>
      </w:r>
      <w:bookmarkEnd w:id="464"/>
      <w:bookmarkEnd w:id="465"/>
      <w:bookmarkEnd w:id="466"/>
      <w:bookmarkEnd w:id="467"/>
      <w:bookmarkEnd w:id="468"/>
      <w:bookmarkEnd w:id="469"/>
      <w:bookmarkEnd w:id="470"/>
      <w:bookmarkEnd w:id="471"/>
      <w:bookmarkEnd w:id="472"/>
      <w:bookmarkEnd w:id="473"/>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社会主义核心价值观同样深深植根于中华优秀传统文化的沃土之中。它所倡导的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等价值理念，都可以在中华传统文化中找到源头。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人无信不立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的处世原则，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color w:val="auto"/>
          <w:sz w:val="24"/>
          <w:szCs w:val="24"/>
        </w:rPr>
        <w:footnoteReference w:id="78"/>
      </w:r>
    </w:p>
    <w:p w14:paraId="0976DA2C">
      <w:pPr>
        <w:pStyle w:val="4"/>
        <w:bidi w:val="0"/>
        <w:rPr>
          <w:rFonts w:hint="eastAsia"/>
          <w:color w:val="auto"/>
          <w:lang w:val="en-US" w:eastAsia="zh-CN"/>
        </w:rPr>
      </w:pPr>
      <w:bookmarkStart w:id="474" w:name="_Toc281630134"/>
      <w:bookmarkStart w:id="475" w:name="_Toc23320489"/>
      <w:bookmarkStart w:id="476" w:name="_Toc747406951"/>
      <w:bookmarkStart w:id="477" w:name="_Toc2017417567"/>
      <w:bookmarkStart w:id="478" w:name="_Toc1592000569"/>
      <w:bookmarkStart w:id="479" w:name="_Toc2008253754"/>
      <w:bookmarkStart w:id="480" w:name="_Toc1918592789"/>
      <w:bookmarkStart w:id="481" w:name="_Toc862019677"/>
      <w:bookmarkStart w:id="482" w:name="_Toc1489613341"/>
      <w:bookmarkStart w:id="483" w:name="_Toc1516825849"/>
      <w:r>
        <w:rPr>
          <w:rFonts w:hint="eastAsia"/>
          <w:color w:val="auto"/>
          <w:lang w:val="en-US" w:eastAsia="zh-CN"/>
        </w:rPr>
        <w:t>三、</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中的文化共通性：从利玛窦到当代</w:t>
      </w:r>
      <w:bookmarkEnd w:id="474"/>
      <w:bookmarkEnd w:id="475"/>
      <w:bookmarkEnd w:id="476"/>
      <w:bookmarkEnd w:id="477"/>
      <w:bookmarkEnd w:id="478"/>
      <w:bookmarkEnd w:id="479"/>
      <w:bookmarkEnd w:id="480"/>
      <w:bookmarkEnd w:id="481"/>
      <w:bookmarkEnd w:id="482"/>
      <w:bookmarkEnd w:id="483"/>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color w:val="auto"/>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2B3A16DA">
      <w:pPr>
        <w:pStyle w:val="2"/>
        <w:bidi w:val="0"/>
        <w:rPr>
          <w:rFonts w:hint="eastAsia"/>
          <w:color w:val="auto"/>
          <w:lang w:val="en-US" w:eastAsia="zh-CN"/>
        </w:rPr>
      </w:pPr>
      <w:bookmarkStart w:id="484" w:name="_Toc720363579"/>
      <w:bookmarkStart w:id="485" w:name="_Toc1040028677"/>
      <w:bookmarkStart w:id="486" w:name="_Toc1322045018"/>
      <w:bookmarkStart w:id="487" w:name="_Toc1036774154"/>
      <w:bookmarkStart w:id="488" w:name="_Toc303704150"/>
      <w:bookmarkStart w:id="489" w:name="_Toc1254805210"/>
      <w:bookmarkStart w:id="490" w:name="_Toc1105434869"/>
      <w:bookmarkStart w:id="491" w:name="_Toc117746086"/>
      <w:bookmarkStart w:id="492" w:name="_Toc567065461"/>
      <w:bookmarkStart w:id="493" w:name="_Toc513670606"/>
      <w:r>
        <w:rPr>
          <w:rFonts w:hint="eastAsia"/>
          <w:color w:val="auto"/>
          <w:lang w:val="en-US" w:eastAsia="zh-CN"/>
        </w:rPr>
        <w:t>四、</w:t>
      </w:r>
      <w:r>
        <w:rPr>
          <w:rFonts w:hint="eastAsia"/>
          <w:color w:val="auto"/>
        </w:rPr>
        <w:t>基督教仁爱观念与核心价值观融合的现实障碍</w:t>
      </w:r>
      <w:bookmarkEnd w:id="484"/>
      <w:bookmarkEnd w:id="485"/>
      <w:bookmarkEnd w:id="486"/>
      <w:bookmarkEnd w:id="487"/>
      <w:bookmarkEnd w:id="488"/>
      <w:bookmarkEnd w:id="489"/>
      <w:bookmarkEnd w:id="490"/>
      <w:bookmarkEnd w:id="491"/>
      <w:bookmarkEnd w:id="492"/>
      <w:bookmarkEnd w:id="493"/>
    </w:p>
    <w:p w14:paraId="27361B50">
      <w:pPr>
        <w:pStyle w:val="3"/>
        <w:bidi w:val="0"/>
        <w:rPr>
          <w:rFonts w:hint="eastAsia"/>
          <w:color w:val="auto"/>
          <w:lang w:val="en-US" w:eastAsia="zh-CN"/>
        </w:rPr>
      </w:pPr>
      <w:bookmarkStart w:id="494" w:name="_Toc136777641"/>
      <w:bookmarkStart w:id="495" w:name="_Toc1392571406"/>
      <w:bookmarkStart w:id="496" w:name="_Toc1221750930"/>
      <w:bookmarkStart w:id="497" w:name="_Toc1126028515"/>
      <w:bookmarkStart w:id="498" w:name="_Toc1744805664"/>
      <w:bookmarkStart w:id="499" w:name="_Toc1162813086"/>
      <w:bookmarkStart w:id="500" w:name="_Toc1934503778"/>
      <w:bookmarkStart w:id="501" w:name="_Toc380894520"/>
      <w:bookmarkStart w:id="502" w:name="_Toc1785354114"/>
      <w:bookmarkStart w:id="503" w:name="_Toc377614102"/>
      <w:r>
        <w:rPr>
          <w:rFonts w:hint="eastAsia"/>
          <w:color w:val="auto"/>
          <w:lang w:val="en-US" w:eastAsia="zh-CN"/>
        </w:rPr>
        <w:t xml:space="preserve">第一节 </w:t>
      </w:r>
      <w:r>
        <w:rPr>
          <w:rFonts w:hint="eastAsia"/>
          <w:color w:val="auto"/>
        </w:rPr>
        <w:t>认知层面的结构性壁垒</w:t>
      </w:r>
      <w:bookmarkEnd w:id="494"/>
      <w:bookmarkEnd w:id="495"/>
      <w:bookmarkEnd w:id="496"/>
      <w:bookmarkEnd w:id="497"/>
      <w:bookmarkEnd w:id="498"/>
      <w:bookmarkEnd w:id="499"/>
      <w:bookmarkEnd w:id="500"/>
      <w:bookmarkEnd w:id="501"/>
      <w:bookmarkEnd w:id="502"/>
      <w:bookmarkEnd w:id="503"/>
    </w:p>
    <w:p w14:paraId="0216203B">
      <w:pPr>
        <w:pStyle w:val="4"/>
        <w:bidi w:val="0"/>
        <w:rPr>
          <w:rFonts w:hint="eastAsia"/>
          <w:color w:val="auto"/>
          <w:lang w:val="en-US" w:eastAsia="zh-CN"/>
        </w:rPr>
      </w:pPr>
      <w:bookmarkStart w:id="504" w:name="_Toc1535354241"/>
      <w:bookmarkStart w:id="505" w:name="_Toc1059595063"/>
      <w:bookmarkStart w:id="506" w:name="_Toc302581266"/>
      <w:bookmarkStart w:id="507" w:name="_Toc1670835636"/>
      <w:bookmarkStart w:id="508" w:name="_Toc1805078114"/>
      <w:bookmarkStart w:id="509" w:name="_Toc1876731543"/>
      <w:bookmarkStart w:id="510" w:name="_Toc1014309997"/>
      <w:bookmarkStart w:id="511" w:name="_Toc1298348702"/>
      <w:bookmarkStart w:id="512" w:name="_Toc45445933"/>
      <w:bookmarkStart w:id="513" w:name="_Toc746035429"/>
      <w:r>
        <w:rPr>
          <w:rFonts w:hint="eastAsia"/>
          <w:color w:val="auto"/>
          <w:lang w:val="en-US" w:eastAsia="zh-CN"/>
        </w:rPr>
        <w:t>一、</w:t>
      </w:r>
      <w:r>
        <w:rPr>
          <w:rFonts w:hint="eastAsia"/>
          <w:color w:val="auto"/>
        </w:rPr>
        <w:t>部分信众的</w:t>
      </w:r>
      <w:r>
        <w:rPr>
          <w:rFonts w:hint="eastAsia"/>
          <w:color w:val="auto"/>
          <w:lang w:eastAsia="zh-CN"/>
        </w:rPr>
        <w:t>“</w:t>
      </w:r>
      <w:r>
        <w:rPr>
          <w:rFonts w:hint="eastAsia"/>
          <w:color w:val="auto"/>
        </w:rPr>
        <w:t>叠合身份</w:t>
      </w:r>
      <w:r>
        <w:rPr>
          <w:rFonts w:hint="eastAsia"/>
          <w:color w:val="auto"/>
          <w:lang w:eastAsia="zh-CN"/>
        </w:rPr>
        <w:t>”</w:t>
      </w:r>
      <w:r>
        <w:rPr>
          <w:rFonts w:hint="eastAsia"/>
          <w:color w:val="auto"/>
        </w:rPr>
        <w:t>困境与认知偏差</w:t>
      </w:r>
      <w:bookmarkEnd w:id="504"/>
      <w:bookmarkEnd w:id="505"/>
      <w:bookmarkEnd w:id="506"/>
      <w:bookmarkEnd w:id="507"/>
      <w:bookmarkEnd w:id="508"/>
      <w:bookmarkEnd w:id="509"/>
      <w:bookmarkEnd w:id="510"/>
      <w:bookmarkEnd w:id="511"/>
      <w:bookmarkEnd w:id="512"/>
      <w:bookmarkEnd w:id="51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color w:val="auto"/>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的要求看，这种认知偏差本质上是对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等要求的理解不到位，需要在教育引导中予以纠正。</w:t>
      </w:r>
    </w:p>
    <w:p w14:paraId="3BE9FF81">
      <w:pPr>
        <w:pStyle w:val="4"/>
        <w:bidi w:val="0"/>
        <w:rPr>
          <w:rFonts w:hint="eastAsia"/>
          <w:color w:val="auto"/>
          <w:lang w:val="en-US" w:eastAsia="zh-CN"/>
        </w:rPr>
      </w:pPr>
      <w:bookmarkStart w:id="514" w:name="_Toc535226135"/>
      <w:bookmarkStart w:id="515" w:name="_Toc782929693"/>
      <w:bookmarkStart w:id="516" w:name="_Toc1453101246"/>
      <w:bookmarkStart w:id="517" w:name="_Toc446380829"/>
      <w:bookmarkStart w:id="518" w:name="_Toc765297347"/>
      <w:bookmarkStart w:id="519" w:name="_Toc1679822917"/>
      <w:bookmarkStart w:id="520" w:name="_Toc2134719712"/>
      <w:bookmarkStart w:id="521" w:name="_Toc242061566"/>
      <w:bookmarkStart w:id="522" w:name="_Toc1238366080"/>
      <w:bookmarkStart w:id="523" w:name="_Toc1607924017"/>
      <w:r>
        <w:rPr>
          <w:rFonts w:hint="eastAsia"/>
          <w:color w:val="auto"/>
          <w:lang w:val="en-US" w:eastAsia="zh-CN"/>
        </w:rPr>
        <w:t>二、</w:t>
      </w:r>
      <w:r>
        <w:rPr>
          <w:rFonts w:hint="eastAsia"/>
          <w:color w:val="auto"/>
        </w:rPr>
        <w:t>非信众群体的历史记忆与刻板印象</w:t>
      </w:r>
      <w:bookmarkEnd w:id="514"/>
      <w:bookmarkEnd w:id="515"/>
      <w:bookmarkEnd w:id="516"/>
      <w:bookmarkEnd w:id="517"/>
      <w:bookmarkEnd w:id="518"/>
      <w:bookmarkEnd w:id="519"/>
      <w:bookmarkEnd w:id="520"/>
      <w:bookmarkEnd w:id="521"/>
      <w:bookmarkEnd w:id="522"/>
      <w:bookmarkEnd w:id="523"/>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外来文化渗透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color w:val="auto"/>
          <w:sz w:val="24"/>
          <w:szCs w:val="24"/>
        </w:rPr>
        <w:footnoteReference w:id="81"/>
      </w:r>
    </w:p>
    <w:p w14:paraId="1E43B99C">
      <w:pPr>
        <w:pStyle w:val="4"/>
        <w:bidi w:val="0"/>
        <w:rPr>
          <w:rFonts w:hint="eastAsia"/>
          <w:color w:val="auto"/>
          <w:lang w:val="en-US" w:eastAsia="zh-CN"/>
        </w:rPr>
      </w:pPr>
      <w:bookmarkStart w:id="524" w:name="_Toc1067045082"/>
      <w:bookmarkStart w:id="525" w:name="_Toc1954683483"/>
      <w:bookmarkStart w:id="526" w:name="_Toc1162214032"/>
      <w:bookmarkStart w:id="527" w:name="_Toc1088607838"/>
      <w:bookmarkStart w:id="528" w:name="_Toc1884137309"/>
      <w:bookmarkStart w:id="529" w:name="_Toc994712344"/>
      <w:bookmarkStart w:id="530" w:name="_Toc224909155"/>
      <w:bookmarkStart w:id="531" w:name="_Toc1963742557"/>
      <w:bookmarkStart w:id="532" w:name="_Toc1072949146"/>
      <w:bookmarkStart w:id="533" w:name="_Toc444739871"/>
      <w:r>
        <w:rPr>
          <w:rFonts w:hint="eastAsia"/>
          <w:color w:val="auto"/>
          <w:lang w:val="en-US" w:eastAsia="zh-CN"/>
        </w:rPr>
        <w:t>三、</w:t>
      </w:r>
      <w:r>
        <w:rPr>
          <w:rFonts w:hint="eastAsia"/>
          <w:color w:val="auto"/>
        </w:rPr>
        <w:t>神学话语与政治话语的沟通鸿沟</w:t>
      </w:r>
      <w:bookmarkEnd w:id="524"/>
      <w:bookmarkEnd w:id="525"/>
      <w:bookmarkEnd w:id="526"/>
      <w:bookmarkEnd w:id="527"/>
      <w:bookmarkEnd w:id="528"/>
      <w:bookmarkEnd w:id="529"/>
      <w:bookmarkEnd w:id="530"/>
      <w:bookmarkEnd w:id="531"/>
      <w:bookmarkEnd w:id="532"/>
      <w:bookmarkEnd w:id="533"/>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t>话语体系的差异进一步加剧了认知壁垒。基督教仁爱观念的表达深深植根于其神学传统，核心概念如"博爱""爱人如己"以对上帝信仰为前提，论述逻辑往往从"神的启示""人的罪性"出发，强调通过践行仁爱来荣耀神。相比之下，社会主义核心价值观的话语体系建立在马克思主义理论基础之上，融合中华优秀传统文化与中国特色社会主义实践经验，侧重集体利益、社会和谐与国家发展，多使用"富强""民主""文明""和谐"等世俗化、公共性的表达。</w:t>
        <w:rPr>
          <w:color w:val="FF0000"/>
        </w:rPr>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这种话语差异导致双方在交流时难以准确把握对方意图：当基督教徒以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传福音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color w:val="auto"/>
          <w:lang w:val="en-US" w:eastAsia="zh-CN"/>
        </w:rPr>
      </w:pPr>
      <w:bookmarkStart w:id="534" w:name="_Toc1967466359"/>
      <w:bookmarkStart w:id="535" w:name="_Toc2049377348"/>
      <w:bookmarkStart w:id="536" w:name="_Toc190757077"/>
      <w:bookmarkStart w:id="537" w:name="_Toc636112963"/>
      <w:bookmarkStart w:id="538" w:name="_Toc1818744473"/>
      <w:bookmarkStart w:id="539" w:name="_Toc2092468403"/>
      <w:bookmarkStart w:id="540" w:name="_Toc160466975"/>
      <w:bookmarkStart w:id="541" w:name="_Toc476949365"/>
      <w:bookmarkStart w:id="542" w:name="_Toc2117657360"/>
      <w:bookmarkStart w:id="543" w:name="_Toc1499920337"/>
      <w:r>
        <w:rPr>
          <w:rFonts w:hint="eastAsia"/>
          <w:color w:val="auto"/>
          <w:lang w:val="en-US" w:eastAsia="zh-CN"/>
        </w:rPr>
        <w:t xml:space="preserve">第二节 </w:t>
      </w:r>
      <w:r>
        <w:rPr>
          <w:rFonts w:hint="eastAsia"/>
          <w:color w:val="auto"/>
        </w:rPr>
        <w:t>实践层面的形式化与功利化问题</w:t>
      </w:r>
      <w:bookmarkEnd w:id="534"/>
      <w:bookmarkEnd w:id="535"/>
      <w:bookmarkEnd w:id="536"/>
      <w:bookmarkEnd w:id="537"/>
      <w:bookmarkEnd w:id="538"/>
      <w:bookmarkEnd w:id="539"/>
      <w:bookmarkEnd w:id="540"/>
      <w:bookmarkEnd w:id="541"/>
      <w:bookmarkEnd w:id="542"/>
      <w:bookmarkEnd w:id="543"/>
    </w:p>
    <w:p w14:paraId="07C0D58A">
      <w:pPr>
        <w:pStyle w:val="4"/>
        <w:bidi w:val="0"/>
        <w:rPr>
          <w:rFonts w:hint="eastAsia"/>
          <w:color w:val="auto"/>
          <w:lang w:val="en-US" w:eastAsia="zh-CN"/>
        </w:rPr>
      </w:pPr>
      <w:bookmarkStart w:id="544" w:name="_Toc1679006951"/>
      <w:bookmarkStart w:id="545" w:name="_Toc924245949"/>
      <w:bookmarkStart w:id="546" w:name="_Toc1876471840"/>
      <w:bookmarkStart w:id="547" w:name="_Toc1220767789"/>
      <w:bookmarkStart w:id="548" w:name="_Toc253899207"/>
      <w:bookmarkStart w:id="549" w:name="_Toc2008591815"/>
      <w:bookmarkStart w:id="550" w:name="_Toc356126313"/>
      <w:bookmarkStart w:id="551" w:name="_Toc976974375"/>
      <w:bookmarkStart w:id="552" w:name="_Toc394873603"/>
      <w:bookmarkStart w:id="553" w:name="_Toc1998055473"/>
      <w:r>
        <w:rPr>
          <w:rFonts w:hint="eastAsia"/>
          <w:color w:val="auto"/>
          <w:lang w:val="en-US" w:eastAsia="zh-CN"/>
        </w:rPr>
        <w:t>一、</w:t>
      </w:r>
      <w:r>
        <w:rPr>
          <w:rFonts w:hint="eastAsia"/>
          <w:color w:val="auto"/>
        </w:rPr>
        <w:t>融合活动的象征性执行与形式化困境</w:t>
      </w:r>
      <w:bookmarkEnd w:id="544"/>
      <w:bookmarkEnd w:id="545"/>
      <w:bookmarkEnd w:id="546"/>
      <w:bookmarkEnd w:id="547"/>
      <w:bookmarkEnd w:id="548"/>
      <w:bookmarkEnd w:id="549"/>
      <w:bookmarkEnd w:id="550"/>
      <w:bookmarkEnd w:id="551"/>
      <w:bookmarkEnd w:id="552"/>
      <w:bookmarkEnd w:id="553"/>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重宣传、轻实效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表面功夫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color w:val="auto"/>
          <w:lang w:val="en-US" w:eastAsia="zh-CN"/>
        </w:rPr>
      </w:pPr>
      <w:bookmarkStart w:id="554" w:name="_Toc1134703877"/>
      <w:bookmarkStart w:id="555" w:name="_Toc2064858685"/>
      <w:bookmarkStart w:id="556" w:name="_Toc916176391"/>
      <w:bookmarkStart w:id="557" w:name="_Toc378018402"/>
      <w:bookmarkStart w:id="558" w:name="_Toc1052446092"/>
      <w:bookmarkStart w:id="559" w:name="_Toc348355663"/>
      <w:bookmarkStart w:id="560" w:name="_Toc385466285"/>
      <w:bookmarkStart w:id="561" w:name="_Toc233965460"/>
      <w:bookmarkStart w:id="562" w:name="_Toc2107187512"/>
      <w:bookmarkStart w:id="563" w:name="_Toc1116546572"/>
      <w:r>
        <w:rPr>
          <w:rFonts w:hint="eastAsia"/>
          <w:color w:val="auto"/>
          <w:lang w:val="en-US" w:eastAsia="zh-CN"/>
        </w:rPr>
        <w:t>二、</w:t>
      </w:r>
      <w:r>
        <w:rPr>
          <w:rFonts w:hint="eastAsia"/>
          <w:color w:val="auto"/>
        </w:rPr>
        <w:t>慈善实践中的功利化倾向与</w:t>
      </w:r>
      <w:r>
        <w:rPr>
          <w:rFonts w:hint="eastAsia"/>
          <w:color w:val="auto"/>
          <w:lang w:eastAsia="zh-CN"/>
        </w:rPr>
        <w:t>“</w:t>
      </w:r>
      <w:r>
        <w:rPr>
          <w:rFonts w:hint="eastAsia"/>
          <w:color w:val="auto"/>
        </w:rPr>
        <w:t>以慈善传教</w:t>
      </w:r>
      <w:r>
        <w:rPr>
          <w:rFonts w:hint="eastAsia"/>
          <w:color w:val="auto"/>
          <w:lang w:eastAsia="zh-CN"/>
        </w:rPr>
        <w:t>”</w:t>
      </w:r>
      <w:r>
        <w:rPr>
          <w:rFonts w:hint="eastAsia"/>
          <w:color w:val="auto"/>
        </w:rPr>
        <w:t>风险</w:t>
      </w:r>
      <w:bookmarkEnd w:id="554"/>
      <w:bookmarkEnd w:id="555"/>
      <w:bookmarkEnd w:id="556"/>
      <w:bookmarkEnd w:id="557"/>
      <w:bookmarkEnd w:id="558"/>
      <w:bookmarkEnd w:id="559"/>
      <w:bookmarkEnd w:id="560"/>
      <w:bookmarkEnd w:id="561"/>
      <w:bookmarkEnd w:id="562"/>
      <w:bookmarkEnd w:id="563"/>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color w:val="auto"/>
          <w:lang w:val="en-US" w:eastAsia="zh-CN"/>
        </w:rPr>
      </w:pPr>
      <w:bookmarkStart w:id="564" w:name="_Toc1098654588"/>
      <w:bookmarkStart w:id="565" w:name="_Toc718854547"/>
      <w:bookmarkStart w:id="566" w:name="_Toc744183275"/>
      <w:bookmarkStart w:id="567" w:name="_Toc1721172643"/>
      <w:bookmarkStart w:id="568" w:name="_Toc1313275379"/>
      <w:bookmarkStart w:id="569" w:name="_Toc773206319"/>
      <w:bookmarkStart w:id="570" w:name="_Toc1347691507"/>
      <w:bookmarkStart w:id="571" w:name="_Toc214928563"/>
      <w:bookmarkStart w:id="572" w:name="_Toc1786151552"/>
      <w:bookmarkStart w:id="573" w:name="_Toc1086128118"/>
      <w:r>
        <w:rPr>
          <w:rFonts w:hint="eastAsia"/>
          <w:color w:val="auto"/>
          <w:lang w:val="en-US" w:eastAsia="zh-CN"/>
        </w:rPr>
        <w:t>三、</w:t>
      </w:r>
      <w:r>
        <w:rPr>
          <w:rFonts w:hint="eastAsia"/>
          <w:color w:val="auto"/>
        </w:rPr>
        <w:t>融合内容与群众真实需求的结构性脱节</w:t>
      </w:r>
      <w:bookmarkEnd w:id="564"/>
      <w:bookmarkEnd w:id="565"/>
      <w:bookmarkEnd w:id="566"/>
      <w:bookmarkEnd w:id="567"/>
      <w:bookmarkEnd w:id="568"/>
      <w:bookmarkEnd w:id="569"/>
      <w:bookmarkEnd w:id="570"/>
      <w:bookmarkEnd w:id="571"/>
      <w:bookmarkEnd w:id="572"/>
      <w:bookmarkEnd w:id="573"/>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最后是融合内容与群众需求的脱节。部分宣传材料停留在抽象概念的简单叠加，如将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color w:val="auto"/>
          <w:lang w:val="en-US" w:eastAsia="zh-CN"/>
        </w:rPr>
      </w:pPr>
      <w:bookmarkStart w:id="574" w:name="_Toc45373407"/>
      <w:bookmarkStart w:id="575" w:name="_Toc382370987"/>
      <w:bookmarkStart w:id="576" w:name="_Toc236864087"/>
      <w:bookmarkStart w:id="577" w:name="_Toc1141133240"/>
      <w:bookmarkStart w:id="578" w:name="_Toc175233051"/>
      <w:bookmarkStart w:id="579" w:name="_Toc944279726"/>
      <w:r>
        <w:rPr>
          <w:rFonts w:hint="eastAsia"/>
          <w:color w:val="auto"/>
        </w:rPr>
        <w:t>四、“公正”、“平等”价值在融合实践中的边缘化问题</w:t>
      </w:r>
      <w:bookmarkEnd w:id="574"/>
      <w:bookmarkEnd w:id="575"/>
      <w:bookmarkEnd w:id="576"/>
      <w:bookmarkEnd w:id="577"/>
      <w:bookmarkEnd w:id="578"/>
      <w:bookmarkEnd w:id="579"/>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值得注意的是，当前基督教界在推进融合工作时，对社会主义核心价值观的理解往往偏重于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等个人道德层面，而对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等社会制度层面的价值关注不足。这种倾向导致融合工作更多停留在慈善公益的道德实践层面，未能充分发挥基督教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重道德、轻制度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的倾向，不仅限制了融合工作的深度，也使得基督教社会伦理中最具变革潜力的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维度未能得到充分释放。</w:t>
      </w:r>
    </w:p>
    <w:p w14:paraId="51B85303">
      <w:pPr>
        <w:pStyle w:val="3"/>
        <w:bidi w:val="0"/>
        <w:rPr>
          <w:rFonts w:hint="eastAsia"/>
          <w:color w:val="auto"/>
          <w:lang w:val="en-US" w:eastAsia="zh-CN"/>
        </w:rPr>
      </w:pPr>
      <w:bookmarkStart w:id="580" w:name="_Toc1687512318"/>
      <w:bookmarkStart w:id="581" w:name="_Toc855055436"/>
      <w:bookmarkStart w:id="582" w:name="_Toc941808120"/>
      <w:bookmarkStart w:id="583" w:name="_Toc1015217533"/>
      <w:bookmarkStart w:id="584" w:name="_Toc543542797"/>
      <w:bookmarkStart w:id="585" w:name="_Toc234156764"/>
      <w:bookmarkStart w:id="586" w:name="_Toc1238106685"/>
      <w:bookmarkStart w:id="587" w:name="_Toc1997396970"/>
      <w:bookmarkStart w:id="588" w:name="_Toc1023263610"/>
      <w:bookmarkStart w:id="589" w:name="_Toc605203552"/>
      <w:r>
        <w:rPr>
          <w:rFonts w:hint="eastAsia"/>
          <w:color w:val="auto"/>
          <w:lang w:val="en-US" w:eastAsia="zh-CN"/>
        </w:rPr>
        <w:t xml:space="preserve">第三节 </w:t>
      </w:r>
      <w:r>
        <w:rPr>
          <w:rFonts w:hint="eastAsia"/>
          <w:color w:val="auto"/>
        </w:rPr>
        <w:t>制度层面的保障缺位</w:t>
      </w:r>
      <w:bookmarkEnd w:id="580"/>
      <w:bookmarkEnd w:id="581"/>
      <w:bookmarkEnd w:id="582"/>
      <w:bookmarkEnd w:id="583"/>
      <w:bookmarkEnd w:id="584"/>
      <w:bookmarkEnd w:id="585"/>
      <w:bookmarkEnd w:id="586"/>
      <w:bookmarkEnd w:id="587"/>
      <w:bookmarkEnd w:id="588"/>
      <w:bookmarkEnd w:id="589"/>
    </w:p>
    <w:p w14:paraId="280B9A6B">
      <w:pPr>
        <w:pStyle w:val="4"/>
        <w:bidi w:val="0"/>
        <w:rPr>
          <w:rFonts w:hint="eastAsia"/>
          <w:color w:val="auto"/>
          <w:lang w:val="en-US" w:eastAsia="zh-CN"/>
        </w:rPr>
      </w:pPr>
      <w:bookmarkStart w:id="590" w:name="_Toc2075838488"/>
      <w:bookmarkStart w:id="591" w:name="_Toc203002697"/>
      <w:bookmarkStart w:id="592" w:name="_Toc2014594450"/>
      <w:bookmarkStart w:id="593" w:name="_Toc1282691244"/>
      <w:bookmarkStart w:id="594" w:name="_Toc942448094"/>
      <w:bookmarkStart w:id="595" w:name="_Toc1003501716"/>
      <w:bookmarkStart w:id="596" w:name="_Toc1889999012"/>
      <w:bookmarkStart w:id="597" w:name="_Toc786504886"/>
      <w:bookmarkStart w:id="598" w:name="_Toc2103630775"/>
      <w:bookmarkStart w:id="599" w:name="_Toc1173546272"/>
      <w:r>
        <w:rPr>
          <w:rFonts w:hint="eastAsia"/>
          <w:color w:val="auto"/>
          <w:lang w:val="en-US" w:eastAsia="zh-CN"/>
        </w:rPr>
        <w:t>一、</w:t>
      </w:r>
      <w:r>
        <w:rPr>
          <w:rFonts w:hint="eastAsia"/>
          <w:color w:val="auto"/>
        </w:rPr>
        <w:t>引导机制的不健全与权责模糊</w:t>
      </w:r>
      <w:bookmarkEnd w:id="590"/>
      <w:bookmarkEnd w:id="591"/>
      <w:bookmarkEnd w:id="592"/>
      <w:bookmarkEnd w:id="593"/>
      <w:bookmarkEnd w:id="594"/>
      <w:bookmarkEnd w:id="595"/>
      <w:bookmarkEnd w:id="596"/>
      <w:bookmarkEnd w:id="597"/>
      <w:bookmarkEnd w:id="598"/>
      <w:bookmarkEnd w:id="599"/>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color w:val="auto"/>
          <w:lang w:val="en-US" w:eastAsia="zh-CN"/>
        </w:rPr>
      </w:pPr>
      <w:bookmarkStart w:id="600" w:name="_Toc1025771717"/>
      <w:bookmarkStart w:id="601" w:name="_Toc1664260921"/>
      <w:bookmarkStart w:id="602" w:name="_Toc1699154864"/>
      <w:bookmarkStart w:id="603" w:name="_Toc2033219233"/>
      <w:bookmarkStart w:id="604" w:name="_Toc1750889322"/>
      <w:bookmarkStart w:id="605" w:name="_Toc598138654"/>
      <w:bookmarkStart w:id="606" w:name="_Toc1782771907"/>
      <w:bookmarkStart w:id="607" w:name="_Toc1662297043"/>
      <w:bookmarkStart w:id="608" w:name="_Toc2061742548"/>
      <w:bookmarkStart w:id="609" w:name="_Toc1302379456"/>
      <w:r>
        <w:rPr>
          <w:rFonts w:hint="eastAsia"/>
          <w:color w:val="auto"/>
          <w:lang w:val="en-US" w:eastAsia="zh-CN"/>
        </w:rPr>
        <w:t>二、</w:t>
      </w:r>
      <w:r>
        <w:rPr>
          <w:rFonts w:hint="eastAsia"/>
          <w:color w:val="auto"/>
        </w:rPr>
        <w:t>评估监督体系的缺位与指标虚化</w:t>
      </w:r>
      <w:bookmarkEnd w:id="600"/>
      <w:bookmarkEnd w:id="601"/>
      <w:bookmarkEnd w:id="602"/>
      <w:bookmarkEnd w:id="603"/>
      <w:bookmarkEnd w:id="604"/>
      <w:bookmarkEnd w:id="605"/>
      <w:bookmarkEnd w:id="606"/>
      <w:bookmarkEnd w:id="607"/>
      <w:bookmarkEnd w:id="608"/>
      <w:bookmarkEnd w:id="60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对违规开展的融合活动也缺乏有效的监管手段，部分教会打着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color w:val="auto"/>
          <w:lang w:val="en-US" w:eastAsia="zh-CN"/>
        </w:rPr>
      </w:pPr>
      <w:bookmarkStart w:id="610" w:name="_Toc1611637878"/>
      <w:bookmarkStart w:id="611" w:name="_Toc258797072"/>
      <w:bookmarkStart w:id="612" w:name="_Toc545406171"/>
      <w:bookmarkStart w:id="613" w:name="_Toc1555857967"/>
      <w:bookmarkStart w:id="614" w:name="_Toc2058359891"/>
      <w:bookmarkStart w:id="615" w:name="_Toc458261442"/>
      <w:bookmarkStart w:id="616" w:name="_Toc146529503"/>
      <w:bookmarkStart w:id="617" w:name="_Toc228420013"/>
      <w:bookmarkStart w:id="618" w:name="_Toc1355598005"/>
      <w:bookmarkStart w:id="619" w:name="_Toc1938186768"/>
      <w:r>
        <w:rPr>
          <w:rFonts w:hint="eastAsia"/>
          <w:color w:val="auto"/>
          <w:lang w:val="en-US" w:eastAsia="zh-CN"/>
        </w:rPr>
        <w:t>三、</w:t>
      </w:r>
      <w:r>
        <w:rPr>
          <w:rFonts w:hint="eastAsia"/>
          <w:color w:val="auto"/>
        </w:rPr>
        <w:t>基层宗教工作队伍的能力短板与培训缺失</w:t>
      </w:r>
      <w:bookmarkEnd w:id="610"/>
      <w:bookmarkEnd w:id="611"/>
      <w:bookmarkEnd w:id="612"/>
      <w:bookmarkEnd w:id="613"/>
      <w:bookmarkEnd w:id="614"/>
      <w:bookmarkEnd w:id="615"/>
      <w:bookmarkEnd w:id="616"/>
      <w:bookmarkEnd w:id="617"/>
      <w:bookmarkEnd w:id="618"/>
      <w:bookmarkEnd w:id="619"/>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因此</w:t>
      </w:r>
      <w:r>
        <w:rPr>
          <w:rFonts w:hint="eastAsia" w:ascii="宋体" w:hAnsi="宋体" w:eastAsia="宋体" w:cs="宋体"/>
          <w:color w:val="auto"/>
          <w:sz w:val="24"/>
          <w:szCs w:val="24"/>
        </w:rPr>
        <w:t>基层宗教工作队伍分层培训</w:t>
      </w:r>
      <w:r>
        <w:rPr>
          <w:rFonts w:hint="eastAsia" w:ascii="宋体" w:hAnsi="宋体" w:eastAsia="宋体" w:cs="宋体"/>
          <w:color w:val="auto"/>
          <w:sz w:val="24"/>
          <w:szCs w:val="24"/>
          <w:lang w:val="en-US" w:eastAsia="zh-CN"/>
        </w:rPr>
        <w:t>就非常的重要，培训的内容可以包括：</w:t>
      </w:r>
      <w:r>
        <w:rPr>
          <w:rFonts w:hint="eastAsia" w:ascii="宋体" w:hAnsi="宋体" w:eastAsia="宋体" w:cs="宋体"/>
          <w:color w:val="auto"/>
          <w:sz w:val="24"/>
          <w:szCs w:val="24"/>
        </w:rPr>
        <w:t>政策理论：中国特色社会主义宗教理论核心要义、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的政策内涵、《宗教事务条例》解读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宗教常识：基督教基本教义概述、仁爱观念的本源与本土化演进、基督教公益慈善的历史传统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价值融合方法：两类价值契合点的梳理技巧、融合活动的策划与实施、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的引导艺术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实操演练：宗教团体公益项目审批流程模拟、讲经内容审核实操、社区融合活动组织演练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最终</w:t>
      </w:r>
      <w:r>
        <w:rPr>
          <w:rFonts w:hint="eastAsia" w:ascii="宋体" w:hAnsi="宋体" w:eastAsia="宋体" w:cs="宋体"/>
          <w:color w:val="auto"/>
          <w:sz w:val="24"/>
          <w:szCs w:val="24"/>
        </w:rPr>
        <w:t>培训评估：采用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理论学习+案例分析+情景模拟+实操考核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的综合评估方式，确保参训</w:t>
      </w:r>
      <w:r>
        <w:rPr>
          <w:rFonts w:hint="eastAsia" w:ascii="宋体" w:hAnsi="宋体" w:eastAsia="宋体" w:cs="宋体"/>
          <w:color w:val="auto"/>
          <w:sz w:val="24"/>
          <w:szCs w:val="24"/>
          <w:lang w:val="en-US" w:eastAsia="zh-CN"/>
        </w:rPr>
        <w:t>人员</w:t>
      </w:r>
      <w:r>
        <w:rPr>
          <w:rFonts w:hint="eastAsia" w:ascii="宋体" w:hAnsi="宋体" w:eastAsia="宋体" w:cs="宋体"/>
          <w:color w:val="auto"/>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不敢管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不愿管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的消极回避，或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简单化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6BA3EE47">
      <w:pPr>
        <w:pStyle w:val="2"/>
        <w:bidi w:val="0"/>
        <w:rPr>
          <w:rFonts w:hint="eastAsia"/>
          <w:color w:val="auto"/>
          <w:lang w:val="en-US" w:eastAsia="zh-CN"/>
        </w:rPr>
      </w:pPr>
      <w:bookmarkStart w:id="620" w:name="_Toc1501881302"/>
      <w:bookmarkStart w:id="621" w:name="_Toc948003929"/>
      <w:bookmarkStart w:id="622" w:name="_Toc1123697552"/>
      <w:bookmarkStart w:id="623" w:name="_Toc1181310601"/>
      <w:bookmarkStart w:id="624" w:name="_Toc881659012"/>
      <w:bookmarkStart w:id="625" w:name="_Toc1705097459"/>
      <w:bookmarkStart w:id="626" w:name="_Toc586575935"/>
      <w:bookmarkStart w:id="627" w:name="_Toc1040618514"/>
      <w:bookmarkStart w:id="628" w:name="_Toc1543965497"/>
      <w:bookmarkStart w:id="629" w:name="_Toc2073052080"/>
      <w:r>
        <w:rPr>
          <w:rFonts w:hint="eastAsia"/>
          <w:color w:val="auto"/>
          <w:lang w:val="en-US" w:eastAsia="zh-CN"/>
        </w:rPr>
        <w:t>五、</w:t>
      </w:r>
      <w:r>
        <w:rPr>
          <w:rFonts w:hint="eastAsia"/>
          <w:color w:val="auto"/>
        </w:rPr>
        <w:t>基督教仁爱观念与核心价值观的融合途径构建</w:t>
      </w:r>
      <w:bookmarkEnd w:id="620"/>
      <w:bookmarkEnd w:id="621"/>
      <w:bookmarkEnd w:id="622"/>
      <w:bookmarkEnd w:id="623"/>
      <w:bookmarkEnd w:id="624"/>
      <w:bookmarkEnd w:id="625"/>
      <w:bookmarkEnd w:id="626"/>
      <w:bookmarkEnd w:id="627"/>
      <w:bookmarkEnd w:id="628"/>
      <w:bookmarkEnd w:id="629"/>
    </w:p>
    <w:p w14:paraId="746E5CE8">
      <w:pPr>
        <w:pStyle w:val="3"/>
        <w:bidi w:val="0"/>
        <w:rPr>
          <w:rFonts w:hint="eastAsia"/>
          <w:color w:val="auto"/>
          <w:lang w:val="en-US" w:eastAsia="zh-CN"/>
        </w:rPr>
      </w:pPr>
      <w:bookmarkStart w:id="630" w:name="_Toc405850384"/>
      <w:bookmarkStart w:id="631" w:name="_Toc800954492"/>
      <w:bookmarkStart w:id="632" w:name="_Toc920857610"/>
      <w:bookmarkStart w:id="633" w:name="_Toc1383201378"/>
      <w:bookmarkStart w:id="634" w:name="_Toc1013564746"/>
      <w:bookmarkStart w:id="635" w:name="_Toc1631799815"/>
      <w:bookmarkStart w:id="636" w:name="_Toc596255876"/>
      <w:bookmarkStart w:id="637" w:name="_Toc1551207845"/>
      <w:bookmarkStart w:id="638" w:name="_Toc568543630"/>
      <w:bookmarkStart w:id="639" w:name="_Toc1011619632"/>
      <w:r>
        <w:rPr>
          <w:rFonts w:hint="eastAsia"/>
          <w:color w:val="auto"/>
          <w:lang w:val="en-US" w:eastAsia="zh-CN"/>
        </w:rPr>
        <w:t xml:space="preserve">第一节 </w:t>
      </w:r>
      <w:r>
        <w:rPr>
          <w:rFonts w:hint="eastAsia"/>
          <w:color w:val="auto"/>
        </w:rPr>
        <w:t>教义阐释维度：构建本土化、时代化的仁爱话语体系</w:t>
      </w:r>
      <w:bookmarkEnd w:id="630"/>
      <w:bookmarkEnd w:id="631"/>
      <w:bookmarkEnd w:id="632"/>
      <w:bookmarkEnd w:id="633"/>
      <w:bookmarkEnd w:id="634"/>
      <w:bookmarkEnd w:id="635"/>
      <w:bookmarkEnd w:id="636"/>
      <w:bookmarkEnd w:id="637"/>
      <w:bookmarkEnd w:id="638"/>
      <w:bookmarkEnd w:id="639"/>
    </w:p>
    <w:p w14:paraId="7907FF9B">
      <w:pPr>
        <w:pStyle w:val="4"/>
        <w:bidi w:val="0"/>
        <w:rPr>
          <w:rFonts w:hint="eastAsia"/>
          <w:color w:val="auto"/>
          <w:lang w:val="en-US" w:eastAsia="zh-CN"/>
        </w:rPr>
      </w:pPr>
      <w:bookmarkStart w:id="640" w:name="_Toc1113811030"/>
      <w:bookmarkStart w:id="641" w:name="_Toc719341016"/>
      <w:bookmarkStart w:id="642" w:name="_Toc1214647648"/>
      <w:bookmarkStart w:id="643" w:name="_Toc2086690988"/>
      <w:bookmarkStart w:id="644" w:name="_Toc698776335"/>
      <w:bookmarkStart w:id="645" w:name="_Toc145834868"/>
      <w:bookmarkStart w:id="646" w:name="_Toc1358043907"/>
      <w:bookmarkStart w:id="647" w:name="_Toc1142398018"/>
      <w:bookmarkStart w:id="648" w:name="_Toc955081271"/>
      <w:bookmarkStart w:id="649" w:name="_Toc663121725"/>
      <w:r>
        <w:rPr>
          <w:rFonts w:hint="eastAsia"/>
          <w:color w:val="auto"/>
          <w:lang w:val="en-US" w:eastAsia="zh-CN"/>
        </w:rPr>
        <w:t>一、</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的当代创新：从利玛窦到新时代</w:t>
      </w:r>
      <w:bookmarkEnd w:id="640"/>
      <w:bookmarkEnd w:id="641"/>
      <w:bookmarkEnd w:id="642"/>
      <w:bookmarkEnd w:id="643"/>
      <w:bookmarkEnd w:id="644"/>
      <w:bookmarkEnd w:id="645"/>
      <w:bookmarkEnd w:id="646"/>
      <w:bookmarkEnd w:id="647"/>
      <w:bookmarkEnd w:id="648"/>
      <w:bookmarkEnd w:id="649"/>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Deus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进行对接。这种对接不是概念替换，而是在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讲仁爱、尚和合、重民本、求大同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等价值理念融入宗教经典教义诠释。</w:t>
      </w:r>
      <w:r>
        <w:rPr>
          <w:rStyle w:val="29"/>
          <w:rFonts w:hint="eastAsia" w:ascii="宋体" w:hAnsi="宋体" w:eastAsia="宋体" w:cs="宋体"/>
          <w:color w:val="auto"/>
          <w:sz w:val="24"/>
          <w:szCs w:val="24"/>
        </w:rPr>
        <w:footnoteReference w:id="82"/>
      </w:r>
      <w:r>
        <w:rPr>
          <w:rFonts w:hint="eastAsia" w:ascii="宋体" w:hAnsi="宋体" w:eastAsia="宋体" w:cs="宋体"/>
          <w:color w:val="auto"/>
          <w:sz w:val="24"/>
          <w:szCs w:val="24"/>
        </w:rPr>
        <w:t xml:space="preserve"> 例如，在阐释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时，可以引入儒家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己欲立而立人，己欲达而达人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（《论语·雍也》）的忠恕之道，说明基督教之爱与儒家之仁在实践伦理层面的相通性；在阐释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时，可以结合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以德报怨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的中华传统智慧，赋予其更具中国文化气质的表达方式。</w:t>
      </w:r>
    </w:p>
    <w:p w14:paraId="0A990621">
      <w:pPr>
        <w:pStyle w:val="4"/>
        <w:bidi w:val="0"/>
        <w:rPr>
          <w:rFonts w:hint="eastAsia"/>
          <w:color w:val="auto"/>
        </w:rPr>
      </w:pPr>
      <w:bookmarkStart w:id="650" w:name="_Toc1779684346"/>
      <w:bookmarkStart w:id="651" w:name="_Toc1893280549"/>
      <w:bookmarkStart w:id="652" w:name="_Toc459996159"/>
      <w:bookmarkStart w:id="653" w:name="_Toc767785249"/>
      <w:bookmarkStart w:id="654" w:name="_Toc1187744633"/>
      <w:bookmarkStart w:id="655" w:name="_Toc1758144019"/>
      <w:bookmarkStart w:id="656" w:name="_Toc1779006949"/>
      <w:bookmarkStart w:id="657" w:name="_Toc207030311"/>
      <w:bookmarkStart w:id="658" w:name="_Toc603471554"/>
      <w:bookmarkStart w:id="659" w:name="_Toc1794187792"/>
      <w:r>
        <w:rPr>
          <w:rFonts w:hint="eastAsia"/>
          <w:color w:val="auto"/>
          <w:lang w:val="en-US" w:eastAsia="zh-CN"/>
        </w:rPr>
        <w:t>二、</w:t>
      </w:r>
      <w:r>
        <w:rPr>
          <w:rFonts w:hint="eastAsia"/>
          <w:color w:val="auto"/>
        </w:rPr>
        <w:t>Agape与</w:t>
      </w:r>
      <w:r>
        <w:rPr>
          <w:rFonts w:hint="eastAsia"/>
          <w:color w:val="auto"/>
          <w:lang w:eastAsia="zh-CN"/>
        </w:rPr>
        <w:t>“</w:t>
      </w:r>
      <w:r>
        <w:rPr>
          <w:rFonts w:hint="eastAsia"/>
          <w:color w:val="auto"/>
        </w:rPr>
        <w:t>仁</w:t>
      </w:r>
      <w:r>
        <w:rPr>
          <w:rFonts w:hint="eastAsia"/>
          <w:color w:val="auto"/>
          <w:lang w:eastAsia="zh-CN"/>
        </w:rPr>
        <w:t>”</w:t>
      </w:r>
      <w:r>
        <w:rPr>
          <w:rFonts w:hint="eastAsia"/>
          <w:color w:val="auto"/>
        </w:rPr>
        <w:t>的创造性对接：差序与普遍的辩证统一</w:t>
      </w:r>
      <w:bookmarkEnd w:id="650"/>
      <w:bookmarkEnd w:id="651"/>
      <w:bookmarkEnd w:id="652"/>
      <w:bookmarkEnd w:id="653"/>
      <w:bookmarkEnd w:id="654"/>
      <w:bookmarkEnd w:id="655"/>
      <w:bookmarkEnd w:id="656"/>
      <w:bookmarkEnd w:id="657"/>
      <w:bookmarkEnd w:id="658"/>
      <w:bookmarkEnd w:id="659"/>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方案，核心在于将儒家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第一层：家国情怀（爱家爱国）。儒家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孝悌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为根基，由亲亲而仁民，由仁民而爱物。基督教Agape虽然强调普遍性，但在《圣经》中同样重视家庭伦理（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当孝敬父母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，《出埃及记》20:12）。当代教义阐释可以将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衔接，论证基督徒爱国爱教的一致性：爱上帝要求信徒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在上有权柄的，人人当顺服他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（罗13:1），而在中国语境中，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顺服权柄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第二层：社区互助（爱人如己）。这是融合实践的核心层面。儒家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在社区层面表现为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邻里守望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敦亲睦邻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，基督教Agape则表现为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式的邻人关爱。二者可以在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概念中实现对接：基督徒参与社区养老、困境儿童帮扶，既是践行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第三层：人类关怀（博爱大同）。儒家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万人得救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的普世关怀可以在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人类命运共同体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color w:val="auto"/>
        </w:rPr>
      </w:pPr>
      <w:bookmarkStart w:id="660" w:name="_Toc354974662"/>
      <w:bookmarkStart w:id="661" w:name="_Toc1899028260"/>
      <w:bookmarkStart w:id="662" w:name="_Toc1002567806"/>
      <w:bookmarkStart w:id="663" w:name="_Toc1100989444"/>
      <w:bookmarkStart w:id="664" w:name="_Toc1563547966"/>
      <w:bookmarkStart w:id="665" w:name="_Toc2128626944"/>
      <w:bookmarkStart w:id="666" w:name="_Toc214315113"/>
      <w:bookmarkStart w:id="667" w:name="_Toc634928837"/>
      <w:bookmarkStart w:id="668" w:name="_Toc2084928767"/>
      <w:bookmarkStart w:id="669" w:name="_Toc2096332617"/>
      <w:r>
        <w:rPr>
          <w:rFonts w:hint="eastAsia"/>
          <w:color w:val="auto"/>
          <w:lang w:val="en-US" w:eastAsia="zh-CN"/>
        </w:rPr>
        <w:t>三、</w:t>
      </w:r>
      <w:r>
        <w:rPr>
          <w:rFonts w:hint="eastAsia"/>
          <w:color w:val="auto"/>
        </w:rPr>
        <w:t>浙江神学院神学思想建设的实践引领</w:t>
      </w:r>
      <w:bookmarkEnd w:id="660"/>
      <w:bookmarkEnd w:id="661"/>
      <w:bookmarkEnd w:id="662"/>
      <w:bookmarkEnd w:id="663"/>
      <w:bookmarkEnd w:id="664"/>
      <w:bookmarkEnd w:id="665"/>
      <w:bookmarkEnd w:id="666"/>
      <w:bookmarkEnd w:id="667"/>
      <w:bookmarkEnd w:id="668"/>
      <w:bookmarkEnd w:id="669"/>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为谁培养人、培养什么人、怎样培养人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三个基本问题开展教育教学工作，推动特色教育多元融合，实行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爱心培养理念、提倡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教学、开展课外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生命操守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爱心培养理念将知识传授、品格塑造、能力培养、社会实践融为一体，强调神学教育不仅要培养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宗教上有造诣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的人才，更要培养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政治上靠得住、品德上能服众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的复合型人才。这一理念与社会主义核心价值观的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敬业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浙江神学院还定期举办神学思想建设研讨会。2019年12月，浙江省基督教两会在浙江神学院举办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基督教中国化神学思想建设第十九次研讨会暨浙江神学院三十五周年感恩活动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，研讨会以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基督教促进社会主义经济发展作贡献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为主题，探讨了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马太效应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的积极运用、敬业精神的神学基础、社会主要矛盾变化对基督教的考验等议题。</w:t>
      </w:r>
      <w:r>
        <w:rPr>
          <w:rStyle w:val="29"/>
          <w:rFonts w:hint="eastAsia" w:ascii="宋体" w:hAnsi="宋体" w:eastAsia="宋体" w:cs="宋体"/>
          <w:color w:val="auto"/>
          <w:sz w:val="24"/>
          <w:szCs w:val="24"/>
        </w:rPr>
        <w:footnoteReference w:id="83"/>
      </w:r>
      <w:r>
        <w:rPr>
          <w:rFonts w:hint="eastAsia" w:ascii="宋体" w:hAnsi="宋体" w:eastAsia="宋体" w:cs="宋体"/>
          <w:color w:val="auto"/>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color w:val="auto"/>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张忠成牧师在研讨会上以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基督教伦理与社会主义核心价值观之刍议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为题发言，直接论证了基督教伦理与核心价值观的契合性。</w:t>
      </w:r>
      <w:r>
        <w:rPr>
          <w:rStyle w:val="29"/>
          <w:rFonts w:hint="eastAsia" w:ascii="宋体" w:hAnsi="宋体" w:eastAsia="宋体" w:cs="宋体"/>
          <w:color w:val="auto"/>
          <w:sz w:val="24"/>
          <w:szCs w:val="24"/>
        </w:rPr>
        <w:footnoteReference w:id="85"/>
      </w:r>
      <w:r>
        <w:rPr>
          <w:rFonts w:hint="eastAsia" w:ascii="宋体" w:hAnsi="宋体" w:eastAsia="宋体" w:cs="宋体"/>
          <w:color w:val="auto"/>
          <w:sz w:val="24"/>
          <w:szCs w:val="24"/>
        </w:rPr>
        <w:t xml:space="preserve"> 这种由宗教界代表人士主动发起的价值对话，比外部强加的政策宣讲更具说服力，是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color w:val="auto"/>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为增强教义阐释的可操作性，本文提供以下讲经讲道示范框架。以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绵羊与山羊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寓言（太25:31-46）为例，传统讲道侧重于末日审判的神学含义，在社会主义核心价值观引领下的处境化诠释中，可将讲道重心转向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给最小的弟兄做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的实践伦理：</w:t>
      </w:r>
      <w:r>
        <w:rPr>
          <w:rFonts w:hint="eastAsia" w:ascii="宋体" w:hAnsi="宋体" w:eastAsia="宋体" w:cs="宋体"/>
          <w:color w:val="auto"/>
          <w:sz w:val="24"/>
          <w:szCs w:val="24"/>
          <w:lang w:val="en-US" w:eastAsia="zh-CN"/>
        </w:rPr>
        <w:t>如讲道</w:t>
      </w:r>
      <w:r>
        <w:rPr>
          <w:rFonts w:hint="eastAsia" w:ascii="宋体" w:hAnsi="宋体" w:eastAsia="宋体" w:cs="宋体"/>
          <w:color w:val="auto"/>
          <w:sz w:val="24"/>
          <w:szCs w:val="24"/>
        </w:rPr>
        <w:t>主题：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价值的信仰实践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采用</w:t>
      </w:r>
      <w:r>
        <w:rPr>
          <w:rFonts w:hint="eastAsia" w:ascii="宋体" w:hAnsi="宋体" w:eastAsia="宋体" w:cs="宋体"/>
          <w:color w:val="auto"/>
          <w:sz w:val="24"/>
          <w:szCs w:val="24"/>
        </w:rPr>
        <w:t>经文：《马太福音》22:37-39</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最大的诫命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第一点</w:t>
      </w:r>
      <w:r>
        <w:rPr>
          <w:rFonts w:hint="eastAsia" w:ascii="宋体" w:hAnsi="宋体" w:eastAsia="宋体" w:cs="宋体"/>
          <w:color w:val="auto"/>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品格塑造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的要求，说明基督徒的爱国情怀是信仰的自然延伸。</w:t>
      </w:r>
      <w:r>
        <w:rPr>
          <w:rFonts w:hint="eastAsia" w:ascii="宋体" w:hAnsi="宋体" w:eastAsia="宋体" w:cs="宋体"/>
          <w:color w:val="auto"/>
          <w:sz w:val="24"/>
          <w:szCs w:val="24"/>
          <w:lang w:val="en-US" w:eastAsia="zh-CN"/>
        </w:rPr>
        <w:t>第二点：</w:t>
      </w:r>
      <w:r>
        <w:rPr>
          <w:rFonts w:hint="eastAsia" w:ascii="宋体" w:hAnsi="宋体" w:eastAsia="宋体" w:cs="宋体"/>
          <w:color w:val="auto"/>
          <w:sz w:val="24"/>
          <w:szCs w:val="24"/>
        </w:rPr>
        <w:t>爱人如己与友善价值的对接。将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进行对照。引用《论语》中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的忠恕之道，说明基督教之爱与儒家之仁在实践伦理层面的相通性。结合浙江光盐爱心基金会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光盐助学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项目的具体案例，说明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如何在当代转化为对弱势群体的实际关怀。第三</w:t>
      </w:r>
      <w:r>
        <w:rPr>
          <w:rFonts w:hint="eastAsia" w:ascii="宋体" w:hAnsi="宋体" w:eastAsia="宋体" w:cs="宋体"/>
          <w:color w:val="auto"/>
          <w:sz w:val="24"/>
          <w:szCs w:val="24"/>
          <w:lang w:val="en-US" w:eastAsia="zh-CN"/>
        </w:rPr>
        <w:t>点</w:t>
      </w:r>
      <w:r>
        <w:rPr>
          <w:rFonts w:hint="eastAsia" w:ascii="宋体" w:hAnsi="宋体" w:eastAsia="宋体" w:cs="宋体"/>
          <w:color w:val="auto"/>
          <w:sz w:val="24"/>
          <w:szCs w:val="24"/>
        </w:rPr>
        <w:t>：从社区互助到社会和谐。引用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寓言（路10:25-37），论证基督徒参与社区养老、困境儿童帮扶既是践行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价值。结合杭州圣爱康复医院的社区服务实践，说明信仰如何转化为具体的社会服务行动。</w:t>
      </w:r>
    </w:p>
    <w:p w14:paraId="1E9C7281">
      <w:pPr>
        <w:pStyle w:val="3"/>
        <w:bidi w:val="0"/>
        <w:rPr>
          <w:rFonts w:hint="eastAsia"/>
          <w:color w:val="auto"/>
          <w:lang w:val="en-US" w:eastAsia="zh-CN"/>
        </w:rPr>
      </w:pPr>
      <w:bookmarkStart w:id="670" w:name="_Toc1610482756"/>
      <w:bookmarkStart w:id="671" w:name="_Toc907118870"/>
      <w:bookmarkStart w:id="672" w:name="_Toc664028172"/>
      <w:bookmarkStart w:id="673" w:name="_Toc1066004106"/>
      <w:bookmarkStart w:id="674" w:name="_Toc1000421080"/>
      <w:bookmarkStart w:id="675" w:name="_Toc402721516"/>
      <w:bookmarkStart w:id="676" w:name="_Toc902972435"/>
      <w:bookmarkStart w:id="677" w:name="_Toc349572868"/>
      <w:bookmarkStart w:id="678" w:name="_Toc1940759870"/>
      <w:bookmarkStart w:id="679" w:name="_Toc1445581237"/>
      <w:r>
        <w:rPr>
          <w:rFonts w:hint="eastAsia"/>
          <w:color w:val="auto"/>
          <w:lang w:val="en-US" w:eastAsia="zh-CN"/>
        </w:rPr>
        <w:t xml:space="preserve">第二节 </w:t>
      </w:r>
      <w:r>
        <w:rPr>
          <w:rFonts w:hint="eastAsia"/>
          <w:color w:val="auto"/>
        </w:rPr>
        <w:t>教育引导维度：</w:t>
      </w:r>
      <w:r>
        <w:rPr>
          <w:rFonts w:hint="eastAsia"/>
          <w:color w:val="auto"/>
          <w:lang w:eastAsia="zh-CN"/>
        </w:rPr>
        <w:t>“</w:t>
      </w:r>
      <w:r>
        <w:rPr>
          <w:rFonts w:hint="eastAsia"/>
          <w:color w:val="auto"/>
        </w:rPr>
        <w:t>润物细无声</w:t>
      </w:r>
      <w:r>
        <w:rPr>
          <w:rFonts w:hint="eastAsia"/>
          <w:color w:val="auto"/>
          <w:lang w:eastAsia="zh-CN"/>
        </w:rPr>
        <w:t>”</w:t>
      </w:r>
      <w:r>
        <w:rPr>
          <w:rFonts w:hint="eastAsia"/>
          <w:color w:val="auto"/>
        </w:rPr>
        <w:t>的价值浸润机制</w:t>
      </w:r>
      <w:bookmarkEnd w:id="670"/>
      <w:bookmarkEnd w:id="671"/>
      <w:bookmarkEnd w:id="672"/>
      <w:bookmarkEnd w:id="673"/>
      <w:bookmarkEnd w:id="674"/>
      <w:bookmarkEnd w:id="675"/>
      <w:bookmarkEnd w:id="676"/>
      <w:bookmarkEnd w:id="677"/>
      <w:bookmarkEnd w:id="678"/>
      <w:bookmarkEnd w:id="679"/>
    </w:p>
    <w:p w14:paraId="17C94084">
      <w:pPr>
        <w:pStyle w:val="4"/>
        <w:bidi w:val="0"/>
        <w:rPr>
          <w:rFonts w:hint="eastAsia"/>
          <w:color w:val="auto"/>
          <w:lang w:val="en-US" w:eastAsia="zh-CN"/>
        </w:rPr>
      </w:pPr>
      <w:bookmarkStart w:id="680" w:name="_Toc2022426268"/>
      <w:bookmarkStart w:id="681" w:name="_Toc1427619197"/>
      <w:bookmarkStart w:id="682" w:name="_Toc960438037"/>
      <w:bookmarkStart w:id="683" w:name="_Toc499793304"/>
      <w:bookmarkStart w:id="684" w:name="_Toc1819547715"/>
      <w:bookmarkStart w:id="685" w:name="_Toc2138265343"/>
      <w:bookmarkStart w:id="686" w:name="_Toc222020807"/>
      <w:bookmarkStart w:id="687" w:name="_Toc1903417931"/>
      <w:bookmarkStart w:id="688" w:name="_Toc1996456992"/>
      <w:bookmarkStart w:id="689" w:name="_Toc1401351748"/>
      <w:r>
        <w:rPr>
          <w:rFonts w:hint="eastAsia"/>
          <w:color w:val="auto"/>
          <w:lang w:val="en-US" w:eastAsia="zh-CN"/>
        </w:rPr>
        <w:t>一、</w:t>
      </w:r>
      <w:r>
        <w:rPr>
          <w:rFonts w:hint="eastAsia"/>
          <w:color w:val="auto"/>
        </w:rPr>
        <w:t>分层分类的</w:t>
      </w:r>
      <w:r>
        <w:rPr>
          <w:rFonts w:hint="eastAsia"/>
          <w:color w:val="auto"/>
          <w:lang w:eastAsia="zh-CN"/>
        </w:rPr>
        <w:t>“</w:t>
      </w:r>
      <w:r>
        <w:rPr>
          <w:rFonts w:hint="eastAsia"/>
          <w:color w:val="auto"/>
        </w:rPr>
        <w:t>浸润式</w:t>
      </w:r>
      <w:r>
        <w:rPr>
          <w:rFonts w:hint="eastAsia"/>
          <w:color w:val="auto"/>
          <w:lang w:eastAsia="zh-CN"/>
        </w:rPr>
        <w:t>”</w:t>
      </w:r>
      <w:r>
        <w:rPr>
          <w:rFonts w:hint="eastAsia"/>
          <w:color w:val="auto"/>
        </w:rPr>
        <w:t>教育策略</w:t>
      </w:r>
      <w:bookmarkEnd w:id="680"/>
      <w:bookmarkEnd w:id="681"/>
      <w:bookmarkEnd w:id="682"/>
      <w:bookmarkEnd w:id="683"/>
      <w:bookmarkEnd w:id="684"/>
      <w:bookmarkEnd w:id="685"/>
      <w:bookmarkEnd w:id="686"/>
      <w:bookmarkEnd w:id="687"/>
      <w:bookmarkEnd w:id="688"/>
      <w:bookmarkEnd w:id="689"/>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教义阐释的深化，需要与教育引导相互配合。有效的价值教育，必须考虑受众的文化背景与接受习惯，避免将官方话语生硬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编码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为增强教育引导的可操作性，</w:t>
      </w:r>
      <w:r>
        <w:rPr>
          <w:rFonts w:hint="eastAsia" w:ascii="宋体" w:hAnsi="宋体" w:eastAsia="宋体" w:cs="宋体"/>
          <w:color w:val="auto"/>
          <w:sz w:val="24"/>
          <w:szCs w:val="24"/>
          <w:lang w:val="en-US" w:eastAsia="zh-CN"/>
        </w:rPr>
        <w:t>可以</w:t>
      </w:r>
      <w:r>
        <w:rPr>
          <w:rFonts w:hint="eastAsia" w:ascii="宋体" w:hAnsi="宋体" w:eastAsia="宋体" w:cs="宋体"/>
          <w:color w:val="auto"/>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第一讲：从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第二讲：《圣经》中的慈善传统与中国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扶贫济困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第四讲：儒家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己所不欲，勿施于人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金规则</w:t>
      </w:r>
      <w:r>
        <w:rPr>
          <w:rFonts w:hint="eastAsia" w:ascii="宋体" w:hAnsi="宋体" w:eastAsia="宋体" w:cs="宋体"/>
          <w:color w:val="auto"/>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第五讲：公益慈善中的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第六讲：基督徒的公民责任与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教学方法：采用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经典阅读+案例讨论+实践体验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评估方式：采用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学习心得+实践报告+同伴互评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的综合评估方式，避免考试式的知识检测，注重价值内化与行为转化。</w:t>
      </w:r>
    </w:p>
    <w:p w14:paraId="032EEBCC">
      <w:pPr>
        <w:pStyle w:val="4"/>
        <w:bidi w:val="0"/>
        <w:rPr>
          <w:rFonts w:hint="eastAsia"/>
          <w:color w:val="auto"/>
          <w:lang w:val="en-US" w:eastAsia="zh-CN"/>
        </w:rPr>
      </w:pPr>
      <w:bookmarkStart w:id="690" w:name="_Toc1834270903"/>
      <w:bookmarkStart w:id="691" w:name="_Toc1324608410"/>
      <w:bookmarkStart w:id="692" w:name="_Toc1594997007"/>
      <w:bookmarkStart w:id="693" w:name="_Toc1217516911"/>
      <w:bookmarkStart w:id="694" w:name="_Toc971312725"/>
      <w:bookmarkStart w:id="695" w:name="_Toc1828760605"/>
      <w:bookmarkStart w:id="696" w:name="_Toc161056048"/>
      <w:bookmarkStart w:id="697" w:name="_Toc20680169"/>
      <w:bookmarkStart w:id="698" w:name="_Toc547121560"/>
      <w:bookmarkStart w:id="699" w:name="_Toc1065671987"/>
      <w:r>
        <w:rPr>
          <w:rFonts w:hint="eastAsia"/>
          <w:color w:val="auto"/>
          <w:lang w:val="en-US" w:eastAsia="zh-CN"/>
        </w:rPr>
        <w:t>二、</w:t>
      </w:r>
      <w:r>
        <w:rPr>
          <w:rFonts w:hint="eastAsia"/>
          <w:color w:val="auto"/>
        </w:rPr>
        <w:t>面向普通群众的认知科普与话语转换</w:t>
      </w:r>
      <w:bookmarkEnd w:id="690"/>
      <w:bookmarkEnd w:id="691"/>
      <w:bookmarkEnd w:id="692"/>
      <w:bookmarkEnd w:id="693"/>
      <w:bookmarkEnd w:id="694"/>
      <w:bookmarkEnd w:id="695"/>
      <w:bookmarkEnd w:id="696"/>
      <w:bookmarkEnd w:id="697"/>
      <w:bookmarkEnd w:id="698"/>
      <w:bookmarkEnd w:id="699"/>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color w:val="auto"/>
          <w:lang w:val="en-US" w:eastAsia="zh-CN"/>
        </w:rPr>
      </w:pPr>
      <w:bookmarkStart w:id="700" w:name="_Toc76331148"/>
      <w:bookmarkStart w:id="701" w:name="_Toc2094566113"/>
      <w:bookmarkStart w:id="702" w:name="_Toc1878062068"/>
      <w:bookmarkStart w:id="703" w:name="_Toc1582534561"/>
      <w:bookmarkStart w:id="704" w:name="_Toc1193532371"/>
      <w:bookmarkStart w:id="705" w:name="_Toc1463314036"/>
      <w:bookmarkStart w:id="706" w:name="_Toc1829768228"/>
      <w:bookmarkStart w:id="707" w:name="_Toc1826733216"/>
      <w:bookmarkStart w:id="708" w:name="_Toc1039603516"/>
      <w:bookmarkStart w:id="709" w:name="_Toc735469529"/>
      <w:r>
        <w:rPr>
          <w:rFonts w:hint="eastAsia"/>
          <w:color w:val="auto"/>
          <w:lang w:val="en-US" w:eastAsia="zh-CN"/>
        </w:rPr>
        <w:t>三、</w:t>
      </w:r>
      <w:r>
        <w:rPr>
          <w:rFonts w:hint="eastAsia"/>
          <w:color w:val="auto"/>
        </w:rPr>
        <w:t>融合型文化载体的创新设计</w:t>
      </w:r>
      <w:bookmarkEnd w:id="700"/>
      <w:bookmarkEnd w:id="701"/>
      <w:bookmarkEnd w:id="702"/>
      <w:bookmarkEnd w:id="703"/>
      <w:bookmarkEnd w:id="704"/>
      <w:bookmarkEnd w:id="705"/>
      <w:bookmarkEnd w:id="706"/>
      <w:bookmarkEnd w:id="707"/>
      <w:bookmarkEnd w:id="708"/>
      <w:bookmarkEnd w:id="7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的仁爱精神与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color w:val="auto"/>
          <w:lang w:val="en-US" w:eastAsia="zh-CN"/>
        </w:rPr>
      </w:pPr>
      <w:bookmarkStart w:id="710" w:name="_Toc936277608"/>
      <w:bookmarkStart w:id="711" w:name="_Toc1820719567"/>
      <w:bookmarkStart w:id="712" w:name="_Toc849867177"/>
      <w:bookmarkStart w:id="713" w:name="_Toc1478943800"/>
      <w:bookmarkStart w:id="714" w:name="_Toc53812770"/>
      <w:bookmarkStart w:id="715" w:name="_Toc689341420"/>
      <w:bookmarkStart w:id="716" w:name="_Toc874533270"/>
      <w:bookmarkStart w:id="717" w:name="_Toc948782956"/>
      <w:bookmarkStart w:id="718" w:name="_Toc1073398632"/>
      <w:bookmarkStart w:id="719" w:name="_Toc120501771"/>
      <w:r>
        <w:rPr>
          <w:rFonts w:hint="eastAsia"/>
          <w:color w:val="auto"/>
          <w:lang w:val="en-US" w:eastAsia="zh-CN"/>
        </w:rPr>
        <w:t xml:space="preserve">第三节 </w:t>
      </w:r>
      <w:r>
        <w:rPr>
          <w:rFonts w:hint="eastAsia"/>
          <w:color w:val="auto"/>
        </w:rPr>
        <w:t>实践转化维度：搭建多元化的仁爱践行平台</w:t>
      </w:r>
      <w:bookmarkEnd w:id="710"/>
      <w:bookmarkEnd w:id="711"/>
      <w:bookmarkEnd w:id="712"/>
      <w:bookmarkEnd w:id="713"/>
      <w:bookmarkEnd w:id="714"/>
      <w:bookmarkEnd w:id="715"/>
      <w:bookmarkEnd w:id="716"/>
      <w:bookmarkEnd w:id="717"/>
      <w:bookmarkEnd w:id="718"/>
      <w:bookmarkEnd w:id="719"/>
    </w:p>
    <w:p w14:paraId="1C546349">
      <w:pPr>
        <w:pStyle w:val="4"/>
        <w:bidi w:val="0"/>
        <w:rPr>
          <w:rFonts w:hint="eastAsia"/>
          <w:color w:val="auto"/>
          <w:lang w:val="en-US" w:eastAsia="zh-CN"/>
        </w:rPr>
      </w:pPr>
      <w:bookmarkStart w:id="720" w:name="_Toc803907642"/>
      <w:bookmarkStart w:id="721" w:name="_Toc902588822"/>
      <w:bookmarkStart w:id="722" w:name="_Toc86970375"/>
      <w:bookmarkStart w:id="723" w:name="_Toc1405076087"/>
      <w:bookmarkStart w:id="724" w:name="_Toc1129062517"/>
      <w:bookmarkStart w:id="725" w:name="_Toc1632716222"/>
      <w:bookmarkStart w:id="726" w:name="_Toc1748173224"/>
      <w:bookmarkStart w:id="727" w:name="_Toc340610003"/>
      <w:bookmarkStart w:id="728" w:name="_Toc1339276466"/>
      <w:bookmarkStart w:id="729" w:name="_Toc196186076"/>
      <w:r>
        <w:rPr>
          <w:rFonts w:hint="eastAsia"/>
          <w:color w:val="auto"/>
          <w:lang w:val="en-US" w:eastAsia="zh-CN"/>
        </w:rPr>
        <w:t>一、</w:t>
      </w:r>
      <w:r>
        <w:rPr>
          <w:rFonts w:hint="eastAsia"/>
          <w:color w:val="auto"/>
        </w:rPr>
        <w:t>浙江光盐爱心基金会的</w:t>
      </w:r>
      <w:r>
        <w:rPr>
          <w:rFonts w:hint="eastAsia"/>
          <w:color w:val="auto"/>
          <w:lang w:eastAsia="zh-CN"/>
        </w:rPr>
        <w:t>“</w:t>
      </w:r>
      <w:r>
        <w:rPr>
          <w:rFonts w:hint="eastAsia"/>
          <w:color w:val="auto"/>
        </w:rPr>
        <w:t>去标识化</w:t>
      </w:r>
      <w:r>
        <w:rPr>
          <w:rFonts w:hint="eastAsia"/>
          <w:color w:val="auto"/>
          <w:lang w:eastAsia="zh-CN"/>
        </w:rPr>
        <w:t>”</w:t>
      </w:r>
      <w:r>
        <w:rPr>
          <w:rFonts w:hint="eastAsia"/>
          <w:color w:val="auto"/>
        </w:rPr>
        <w:t>公益实践</w:t>
      </w:r>
      <w:bookmarkEnd w:id="720"/>
      <w:bookmarkEnd w:id="721"/>
      <w:bookmarkEnd w:id="722"/>
      <w:bookmarkEnd w:id="723"/>
      <w:bookmarkEnd w:id="724"/>
      <w:bookmarkEnd w:id="725"/>
      <w:bookmarkEnd w:id="726"/>
      <w:bookmarkEnd w:id="727"/>
      <w:bookmarkEnd w:id="728"/>
      <w:bookmarkEnd w:id="729"/>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color w:val="auto"/>
          <w:sz w:val="24"/>
          <w:szCs w:val="24"/>
        </w:rPr>
        <w:footnoteReference w:id="87"/>
      </w:r>
      <w:r>
        <w:rPr>
          <w:rFonts w:hint="eastAsia" w:ascii="宋体" w:hAnsi="宋体" w:eastAsia="宋体" w:cs="宋体"/>
          <w:color w:val="auto"/>
          <w:sz w:val="24"/>
          <w:szCs w:val="24"/>
        </w:rPr>
        <w:t xml:space="preserve"> 基金会的使命是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热爱生命、扶贫济困，同蒙福祉、共享主恩、荣神益人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，其运作方式完全遵循社会公益组织的规范，在对外宣传中不突出宗教标识，而是以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光盐爱心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color w:val="auto"/>
          <w:lang w:val="en-US" w:eastAsia="zh-CN"/>
        </w:rPr>
      </w:pPr>
      <w:bookmarkStart w:id="730" w:name="_Toc2133332593"/>
      <w:bookmarkStart w:id="731" w:name="_Toc1588401166"/>
      <w:bookmarkStart w:id="732" w:name="_Toc1443459855"/>
      <w:bookmarkStart w:id="733" w:name="_Toc1823601161"/>
      <w:bookmarkStart w:id="734" w:name="_Toc988218327"/>
      <w:bookmarkStart w:id="735" w:name="_Toc1422212665"/>
      <w:bookmarkStart w:id="736" w:name="_Toc1456115817"/>
      <w:bookmarkStart w:id="737" w:name="_Toc515501788"/>
      <w:bookmarkStart w:id="738" w:name="_Toc1383611797"/>
      <w:bookmarkStart w:id="739" w:name="_Toc911981187"/>
      <w:r>
        <w:rPr>
          <w:rFonts w:hint="eastAsia"/>
          <w:color w:val="auto"/>
          <w:lang w:val="en-US" w:eastAsia="zh-CN"/>
        </w:rPr>
        <w:t>二、</w:t>
      </w:r>
      <w:r>
        <w:rPr>
          <w:rFonts w:hint="eastAsia"/>
          <w:color w:val="auto"/>
        </w:rPr>
        <w:t>杭州圣爱康复医院的社区服务融入模式</w:t>
      </w:r>
      <w:bookmarkEnd w:id="730"/>
      <w:bookmarkEnd w:id="731"/>
      <w:bookmarkEnd w:id="732"/>
      <w:bookmarkEnd w:id="733"/>
      <w:bookmarkEnd w:id="734"/>
      <w:bookmarkEnd w:id="735"/>
      <w:bookmarkEnd w:id="736"/>
      <w:bookmarkEnd w:id="737"/>
      <w:bookmarkEnd w:id="738"/>
      <w:bookmarkEnd w:id="739"/>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的要求与自身信仰追求的一致性，社区非信众的认可度也会逐步提升。这种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内核的实践模式，正是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转化效果的生动体现——信众在不知不觉中完成了从宗教慈善到公共服务的逻辑转换，实现了宗教信仰与公民责任的有机统一。</w:t>
      </w:r>
    </w:p>
    <w:p w14:paraId="7CB428E5">
      <w:pPr>
        <w:pStyle w:val="4"/>
        <w:bidi w:val="0"/>
        <w:rPr>
          <w:rFonts w:hint="eastAsia"/>
          <w:color w:val="auto"/>
          <w:lang w:val="en-US" w:eastAsia="zh-CN"/>
        </w:rPr>
      </w:pPr>
      <w:bookmarkStart w:id="740" w:name="_Toc533920239"/>
      <w:bookmarkStart w:id="741" w:name="_Toc1410542463"/>
      <w:bookmarkStart w:id="742" w:name="_Toc378102943"/>
      <w:bookmarkStart w:id="743" w:name="_Toc214895107"/>
      <w:bookmarkStart w:id="744" w:name="_Toc1635269545"/>
      <w:bookmarkStart w:id="745" w:name="_Toc346895991"/>
      <w:bookmarkStart w:id="746" w:name="_Toc1089518918"/>
      <w:bookmarkStart w:id="747" w:name="_Toc889181105"/>
      <w:bookmarkStart w:id="748" w:name="_Toc107022826"/>
      <w:bookmarkStart w:id="749" w:name="_Toc1077021270"/>
      <w:r>
        <w:rPr>
          <w:rFonts w:hint="eastAsia"/>
          <w:color w:val="auto"/>
          <w:lang w:val="en-US" w:eastAsia="zh-CN"/>
        </w:rPr>
        <w:t>三、</w:t>
      </w:r>
      <w:r>
        <w:rPr>
          <w:rFonts w:hint="eastAsia"/>
          <w:color w:val="auto"/>
        </w:rPr>
        <w:t>融合型文化活动品牌的打造与</w:t>
      </w:r>
      <w:r>
        <w:rPr>
          <w:rFonts w:hint="eastAsia"/>
          <w:color w:val="auto"/>
          <w:lang w:eastAsia="zh-CN"/>
        </w:rPr>
        <w:t>“</w:t>
      </w:r>
      <w:r>
        <w:rPr>
          <w:rFonts w:hint="eastAsia"/>
          <w:color w:val="auto"/>
        </w:rPr>
        <w:t>价值化</w:t>
      </w:r>
      <w:r>
        <w:rPr>
          <w:rFonts w:hint="eastAsia"/>
          <w:color w:val="auto"/>
          <w:lang w:eastAsia="zh-CN"/>
        </w:rPr>
        <w:t>”</w:t>
      </w:r>
      <w:r>
        <w:rPr>
          <w:rFonts w:hint="eastAsia"/>
          <w:color w:val="auto"/>
        </w:rPr>
        <w:t>内核</w:t>
      </w:r>
      <w:bookmarkEnd w:id="740"/>
      <w:bookmarkEnd w:id="741"/>
      <w:bookmarkEnd w:id="742"/>
      <w:bookmarkEnd w:id="743"/>
      <w:bookmarkEnd w:id="744"/>
      <w:bookmarkEnd w:id="745"/>
      <w:bookmarkEnd w:id="746"/>
      <w:bookmarkEnd w:id="747"/>
      <w:bookmarkEnd w:id="748"/>
      <w:bookmarkEnd w:id="749"/>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的要求看，这类文化活动特别有助于增进对中华文化的认同。习近平总书记强调，要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植根中华五千年文明，推动我国宗教同中华优秀传统文化相融合，引导宗教界人士和信教群众增强中华文化认同感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8"/>
      </w:r>
      <w:r>
        <w:rPr>
          <w:rFonts w:hint="eastAsia" w:ascii="宋体" w:hAnsi="宋体" w:eastAsia="宋体" w:cs="宋体"/>
          <w:color w:val="auto"/>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color w:val="auto"/>
          <w:lang w:val="en-US" w:eastAsia="zh-CN"/>
        </w:rPr>
      </w:pPr>
      <w:bookmarkStart w:id="750" w:name="_Toc1822052742"/>
      <w:bookmarkStart w:id="751" w:name="_Toc2098880504"/>
      <w:bookmarkStart w:id="752" w:name="_Toc1288824043"/>
      <w:bookmarkStart w:id="753" w:name="_Toc128132262"/>
      <w:bookmarkStart w:id="754" w:name="_Toc372051528"/>
      <w:bookmarkStart w:id="755" w:name="_Toc1410779707"/>
      <w:bookmarkStart w:id="756" w:name="_Toc915196408"/>
      <w:bookmarkStart w:id="757" w:name="_Toc479528509"/>
      <w:bookmarkStart w:id="758" w:name="_Toc2010302779"/>
      <w:bookmarkStart w:id="759" w:name="_Toc356824327"/>
      <w:r>
        <w:rPr>
          <w:rFonts w:hint="eastAsia"/>
          <w:color w:val="auto"/>
          <w:lang w:val="en-US" w:eastAsia="zh-CN"/>
        </w:rPr>
        <w:t xml:space="preserve">第四节 </w:t>
      </w:r>
      <w:r>
        <w:rPr>
          <w:rFonts w:hint="eastAsia"/>
          <w:color w:val="auto"/>
        </w:rPr>
        <w:t>制度保障维度：完善融合的政策支持与监管机制</w:t>
      </w:r>
      <w:bookmarkEnd w:id="750"/>
      <w:bookmarkEnd w:id="751"/>
      <w:bookmarkEnd w:id="752"/>
      <w:bookmarkEnd w:id="753"/>
      <w:bookmarkEnd w:id="754"/>
      <w:bookmarkEnd w:id="755"/>
      <w:bookmarkEnd w:id="756"/>
      <w:bookmarkEnd w:id="757"/>
      <w:bookmarkEnd w:id="758"/>
      <w:bookmarkEnd w:id="759"/>
    </w:p>
    <w:p w14:paraId="49D3A763">
      <w:pPr>
        <w:pStyle w:val="4"/>
        <w:bidi w:val="0"/>
        <w:rPr>
          <w:rFonts w:hint="eastAsia"/>
          <w:color w:val="auto"/>
          <w:lang w:val="en-US" w:eastAsia="zh-CN"/>
        </w:rPr>
      </w:pPr>
      <w:bookmarkStart w:id="760" w:name="_Toc607589022"/>
      <w:bookmarkStart w:id="761" w:name="_Toc1745134679"/>
      <w:bookmarkStart w:id="762" w:name="_Toc1318245106"/>
      <w:bookmarkStart w:id="763" w:name="_Toc123628574"/>
      <w:bookmarkStart w:id="764" w:name="_Toc798588402"/>
      <w:bookmarkStart w:id="765" w:name="_Toc1428149442"/>
      <w:bookmarkStart w:id="766" w:name="_Toc1745627059"/>
      <w:bookmarkStart w:id="767" w:name="_Toc2077007219"/>
      <w:bookmarkStart w:id="768" w:name="_Toc1740313140"/>
      <w:bookmarkStart w:id="769" w:name="_Toc1372121465"/>
      <w:r>
        <w:rPr>
          <w:rFonts w:hint="eastAsia"/>
          <w:color w:val="auto"/>
          <w:lang w:val="en-US" w:eastAsia="zh-CN"/>
        </w:rPr>
        <w:t>一、</w:t>
      </w:r>
      <w:r>
        <w:rPr>
          <w:rFonts w:hint="eastAsia"/>
          <w:color w:val="auto"/>
        </w:rPr>
        <w:t>专项政策文件的制定与边界划定</w:t>
      </w:r>
      <w:bookmarkEnd w:id="760"/>
      <w:bookmarkEnd w:id="761"/>
      <w:bookmarkEnd w:id="762"/>
      <w:bookmarkEnd w:id="763"/>
      <w:bookmarkEnd w:id="764"/>
      <w:bookmarkEnd w:id="765"/>
      <w:bookmarkEnd w:id="766"/>
      <w:bookmarkEnd w:id="767"/>
      <w:bookmarkEnd w:id="768"/>
      <w:bookmarkEnd w:id="769"/>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color w:val="auto"/>
          <w:lang w:val="en-US" w:eastAsia="zh-CN"/>
        </w:rPr>
      </w:pPr>
      <w:bookmarkStart w:id="770" w:name="_Toc913647748"/>
      <w:bookmarkStart w:id="771" w:name="_Toc146899227"/>
      <w:bookmarkStart w:id="772" w:name="_Toc156710443"/>
      <w:bookmarkStart w:id="773" w:name="_Toc1979878946"/>
      <w:bookmarkStart w:id="774" w:name="_Toc715671840"/>
      <w:bookmarkStart w:id="775" w:name="_Toc482949175"/>
      <w:bookmarkStart w:id="776" w:name="_Toc463951269"/>
      <w:bookmarkStart w:id="777" w:name="_Toc102478664"/>
      <w:bookmarkStart w:id="778" w:name="_Toc1208756569"/>
      <w:bookmarkStart w:id="779" w:name="_Toc1566060769"/>
      <w:r>
        <w:rPr>
          <w:rFonts w:hint="eastAsia"/>
          <w:color w:val="auto"/>
          <w:lang w:val="en-US" w:eastAsia="zh-CN"/>
        </w:rPr>
        <w:t>二、</w:t>
      </w:r>
      <w:r>
        <w:rPr>
          <w:rFonts w:hint="eastAsia"/>
          <w:color w:val="auto"/>
        </w:rPr>
        <w:t>全流程监督评估机制的建立</w:t>
      </w:r>
      <w:bookmarkEnd w:id="770"/>
      <w:bookmarkEnd w:id="771"/>
      <w:bookmarkEnd w:id="772"/>
      <w:bookmarkEnd w:id="773"/>
      <w:bookmarkEnd w:id="774"/>
      <w:bookmarkEnd w:id="775"/>
      <w:bookmarkEnd w:id="776"/>
      <w:bookmarkEnd w:id="777"/>
      <w:bookmarkEnd w:id="778"/>
      <w:bookmarkEnd w:id="779"/>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评估报告应向社会公开关键结论，接受社会监督。对于评估中发现的问题，如打着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的闭环管理，防止融合工作跑偏变质。</w:t>
      </w:r>
    </w:p>
    <w:p w14:paraId="46105E8E">
      <w:pPr>
        <w:rPr>
          <w:color w:val="auto"/>
        </w:rPr>
      </w:pPr>
      <w:r>
        <w:rPr>
          <w:color w:val="auto"/>
        </w:rPr>
        <w:t>为增强融合实践效果的可测量性，本文建议构建以下量化评估指标体系：</w:t>
      </w:r>
    </w:p>
    <w:p w14:paraId="0610778B">
      <w:pPr>
        <w:pStyle w:val="5"/>
        <w:keepNext/>
        <w:keepLines/>
        <w:pageBreakBefore w:val="0"/>
        <w:widowControl w:val="0"/>
        <w:numPr>
          <w:ilvl w:val="0"/>
          <w:numId w:val="1"/>
        </w:numPr>
        <w:kinsoku/>
        <w:wordWrap/>
        <w:overflowPunct/>
        <w:topLinePunct w:val="0"/>
        <w:autoSpaceDE/>
        <w:autoSpaceDN/>
        <w:bidi w:val="0"/>
        <w:adjustRightInd w:val="0"/>
        <w:snapToGrid w:val="0"/>
        <w:textAlignment w:val="auto"/>
        <w:rPr>
          <w:b/>
          <w:bCs w:val="0"/>
          <w:color w:val="auto"/>
        </w:rPr>
      </w:pPr>
      <w:bookmarkStart w:id="780" w:name="_Toc1476597786"/>
      <w:bookmarkStart w:id="781" w:name="_Toc1223766951"/>
      <w:r>
        <w:rPr>
          <w:b/>
          <w:bCs w:val="0"/>
          <w:color w:val="auto"/>
        </w:rPr>
        <w:t>信众价值认同度评估。</w:t>
      </w:r>
      <w:bookmarkEnd w:id="780"/>
      <w:bookmarkEnd w:id="781"/>
    </w:p>
    <w:p w14:paraId="0EA58985">
      <w:pPr>
        <w:numPr>
          <w:ilvl w:val="0"/>
          <w:numId w:val="0"/>
        </w:numPr>
        <w:ind w:firstLine="480" w:firstLineChars="200"/>
        <w:rPr>
          <w:color w:val="auto"/>
        </w:rPr>
      </w:pPr>
      <w:r>
        <w:rPr>
          <w:color w:val="auto"/>
        </w:rPr>
        <w:t>采用问卷调查法，围绕</w:t>
      </w:r>
      <w:r>
        <w:rPr>
          <w:rFonts w:hint="eastAsia"/>
          <w:color w:val="auto"/>
          <w:lang w:eastAsia="zh-CN"/>
        </w:rPr>
        <w:t>“</w:t>
      </w:r>
      <w:r>
        <w:rPr>
          <w:color w:val="auto"/>
        </w:rPr>
        <w:t>五个认同</w:t>
      </w:r>
      <w:r>
        <w:rPr>
          <w:rFonts w:hint="eastAsia"/>
          <w:color w:val="auto"/>
          <w:lang w:eastAsia="zh-CN"/>
        </w:rPr>
        <w:t>”</w:t>
      </w:r>
      <w:r>
        <w:rPr>
          <w:color w:val="auto"/>
        </w:rPr>
        <w:t>设计20个题项（Likert五级量表），每年度对参与融合活动的信众进行前后测对比。核心指标包括：对社会主义核心价值观公民层面内容的知晓率（目标≥85%）、对</w:t>
      </w:r>
      <w:r>
        <w:rPr>
          <w:rFonts w:hint="eastAsia"/>
          <w:color w:val="auto"/>
          <w:lang w:eastAsia="zh-CN"/>
        </w:rPr>
        <w:t>“</w:t>
      </w:r>
      <w:r>
        <w:rPr>
          <w:color w:val="auto"/>
        </w:rPr>
        <w:t>五个认同</w:t>
      </w:r>
      <w:r>
        <w:rPr>
          <w:rFonts w:hint="eastAsia"/>
          <w:color w:val="auto"/>
          <w:lang w:eastAsia="zh-CN"/>
        </w:rPr>
        <w:t>”</w:t>
      </w:r>
      <w:r>
        <w:rPr>
          <w:color w:val="auto"/>
        </w:rPr>
        <w:t>内涵的理解度评分（目标均值≥4.0/5.0）、参与社区志愿服务的意愿提升幅度（目标提升≥15%）。</w:t>
      </w:r>
    </w:p>
    <w:p w14:paraId="072815B8">
      <w:pPr>
        <w:pStyle w:val="5"/>
        <w:numPr>
          <w:ilvl w:val="0"/>
          <w:numId w:val="1"/>
        </w:numPr>
        <w:bidi w:val="0"/>
        <w:rPr>
          <w:b/>
          <w:bCs w:val="0"/>
          <w:color w:val="auto"/>
        </w:rPr>
      </w:pPr>
      <w:bookmarkStart w:id="782" w:name="_Toc857964570"/>
      <w:bookmarkStart w:id="783" w:name="_Toc1400258138"/>
      <w:r>
        <w:rPr>
          <w:b/>
          <w:bCs w:val="0"/>
          <w:color w:val="auto"/>
        </w:rPr>
        <w:t>公益活动社会影响评估。</w:t>
      </w:r>
      <w:bookmarkEnd w:id="782"/>
      <w:bookmarkEnd w:id="783"/>
    </w:p>
    <w:p w14:paraId="7AF96804">
      <w:pPr>
        <w:numPr>
          <w:ilvl w:val="0"/>
          <w:numId w:val="0"/>
        </w:numPr>
        <w:ind w:firstLine="480" w:firstLineChars="200"/>
        <w:rPr>
          <w:color w:val="auto"/>
        </w:rPr>
      </w:pPr>
      <w:r>
        <w:rPr>
          <w:color w:val="auto"/>
        </w:rPr>
        <w:t>采用第三方评估方式，从三个维度进行量化考核：覆盖群众数量（年度目标≥500人次）、受助者满意度评分（目标均值≥4.2/5.0）、社区非信众接受度调查（目标正面评价占比≥70%）。</w:t>
      </w:r>
    </w:p>
    <w:p w14:paraId="59F94603">
      <w:pPr>
        <w:pStyle w:val="5"/>
        <w:numPr>
          <w:ilvl w:val="0"/>
          <w:numId w:val="1"/>
        </w:numPr>
        <w:bidi w:val="0"/>
        <w:rPr>
          <w:b/>
          <w:bCs w:val="0"/>
          <w:color w:val="auto"/>
        </w:rPr>
      </w:pPr>
      <w:bookmarkStart w:id="784" w:name="_Toc1605322032"/>
      <w:bookmarkStart w:id="785" w:name="_Toc2012721540"/>
      <w:r>
        <w:rPr>
          <w:b/>
          <w:bCs w:val="0"/>
          <w:color w:val="auto"/>
        </w:rPr>
        <w:t>教义阐释质量评估。</w:t>
      </w:r>
      <w:bookmarkEnd w:id="784"/>
      <w:bookmarkEnd w:id="785"/>
    </w:p>
    <w:p w14:paraId="1C16535C">
      <w:pPr>
        <w:numPr>
          <w:ilvl w:val="0"/>
          <w:numId w:val="0"/>
        </w:numPr>
        <w:ind w:firstLine="480" w:firstLineChars="200"/>
        <w:rPr>
          <w:color w:val="auto"/>
        </w:rPr>
      </w:pPr>
      <w:r>
        <w:rPr>
          <w:color w:val="auto"/>
        </w:rPr>
        <w:t>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color w:val="auto"/>
          <w:lang w:val="en-US" w:eastAsia="zh-CN"/>
        </w:rPr>
      </w:pPr>
      <w:bookmarkStart w:id="786" w:name="_Toc1017464279"/>
      <w:bookmarkStart w:id="787" w:name="_Toc1810334563"/>
      <w:bookmarkStart w:id="788" w:name="_Toc1169624586"/>
      <w:bookmarkStart w:id="789" w:name="_Toc115855826"/>
      <w:bookmarkStart w:id="790" w:name="_Toc1586082212"/>
      <w:bookmarkStart w:id="791" w:name="_Toc376354563"/>
      <w:bookmarkStart w:id="792" w:name="_Toc566335157"/>
      <w:bookmarkStart w:id="793" w:name="_Toc240708033"/>
      <w:bookmarkStart w:id="794" w:name="_Toc77020954"/>
      <w:bookmarkStart w:id="795" w:name="_Toc648515236"/>
      <w:r>
        <w:rPr>
          <w:rFonts w:hint="eastAsia"/>
          <w:color w:val="auto"/>
          <w:lang w:val="en-US" w:eastAsia="zh-CN"/>
        </w:rPr>
        <w:t>三、</w:t>
      </w:r>
      <w:r>
        <w:rPr>
          <w:rFonts w:hint="eastAsia"/>
          <w:color w:val="auto"/>
        </w:rPr>
        <w:t>基层宗教工作队伍的分层培训体系</w:t>
      </w:r>
      <w:bookmarkEnd w:id="786"/>
      <w:bookmarkEnd w:id="787"/>
      <w:bookmarkEnd w:id="788"/>
      <w:bookmarkEnd w:id="789"/>
      <w:bookmarkEnd w:id="790"/>
      <w:bookmarkEnd w:id="791"/>
      <w:bookmarkEnd w:id="792"/>
      <w:bookmarkEnd w:id="793"/>
      <w:bookmarkEnd w:id="794"/>
      <w:bookmarkEnd w:id="79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联系好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9"/>
      </w:r>
      <w:r>
        <w:rPr>
          <w:rFonts w:hint="eastAsia" w:ascii="宋体" w:hAnsi="宋体" w:eastAsia="宋体" w:cs="宋体"/>
          <w:color w:val="auto"/>
          <w:sz w:val="24"/>
          <w:szCs w:val="24"/>
        </w:rPr>
        <w:t xml:space="preserve"> 同时，也要培养一支精通马克思主义宗教观、熟悉宗教工作、善于做信教群众工作的党政干部队伍。</w:t>
      </w:r>
      <w:r>
        <w:rPr>
          <w:rStyle w:val="29"/>
          <w:rFonts w:hint="eastAsia" w:ascii="宋体" w:hAnsi="宋体" w:eastAsia="宋体" w:cs="宋体"/>
          <w:color w:val="auto"/>
          <w:sz w:val="24"/>
          <w:szCs w:val="24"/>
        </w:rPr>
        <w:footnoteReference w:id="90"/>
      </w:r>
      <w:r>
        <w:rPr>
          <w:rFonts w:hint="eastAsia" w:ascii="宋体" w:hAnsi="宋体" w:eastAsia="宋体" w:cs="宋体"/>
          <w:color w:val="auto"/>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144A0FBF">
      <w:pPr>
        <w:pStyle w:val="4"/>
        <w:bidi w:val="0"/>
        <w:rPr>
          <w:color w:val="auto"/>
        </w:rPr>
      </w:pPr>
      <w:bookmarkStart w:id="796" w:name="_Toc744689645"/>
      <w:bookmarkStart w:id="797" w:name="_Toc1568683400"/>
      <w:bookmarkStart w:id="798" w:name="_Toc1116062927"/>
      <w:r>
        <w:rPr>
          <w:color w:val="auto"/>
        </w:rPr>
        <w:t>四、</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价值的制度性融入路径</w:t>
      </w:r>
      <w:bookmarkEnd w:id="796"/>
      <w:bookmarkEnd w:id="797"/>
      <w:bookmarkEnd w:id="798"/>
    </w:p>
    <w:p w14:paraId="3AE34192">
      <w:pPr>
        <w:rPr>
          <w:color w:val="auto"/>
        </w:rPr>
      </w:pPr>
      <w:r>
        <w:rPr>
          <w:color w:val="auto"/>
        </w:rPr>
        <w:t>针对前文梳理的</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价值在融合实践中被边缘化的问题，本文提出以下制度性融入路径：</w:t>
      </w:r>
    </w:p>
    <w:p w14:paraId="756B1FEA">
      <w:pPr>
        <w:pStyle w:val="5"/>
        <w:numPr>
          <w:ilvl w:val="0"/>
          <w:numId w:val="2"/>
        </w:numPr>
        <w:bidi w:val="0"/>
        <w:rPr>
          <w:color w:val="auto"/>
        </w:rPr>
      </w:pPr>
      <w:bookmarkStart w:id="799" w:name="_Toc464168799"/>
      <w:bookmarkStart w:id="800" w:name="_Toc1547441191"/>
      <w:r>
        <w:rPr>
          <w:color w:val="auto"/>
        </w:rPr>
        <w:t>推动基督教团体参与社会公平正义建设。</w:t>
      </w:r>
      <w:bookmarkEnd w:id="799"/>
      <w:bookmarkEnd w:id="800"/>
    </w:p>
    <w:p w14:paraId="4BF9EDBA">
      <w:pPr>
        <w:numPr>
          <w:ilvl w:val="0"/>
          <w:numId w:val="0"/>
        </w:numPr>
        <w:ind w:firstLine="480" w:firstLineChars="200"/>
        <w:rPr>
          <w:color w:val="auto"/>
        </w:rPr>
      </w:pPr>
      <w:r>
        <w:rPr>
          <w:color w:val="auto"/>
        </w:rPr>
        <w:t>引导基督教界从单纯的</w:t>
      </w:r>
      <w:r>
        <w:rPr>
          <w:rFonts w:hint="eastAsia"/>
          <w:color w:val="auto"/>
          <w:lang w:eastAsia="zh-CN"/>
        </w:rPr>
        <w:t>“</w:t>
      </w:r>
      <w:r>
        <w:rPr>
          <w:color w:val="auto"/>
        </w:rPr>
        <w:t>慈善救济</w:t>
      </w:r>
      <w:r>
        <w:rPr>
          <w:rFonts w:hint="eastAsia"/>
          <w:color w:val="auto"/>
          <w:lang w:eastAsia="zh-CN"/>
        </w:rPr>
        <w:t>”</w:t>
      </w:r>
      <w:r>
        <w:rPr>
          <w:color w:val="auto"/>
        </w:rPr>
        <w:t>模式转向</w:t>
      </w:r>
      <w:r>
        <w:rPr>
          <w:rFonts w:hint="eastAsia"/>
          <w:color w:val="auto"/>
          <w:lang w:eastAsia="zh-CN"/>
        </w:rPr>
        <w:t>“</w:t>
      </w:r>
      <w:r>
        <w:rPr>
          <w:color w:val="auto"/>
        </w:rPr>
        <w:t>制度关怀</w:t>
      </w:r>
      <w:r>
        <w:rPr>
          <w:rFonts w:hint="eastAsia"/>
          <w:color w:val="auto"/>
          <w:lang w:eastAsia="zh-CN"/>
        </w:rPr>
        <w:t>”</w:t>
      </w:r>
      <w:r>
        <w:rPr>
          <w:color w:val="auto"/>
        </w:rPr>
        <w:t>模式，鼓励教会组织信众参与法律援助、权益维护、反歧视倡导等结构性公益行动。例如，可联合司法行政机关设立</w:t>
      </w:r>
      <w:r>
        <w:rPr>
          <w:rFonts w:hint="eastAsia"/>
          <w:color w:val="auto"/>
          <w:lang w:eastAsia="zh-CN"/>
        </w:rPr>
        <w:t>“</w:t>
      </w:r>
      <w:r>
        <w:rPr>
          <w:color w:val="auto"/>
        </w:rPr>
        <w:t>基督教法律援助志愿服务站</w:t>
      </w:r>
      <w:r>
        <w:rPr>
          <w:rFonts w:hint="eastAsia"/>
          <w:color w:val="auto"/>
          <w:lang w:eastAsia="zh-CN"/>
        </w:rPr>
        <w:t>”</w:t>
      </w:r>
      <w:r>
        <w:rPr>
          <w:color w:val="auto"/>
        </w:rPr>
        <w:t>，为弱势群体提供免费法律咨询和权益保障服务，体现基督教</w:t>
      </w:r>
      <w:r>
        <w:rPr>
          <w:rFonts w:hint="eastAsia"/>
          <w:color w:val="auto"/>
          <w:lang w:eastAsia="zh-CN"/>
        </w:rPr>
        <w:t>“</w:t>
      </w:r>
      <w:r>
        <w:rPr>
          <w:color w:val="auto"/>
        </w:rPr>
        <w:t>行公义</w:t>
      </w:r>
      <w:r>
        <w:rPr>
          <w:rFonts w:hint="eastAsia"/>
          <w:color w:val="auto"/>
          <w:lang w:eastAsia="zh-CN"/>
        </w:rPr>
        <w:t>”</w:t>
      </w:r>
      <w:r>
        <w:rPr>
          <w:color w:val="auto"/>
        </w:rPr>
        <w:t>传统与社会主义核心价值观</w:t>
      </w:r>
      <w:r>
        <w:rPr>
          <w:rFonts w:hint="eastAsia"/>
          <w:color w:val="auto"/>
          <w:lang w:eastAsia="zh-CN"/>
        </w:rPr>
        <w:t>“</w:t>
      </w:r>
      <w:r>
        <w:rPr>
          <w:color w:val="auto"/>
        </w:rPr>
        <w:t>公正</w:t>
      </w:r>
      <w:r>
        <w:rPr>
          <w:rFonts w:hint="eastAsia"/>
          <w:color w:val="auto"/>
          <w:lang w:eastAsia="zh-CN"/>
        </w:rPr>
        <w:t>”</w:t>
      </w:r>
      <w:r>
        <w:rPr>
          <w:color w:val="auto"/>
        </w:rPr>
        <w:t>理念的制度性对接。</w:t>
      </w:r>
    </w:p>
    <w:p w14:paraId="08315985">
      <w:pPr>
        <w:pStyle w:val="5"/>
        <w:numPr>
          <w:ilvl w:val="0"/>
          <w:numId w:val="2"/>
        </w:numPr>
        <w:bidi w:val="0"/>
        <w:rPr>
          <w:color w:val="auto"/>
        </w:rPr>
      </w:pPr>
      <w:bookmarkStart w:id="801" w:name="_Toc1624398889"/>
      <w:bookmarkStart w:id="802" w:name="_Toc1817131967"/>
      <w:r>
        <w:rPr>
          <w:color w:val="auto"/>
        </w:rPr>
        <w:t>建立公益项目的机会平等评估机制。</w:t>
      </w:r>
      <w:bookmarkEnd w:id="801"/>
      <w:bookmarkEnd w:id="802"/>
    </w:p>
    <w:p w14:paraId="0FDD201E">
      <w:pPr>
        <w:numPr>
          <w:ilvl w:val="0"/>
          <w:numId w:val="0"/>
        </w:numPr>
        <w:ind w:firstLine="480" w:firstLineChars="200"/>
        <w:rPr>
          <w:color w:val="auto"/>
        </w:rPr>
      </w:pPr>
      <w:r>
        <w:rPr>
          <w:color w:val="auto"/>
        </w:rPr>
        <w:t>在公益项目时，增加</w:t>
      </w:r>
      <w:r>
        <w:rPr>
          <w:rFonts w:hint="eastAsia"/>
          <w:color w:val="auto"/>
          <w:lang w:eastAsia="zh-CN"/>
        </w:rPr>
        <w:t>“</w:t>
      </w:r>
      <w:r>
        <w:rPr>
          <w:color w:val="auto"/>
        </w:rPr>
        <w:t>机会平等</w:t>
      </w:r>
      <w:r>
        <w:rPr>
          <w:rFonts w:hint="eastAsia"/>
          <w:color w:val="auto"/>
          <w:lang w:eastAsia="zh-CN"/>
        </w:rPr>
        <w:t>”</w:t>
      </w:r>
      <w:r>
        <w:rPr>
          <w:color w:val="auto"/>
        </w:rPr>
        <w:t>维度的评估指标：受助对象的选择是否排除了身份、地域、信仰等歧视性条件；项目执行是否保障了受助者的知情权和参与权；项目成果是否促进了受助者的能力建设而非单纯的物质救济。通过这一机制，将基督教</w:t>
      </w:r>
      <w:r>
        <w:rPr>
          <w:rFonts w:hint="eastAsia"/>
          <w:color w:val="auto"/>
          <w:lang w:eastAsia="zh-CN"/>
        </w:rPr>
        <w:t>“</w:t>
      </w:r>
      <w:r>
        <w:rPr>
          <w:color w:val="auto"/>
        </w:rPr>
        <w:t>人人平等</w:t>
      </w:r>
      <w:r>
        <w:rPr>
          <w:rFonts w:hint="eastAsia"/>
          <w:color w:val="auto"/>
          <w:lang w:eastAsia="zh-CN"/>
        </w:rPr>
        <w:t>”</w:t>
      </w:r>
      <w:r>
        <w:rPr>
          <w:color w:val="auto"/>
        </w:rPr>
        <w:t>的神学人类学转化为可操作的制度安排。</w:t>
      </w:r>
    </w:p>
    <w:p w14:paraId="1393B5AE">
      <w:pPr>
        <w:pStyle w:val="5"/>
        <w:numPr>
          <w:ilvl w:val="0"/>
          <w:numId w:val="2"/>
        </w:numPr>
        <w:bidi w:val="0"/>
        <w:rPr>
          <w:color w:val="auto"/>
        </w:rPr>
      </w:pPr>
      <w:bookmarkStart w:id="803" w:name="_Toc312523112"/>
      <w:bookmarkStart w:id="804" w:name="_Toc1172025382"/>
      <w:r>
        <w:rPr>
          <w:color w:val="auto"/>
        </w:rPr>
        <w:t>强化基层宗教工作队伍的</w:t>
      </w:r>
      <w:r>
        <w:rPr>
          <w:rFonts w:hint="eastAsia"/>
          <w:color w:val="auto"/>
          <w:lang w:eastAsia="zh-CN"/>
        </w:rPr>
        <w:t>“</w:t>
      </w:r>
      <w:r>
        <w:rPr>
          <w:color w:val="auto"/>
        </w:rPr>
        <w:t>公正</w:t>
      </w:r>
      <w:r>
        <w:rPr>
          <w:rFonts w:hint="eastAsia"/>
          <w:color w:val="auto"/>
          <w:lang w:eastAsia="zh-CN"/>
        </w:rPr>
        <w:t>”</w:t>
      </w:r>
      <w:r>
        <w:rPr>
          <w:color w:val="auto"/>
        </w:rPr>
        <w:t>意识培训。</w:t>
      </w:r>
      <w:bookmarkEnd w:id="803"/>
      <w:bookmarkEnd w:id="804"/>
    </w:p>
    <w:p w14:paraId="1F88176F">
      <w:pPr>
        <w:numPr>
          <w:ilvl w:val="0"/>
          <w:numId w:val="0"/>
        </w:numPr>
        <w:ind w:firstLine="480" w:firstLineChars="200"/>
        <w:rPr>
          <w:color w:val="auto"/>
        </w:rPr>
      </w:pPr>
      <w:r>
        <w:rPr>
          <w:color w:val="auto"/>
        </w:rPr>
        <w:t>在前文所述分层培训体系中，增加</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价值专题模块，帮助基层宗教工作干部理解：基督教仁爱实践不仅限于个人道德层面的</w:t>
      </w:r>
      <w:r>
        <w:rPr>
          <w:rFonts w:hint="eastAsia"/>
          <w:color w:val="auto"/>
          <w:lang w:eastAsia="zh-CN"/>
        </w:rPr>
        <w:t>“</w:t>
      </w:r>
      <w:r>
        <w:rPr>
          <w:color w:val="auto"/>
        </w:rPr>
        <w:t>友善</w:t>
      </w:r>
      <w:r>
        <w:rPr>
          <w:rFonts w:hint="eastAsia"/>
          <w:color w:val="auto"/>
          <w:lang w:eastAsia="zh-CN"/>
        </w:rPr>
        <w:t>”</w:t>
      </w:r>
      <w:r>
        <w:rPr>
          <w:color w:val="auto"/>
        </w:rPr>
        <w:t>，更应上升到社会制度层面的</w:t>
      </w:r>
      <w:r>
        <w:rPr>
          <w:rFonts w:hint="eastAsia"/>
          <w:color w:val="auto"/>
          <w:lang w:eastAsia="zh-CN"/>
        </w:rPr>
        <w:t>“</w:t>
      </w:r>
      <w:r>
        <w:rPr>
          <w:color w:val="auto"/>
        </w:rPr>
        <w:t>公正</w:t>
      </w:r>
      <w:r>
        <w:rPr>
          <w:rFonts w:hint="eastAsia"/>
          <w:color w:val="auto"/>
          <w:lang w:eastAsia="zh-CN"/>
        </w:rPr>
        <w:t>”</w:t>
      </w:r>
      <w:r>
        <w:rPr>
          <w:color w:val="auto"/>
        </w:rPr>
        <w:t>；宗教中国化不仅是文化适应，更是基督教在社会主义制度框架内发挥促进社会公平正义的积极作用。</w:t>
      </w:r>
    </w:p>
    <w:p w14:paraId="30A8E5F8">
      <w:pPr>
        <w:pStyle w:val="2"/>
        <w:bidi w:val="0"/>
        <w:rPr>
          <w:rFonts w:hint="eastAsia"/>
          <w:color w:val="auto"/>
          <w:lang w:val="en-US" w:eastAsia="zh-CN"/>
        </w:rPr>
      </w:pPr>
      <w:bookmarkStart w:id="805" w:name="_Toc1706018384"/>
      <w:bookmarkStart w:id="806" w:name="_Toc1962595911"/>
      <w:bookmarkStart w:id="807" w:name="_Toc205169581"/>
      <w:bookmarkStart w:id="808" w:name="_Toc747460195"/>
      <w:bookmarkStart w:id="809" w:name="_Toc569226873"/>
      <w:bookmarkStart w:id="810" w:name="_Toc109856092"/>
      <w:bookmarkStart w:id="811" w:name="_Toc1978426469"/>
      <w:bookmarkStart w:id="812" w:name="_Toc1051799926"/>
      <w:bookmarkStart w:id="813" w:name="_Toc1868203330"/>
      <w:bookmarkStart w:id="814" w:name="_Toc1510584990"/>
      <w:r>
        <w:rPr>
          <w:rFonts w:hint="eastAsia"/>
          <w:color w:val="auto"/>
          <w:lang w:val="en-US" w:eastAsia="zh-CN"/>
        </w:rPr>
        <w:t>六、</w:t>
      </w:r>
      <w:r>
        <w:rPr>
          <w:rFonts w:hint="eastAsia"/>
          <w:color w:val="auto"/>
        </w:rPr>
        <w:t>结论与展望</w:t>
      </w:r>
      <w:bookmarkEnd w:id="805"/>
      <w:bookmarkEnd w:id="806"/>
      <w:bookmarkEnd w:id="807"/>
      <w:bookmarkEnd w:id="808"/>
      <w:bookmarkEnd w:id="809"/>
      <w:bookmarkEnd w:id="810"/>
      <w:bookmarkEnd w:id="811"/>
      <w:bookmarkEnd w:id="812"/>
      <w:bookmarkEnd w:id="813"/>
      <w:bookmarkEnd w:id="814"/>
    </w:p>
    <w:p w14:paraId="4167AA10">
      <w:pPr>
        <w:pStyle w:val="3"/>
        <w:bidi w:val="0"/>
        <w:rPr>
          <w:rFonts w:hint="eastAsia"/>
          <w:color w:val="auto"/>
          <w:lang w:val="en-US" w:eastAsia="zh-CN"/>
        </w:rPr>
      </w:pPr>
      <w:bookmarkStart w:id="815" w:name="_Toc534964523"/>
      <w:bookmarkStart w:id="816" w:name="_Toc658257"/>
      <w:bookmarkStart w:id="817" w:name="_Toc2103890773"/>
      <w:bookmarkStart w:id="818" w:name="_Toc1663457825"/>
      <w:bookmarkStart w:id="819" w:name="_Toc1924357982"/>
      <w:bookmarkStart w:id="820" w:name="_Toc1573894432"/>
      <w:bookmarkStart w:id="821" w:name="_Toc1931646062"/>
      <w:bookmarkStart w:id="822" w:name="_Toc1996808791"/>
      <w:bookmarkStart w:id="823" w:name="_Toc1662885471"/>
      <w:bookmarkStart w:id="824" w:name="_Toc850252096"/>
      <w:r>
        <w:rPr>
          <w:rFonts w:hint="eastAsia"/>
          <w:color w:val="auto"/>
          <w:lang w:val="en-US" w:eastAsia="zh-CN"/>
        </w:rPr>
        <w:t xml:space="preserve">第一节 </w:t>
      </w:r>
      <w:r>
        <w:rPr>
          <w:rFonts w:hint="eastAsia"/>
          <w:color w:val="auto"/>
        </w:rPr>
        <w:t>研究结论</w:t>
      </w:r>
      <w:bookmarkEnd w:id="815"/>
      <w:bookmarkEnd w:id="816"/>
      <w:bookmarkEnd w:id="817"/>
      <w:bookmarkEnd w:id="818"/>
      <w:bookmarkEnd w:id="819"/>
      <w:bookmarkEnd w:id="820"/>
      <w:bookmarkEnd w:id="821"/>
      <w:bookmarkEnd w:id="822"/>
      <w:bookmarkEnd w:id="823"/>
      <w:bookmarkEnd w:id="824"/>
    </w:p>
    <w:p w14:paraId="2A703418">
      <w:pPr>
        <w:pStyle w:val="4"/>
        <w:bidi w:val="0"/>
        <w:rPr>
          <w:rFonts w:hint="eastAsia"/>
          <w:color w:val="auto"/>
          <w:lang w:val="en-US" w:eastAsia="zh-CN"/>
        </w:rPr>
      </w:pPr>
      <w:bookmarkStart w:id="825" w:name="_Toc1782191719"/>
      <w:bookmarkStart w:id="826" w:name="_Toc1580879654"/>
      <w:bookmarkStart w:id="827" w:name="_Toc1887638525"/>
      <w:bookmarkStart w:id="828" w:name="_Toc1638398668"/>
      <w:bookmarkStart w:id="829" w:name="_Toc1773973956"/>
      <w:bookmarkStart w:id="830" w:name="_Toc1793548129"/>
      <w:bookmarkStart w:id="831" w:name="_Toc763929039"/>
      <w:bookmarkStart w:id="832" w:name="_Toc1665072335"/>
      <w:bookmarkStart w:id="833" w:name="_Toc325907164"/>
      <w:bookmarkStart w:id="834" w:name="_Toc830790334"/>
      <w:r>
        <w:rPr>
          <w:rFonts w:hint="eastAsia"/>
          <w:color w:val="auto"/>
          <w:lang w:val="en-US" w:eastAsia="zh-CN"/>
        </w:rPr>
        <w:t>一、</w:t>
      </w:r>
      <w:r>
        <w:rPr>
          <w:rFonts w:hint="eastAsia"/>
          <w:color w:val="auto"/>
        </w:rPr>
        <w:t>融合的核心论断梳理</w:t>
      </w:r>
      <w:bookmarkEnd w:id="825"/>
      <w:bookmarkEnd w:id="826"/>
      <w:bookmarkEnd w:id="827"/>
      <w:bookmarkEnd w:id="828"/>
      <w:bookmarkEnd w:id="829"/>
      <w:bookmarkEnd w:id="830"/>
      <w:bookmarkEnd w:id="831"/>
      <w:bookmarkEnd w:id="832"/>
      <w:bookmarkEnd w:id="833"/>
      <w:bookmarkEnd w:id="834"/>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本文通过系统的文献梳理、历史比较与案例分析，以中国特色社会主义宗教理论中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坚持宗教中国化方向、引导宗教与社会主义社会相适应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的核心论断为理论基础，以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的核心逻辑、公民层面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最后在文化内核层面，基督教中国化进程中已经主动吸纳了儒家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color w:val="auto"/>
          <w:lang w:val="en-US" w:eastAsia="zh-CN"/>
        </w:rPr>
      </w:pPr>
      <w:bookmarkStart w:id="835" w:name="_Toc2082934811"/>
      <w:bookmarkStart w:id="836" w:name="_Toc1176664094"/>
      <w:bookmarkStart w:id="837" w:name="_Toc1438405498"/>
      <w:bookmarkStart w:id="838" w:name="_Toc1698116707"/>
      <w:bookmarkStart w:id="839" w:name="_Toc194312877"/>
      <w:bookmarkStart w:id="840" w:name="_Toc764772544"/>
      <w:bookmarkStart w:id="841" w:name="_Toc1664807191"/>
      <w:bookmarkStart w:id="842" w:name="_Toc1531091242"/>
      <w:bookmarkStart w:id="843" w:name="_Toc1011330288"/>
      <w:bookmarkStart w:id="844" w:name="_Toc154470744"/>
      <w:r>
        <w:rPr>
          <w:rFonts w:hint="eastAsia"/>
          <w:color w:val="auto"/>
          <w:lang w:val="en-US" w:eastAsia="zh-CN"/>
        </w:rPr>
        <w:t>二、</w:t>
      </w:r>
      <w:r>
        <w:rPr>
          <w:rFonts w:hint="eastAsia"/>
          <w:color w:val="auto"/>
        </w:rPr>
        <w:t>融合路径的核心创新点</w:t>
      </w:r>
      <w:bookmarkEnd w:id="835"/>
      <w:bookmarkEnd w:id="836"/>
      <w:bookmarkEnd w:id="837"/>
      <w:bookmarkEnd w:id="838"/>
      <w:bookmarkEnd w:id="839"/>
      <w:bookmarkEnd w:id="840"/>
      <w:bookmarkEnd w:id="841"/>
      <w:bookmarkEnd w:id="842"/>
      <w:bookmarkEnd w:id="843"/>
      <w:bookmarkEnd w:id="844"/>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在教义阐释维度，本文创新性地提出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在教育引导方面，本文注重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的分层分类方法，针对不同年龄、文化程度的信众设计差异化的教育内容。对中老年信众，通过身边的道德模范案例讲解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公益实践与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社区融入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制度保障方面，本文强调构建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color w:val="auto"/>
          <w:lang w:val="en-US" w:eastAsia="zh-CN"/>
        </w:rPr>
      </w:pPr>
      <w:bookmarkStart w:id="845" w:name="_Toc1641380299"/>
      <w:bookmarkStart w:id="846" w:name="_Toc1057790607"/>
      <w:bookmarkStart w:id="847" w:name="_Toc850022374"/>
      <w:bookmarkStart w:id="848" w:name="_Toc1754438730"/>
      <w:bookmarkStart w:id="849" w:name="_Toc16522635"/>
      <w:bookmarkStart w:id="850" w:name="_Toc1901445940"/>
      <w:bookmarkStart w:id="851" w:name="_Toc189825919"/>
      <w:bookmarkStart w:id="852" w:name="_Toc842519713"/>
      <w:bookmarkStart w:id="853" w:name="_Toc95084411"/>
      <w:bookmarkStart w:id="854" w:name="_Toc2029548832"/>
      <w:r>
        <w:rPr>
          <w:rFonts w:hint="eastAsia"/>
          <w:color w:val="auto"/>
          <w:lang w:val="en-US" w:eastAsia="zh-CN"/>
        </w:rPr>
        <w:t xml:space="preserve">第二节 </w:t>
      </w:r>
      <w:r>
        <w:rPr>
          <w:rFonts w:hint="eastAsia"/>
          <w:color w:val="auto"/>
        </w:rPr>
        <w:t>研究不足与展望</w:t>
      </w:r>
      <w:bookmarkEnd w:id="845"/>
      <w:bookmarkEnd w:id="846"/>
      <w:bookmarkEnd w:id="847"/>
      <w:bookmarkEnd w:id="848"/>
      <w:bookmarkEnd w:id="849"/>
      <w:bookmarkEnd w:id="850"/>
      <w:bookmarkEnd w:id="851"/>
      <w:bookmarkEnd w:id="852"/>
      <w:bookmarkEnd w:id="853"/>
      <w:bookmarkEnd w:id="854"/>
    </w:p>
    <w:p w14:paraId="0DDB00A0">
      <w:pPr>
        <w:pStyle w:val="4"/>
        <w:bidi w:val="0"/>
        <w:rPr>
          <w:rFonts w:hint="eastAsia"/>
          <w:color w:val="auto"/>
          <w:lang w:val="en-US" w:eastAsia="zh-CN"/>
        </w:rPr>
      </w:pPr>
      <w:bookmarkStart w:id="855" w:name="_Toc1391004838"/>
      <w:bookmarkStart w:id="856" w:name="_Toc1264819974"/>
      <w:bookmarkStart w:id="857" w:name="_Toc1869131720"/>
      <w:bookmarkStart w:id="858" w:name="_Toc670535982"/>
      <w:bookmarkStart w:id="859" w:name="_Toc1417101983"/>
      <w:bookmarkStart w:id="860" w:name="_Toc897762573"/>
      <w:bookmarkStart w:id="861" w:name="_Toc1901261800"/>
      <w:bookmarkStart w:id="862" w:name="_Toc103755931"/>
      <w:bookmarkStart w:id="863" w:name="_Toc355862309"/>
      <w:bookmarkStart w:id="864" w:name="_Toc2144454123"/>
      <w:r>
        <w:rPr>
          <w:rFonts w:hint="eastAsia"/>
          <w:color w:val="auto"/>
          <w:lang w:val="en-US" w:eastAsia="zh-CN"/>
        </w:rPr>
        <w:t>一、</w:t>
      </w:r>
      <w:r>
        <w:rPr>
          <w:rFonts w:hint="eastAsia"/>
          <w:color w:val="auto"/>
        </w:rPr>
        <w:t>当前研究的局限性分析</w:t>
      </w:r>
      <w:bookmarkEnd w:id="855"/>
      <w:bookmarkEnd w:id="856"/>
      <w:bookmarkEnd w:id="857"/>
      <w:bookmarkEnd w:id="858"/>
      <w:bookmarkEnd w:id="859"/>
      <w:bookmarkEnd w:id="860"/>
      <w:bookmarkEnd w:id="861"/>
      <w:bookmarkEnd w:id="862"/>
      <w:bookmarkEnd w:id="863"/>
      <w:bookmarkEnd w:id="864"/>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color w:val="auto"/>
          <w:lang w:val="en-US" w:eastAsia="zh-CN"/>
        </w:rPr>
      </w:pPr>
      <w:bookmarkStart w:id="865" w:name="_Toc1106029724"/>
      <w:bookmarkStart w:id="866" w:name="_Toc1851553665"/>
      <w:bookmarkStart w:id="867" w:name="_Toc69210953"/>
      <w:bookmarkStart w:id="868" w:name="_Toc2036165012"/>
      <w:bookmarkStart w:id="869" w:name="_Toc1111331024"/>
      <w:bookmarkStart w:id="870" w:name="_Toc1639383051"/>
      <w:bookmarkStart w:id="871" w:name="_Toc2097888887"/>
      <w:bookmarkStart w:id="872" w:name="_Toc235870468"/>
      <w:bookmarkStart w:id="873" w:name="_Toc475460589"/>
      <w:bookmarkStart w:id="874" w:name="_Toc622397660"/>
      <w:r>
        <w:rPr>
          <w:rFonts w:hint="eastAsia"/>
          <w:color w:val="auto"/>
          <w:lang w:val="en-US" w:eastAsia="zh-CN"/>
        </w:rPr>
        <w:t>二、</w:t>
      </w:r>
      <w:r>
        <w:rPr>
          <w:rFonts w:hint="eastAsia"/>
          <w:color w:val="auto"/>
        </w:rPr>
        <w:t>未来研究与实践的发展方向</w:t>
      </w:r>
      <w:bookmarkEnd w:id="865"/>
      <w:bookmarkEnd w:id="866"/>
      <w:bookmarkEnd w:id="867"/>
      <w:bookmarkEnd w:id="868"/>
      <w:bookmarkEnd w:id="869"/>
      <w:bookmarkEnd w:id="870"/>
      <w:bookmarkEnd w:id="871"/>
      <w:bookmarkEnd w:id="872"/>
      <w:bookmarkEnd w:id="873"/>
      <w:bookmarkEnd w:id="87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auto"/>
          <w:sz w:val="24"/>
          <w:szCs w:val="24"/>
          <w:lang w:val="en-US" w:eastAsia="zh-CN"/>
        </w:rPr>
        <w:br w:type="page"/>
      </w:r>
    </w:p>
    <w:p w14:paraId="41A22F36">
      <w:pPr>
        <w:pStyle w:val="2"/>
        <w:bidi w:val="0"/>
        <w:rPr>
          <w:rFonts w:hint="eastAsia"/>
          <w:color w:val="auto"/>
        </w:rPr>
      </w:pPr>
      <w:bookmarkStart w:id="875" w:name="_Toc25043"/>
      <w:bookmarkStart w:id="876" w:name="_Toc30555"/>
      <w:bookmarkStart w:id="877" w:name="_Toc10448"/>
      <w:bookmarkStart w:id="878" w:name="_Toc1832007363"/>
      <w:bookmarkStart w:id="879" w:name="_Toc21053"/>
      <w:bookmarkStart w:id="880" w:name="_Toc1475242409"/>
      <w:bookmarkStart w:id="881" w:name="_Toc17158"/>
      <w:bookmarkStart w:id="882" w:name="_Toc895747147"/>
      <w:bookmarkStart w:id="883" w:name="_Toc1439834044"/>
      <w:bookmarkStart w:id="884" w:name="_Toc279468836"/>
      <w:bookmarkStart w:id="885" w:name="_Toc2024402625"/>
      <w:bookmarkStart w:id="886" w:name="_Toc423122836"/>
      <w:bookmarkStart w:id="887" w:name="_Toc32489"/>
      <w:bookmarkStart w:id="888" w:name="_Toc20143314"/>
      <w:bookmarkStart w:id="889" w:name="_Toc11062"/>
      <w:bookmarkStart w:id="890" w:name="_Toc1673441739"/>
      <w:bookmarkStart w:id="891" w:name="_Toc244627083"/>
      <w:r>
        <w:rPr>
          <w:rFonts w:hint="eastAsia"/>
          <w:color w:val="auto"/>
          <w:lang w:val="en-US" w:eastAsia="zh-CN"/>
        </w:rPr>
        <w:t>参考文献</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14:paraId="7E36AD28">
      <w:pPr>
        <w:pStyle w:val="4"/>
        <w:bidi w:val="0"/>
        <w:rPr>
          <w:rFonts w:hint="eastAsia"/>
          <w:color w:val="auto"/>
        </w:rPr>
      </w:pPr>
      <w:bookmarkStart w:id="892" w:name="_Toc1445043112"/>
      <w:bookmarkStart w:id="893" w:name="_Toc485990663"/>
      <w:bookmarkStart w:id="894" w:name="_Toc1107149435"/>
      <w:bookmarkStart w:id="895" w:name="_Toc1551498954"/>
      <w:bookmarkStart w:id="896" w:name="_Toc2074702902"/>
      <w:bookmarkStart w:id="897" w:name="_Toc1163683623"/>
      <w:r>
        <w:rPr>
          <w:rFonts w:hint="eastAsia"/>
          <w:color w:val="auto"/>
          <w:lang w:val="en-US" w:eastAsia="zh-CN"/>
        </w:rPr>
        <w:t>一、经典著作与外文文献</w:t>
      </w:r>
      <w:bookmarkEnd w:id="892"/>
      <w:bookmarkEnd w:id="893"/>
      <w:bookmarkEnd w:id="894"/>
      <w:bookmarkEnd w:id="895"/>
      <w:bookmarkEnd w:id="896"/>
      <w:bookmarkEnd w:id="897"/>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 xml:space="preserve">[1] </w:t>
      </w:r>
      <w:r>
        <w:rPr>
          <w:rFonts w:hint="eastAsia" w:ascii="宋体" w:hAnsi="宋体" w:eastAsia="宋体" w:cs="宋体"/>
          <w:color w:val="auto"/>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[3] </w:t>
      </w:r>
      <w:r>
        <w:rPr>
          <w:rFonts w:hint="default" w:ascii="Times New Roman" w:hAnsi="Times New Roman" w:eastAsia="宋体" w:cs="Times New Roman"/>
          <w:color w:val="auto"/>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[4] </w:t>
      </w:r>
      <w:r>
        <w:rPr>
          <w:rFonts w:hint="default" w:ascii="Times New Roman" w:hAnsi="Times New Roman" w:eastAsia="宋体" w:cs="Times New Roman"/>
          <w:color w:val="auto"/>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[5] </w:t>
      </w:r>
      <w:r>
        <w:rPr>
          <w:rFonts w:hint="default" w:ascii="Times New Roman" w:hAnsi="Times New Roman" w:eastAsia="宋体" w:cs="Times New Roman"/>
          <w:color w:val="auto"/>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[6] </w:t>
      </w:r>
      <w:r>
        <w:rPr>
          <w:rFonts w:hint="default" w:ascii="Times New Roman" w:hAnsi="Times New Roman" w:eastAsia="宋体" w:cs="Times New Roman"/>
          <w:color w:val="auto"/>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[7] </w:t>
      </w:r>
      <w:r>
        <w:rPr>
          <w:color w:val="auto"/>
          <w:sz w:val="21"/>
          <w:szCs w:val="21"/>
        </w:rPr>
        <w:t>Bevans, Stephen B. Models of Contextual Theology. Maryknoll: Orbis Books, 2002., pp. 28-45.</w:t>
      </w:r>
    </w:p>
    <w:p w14:paraId="7E6982A5">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kern w:val="2"/>
          <w:sz w:val="21"/>
          <w:szCs w:val="21"/>
          <w:lang w:val="en-US" w:eastAsia="zh-CN" w:bidi="ar"/>
        </w:rPr>
        <w:t xml:space="preserve">[8] </w:t>
      </w:r>
      <w:r>
        <w:rPr>
          <w:color w:val="auto"/>
          <w:sz w:val="21"/>
          <w:szCs w:val="21"/>
        </w:rPr>
        <w:t>Bhabha, Homi K. The Location of Culture. London: Routledge, 1994.,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[9] </w:t>
      </w:r>
      <w:r>
        <w:rPr>
          <w:rFonts w:hint="default" w:ascii="Times New Roman" w:hAnsi="Times New Roman" w:eastAsia="宋体" w:cs="Times New Roman"/>
          <w:color w:val="auto"/>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[10] </w:t>
      </w:r>
      <w:r>
        <w:rPr>
          <w:rFonts w:hint="default" w:ascii="Times New Roman" w:hAnsi="Times New Roman" w:eastAsia="宋体" w:cs="Times New Roman"/>
          <w:color w:val="auto"/>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[11] </w:t>
      </w:r>
      <w:r>
        <w:rPr>
          <w:rFonts w:hint="default" w:ascii="Times New Roman" w:hAnsi="Times New Roman" w:eastAsia="宋体" w:cs="Times New Roman"/>
          <w:color w:val="auto"/>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[12] </w:t>
      </w:r>
      <w:r>
        <w:rPr>
          <w:rFonts w:hint="default" w:ascii="Times New Roman" w:hAnsi="Times New Roman" w:eastAsia="宋体" w:cs="Times New Roman"/>
          <w:color w:val="auto"/>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[13] </w:t>
      </w:r>
      <w:r>
        <w:rPr>
          <w:rFonts w:hint="default" w:ascii="Times New Roman" w:hAnsi="Times New Roman" w:eastAsia="宋体" w:cs="Times New Roman"/>
          <w:color w:val="auto"/>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[14] </w:t>
      </w:r>
      <w:r>
        <w:rPr>
          <w:rFonts w:hint="default" w:ascii="Times New Roman" w:hAnsi="Times New Roman" w:eastAsia="宋体" w:cs="Times New Roman"/>
          <w:color w:val="auto"/>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 xml:space="preserve">] </w:t>
      </w:r>
      <w:r>
        <w:rPr>
          <w:color w:val="auto"/>
          <w:sz w:val="21"/>
          <w:szCs w:val="21"/>
        </w:rPr>
        <w:t>Nygren, Anders. Agape and Eros: The Christian Idea of Love. Chicago: University of Chicago Press,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[16] </w:t>
      </w:r>
      <w:r>
        <w:rPr>
          <w:rFonts w:hint="default" w:ascii="Times New Roman" w:hAnsi="Times New Roman" w:eastAsia="宋体" w:cs="Times New Roman"/>
          <w:color w:val="auto"/>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 xml:space="preserve">] </w:t>
      </w:r>
      <w:r>
        <w:rPr>
          <w:color w:val="auto"/>
          <w:sz w:val="21"/>
          <w:szCs w:val="21"/>
        </w:rPr>
        <w:t>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[18] </w:t>
      </w:r>
      <w:r>
        <w:rPr>
          <w:rFonts w:hint="default" w:ascii="Times New Roman" w:hAnsi="Times New Roman" w:eastAsia="宋体" w:cs="Times New Roman"/>
          <w:color w:val="auto"/>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[19] </w:t>
      </w:r>
      <w:r>
        <w:rPr>
          <w:rFonts w:hint="default" w:ascii="Times New Roman" w:hAnsi="Times New Roman" w:eastAsia="宋体" w:cs="Times New Roman"/>
          <w:color w:val="auto"/>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[20] </w:t>
      </w:r>
      <w:r>
        <w:rPr>
          <w:rFonts w:hint="default" w:ascii="Times New Roman" w:hAnsi="Times New Roman" w:eastAsia="宋体" w:cs="Times New Roman"/>
          <w:color w:val="auto"/>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[21] </w:t>
      </w:r>
      <w:r>
        <w:rPr>
          <w:rFonts w:hint="default" w:ascii="Times New Roman" w:hAnsi="Times New Roman" w:eastAsia="宋体" w:cs="Times New Roman"/>
          <w:color w:val="auto"/>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[22] </w:t>
      </w:r>
      <w:r>
        <w:rPr>
          <w:rFonts w:hint="default" w:ascii="Times New Roman" w:hAnsi="Times New Roman" w:eastAsia="宋体" w:cs="Times New Roman"/>
          <w:color w:val="auto"/>
          <w:sz w:val="21"/>
          <w:szCs w:val="21"/>
        </w:rPr>
        <w:t>Tu Weiming. Confucian Thought: Selfhood as Creative Transformation. Albany: State University of New York Press, 1985.</w:t>
      </w:r>
    </w:p>
    <w:p w14:paraId="5B3298DE">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[23] </w:t>
      </w:r>
      <w:r>
        <w:rPr>
          <w:color w:val="auto"/>
          <w:sz w:val="21"/>
          <w:szCs w:val="21"/>
        </w:rPr>
        <w:t>Weber, Max. The Protestant Ethic and the Spirit of Capitalism. Translated by Talcott Parsons. New York: Charles Scribner's Sons, 1958., pp. 90-110.</w:t>
      </w:r>
    </w:p>
    <w:p w14:paraId="39B35033">
      <w:pPr>
        <w:pStyle w:val="4"/>
        <w:bidi w:val="0"/>
        <w:rPr>
          <w:rFonts w:hint="eastAsia"/>
          <w:color w:val="auto"/>
        </w:rPr>
      </w:pPr>
      <w:bookmarkStart w:id="898" w:name="_Toc1164763500"/>
      <w:bookmarkStart w:id="899" w:name="_Toc2062236437"/>
      <w:bookmarkStart w:id="900" w:name="_Toc839697575"/>
      <w:bookmarkStart w:id="901" w:name="_Toc947019461"/>
      <w:bookmarkStart w:id="902" w:name="_Toc1296478004"/>
      <w:bookmarkStart w:id="903" w:name="_Toc897078532"/>
      <w:r>
        <w:rPr>
          <w:rFonts w:hint="eastAsia"/>
          <w:color w:val="auto"/>
          <w:lang w:val="en-US" w:eastAsia="zh-CN"/>
        </w:rPr>
        <w:t>二、中文专著</w:t>
      </w:r>
      <w:bookmarkEnd w:id="898"/>
      <w:bookmarkEnd w:id="899"/>
      <w:bookmarkEnd w:id="900"/>
      <w:bookmarkEnd w:id="901"/>
      <w:bookmarkEnd w:id="902"/>
      <w:bookmarkEnd w:id="903"/>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[44] 中央统战部. 新时代统一战线知识简明读本[M]. 北京：华文出版社，2020.</w:t>
      </w:r>
    </w:p>
    <w:p w14:paraId="37378B6A">
      <w:pPr>
        <w:pStyle w:val="4"/>
        <w:bidi w:val="0"/>
        <w:rPr>
          <w:rFonts w:hint="eastAsia"/>
          <w:color w:val="auto"/>
        </w:rPr>
      </w:pPr>
      <w:bookmarkStart w:id="904" w:name="_Toc1536730766"/>
      <w:bookmarkStart w:id="905" w:name="_Toc1682098588"/>
      <w:bookmarkStart w:id="906" w:name="_Toc1554773110"/>
      <w:bookmarkStart w:id="907" w:name="_Toc1866702095"/>
      <w:bookmarkStart w:id="908" w:name="_Toc1769217726"/>
      <w:bookmarkStart w:id="909" w:name="_Toc1863685384"/>
      <w:r>
        <w:rPr>
          <w:rFonts w:hint="eastAsia"/>
          <w:color w:val="auto"/>
          <w:lang w:val="en-US" w:eastAsia="zh-CN"/>
        </w:rPr>
        <w:t>三、中文期刊论文与学位论文（2022-2025年最新成果）</w:t>
      </w:r>
      <w:bookmarkEnd w:id="904"/>
      <w:bookmarkEnd w:id="905"/>
      <w:bookmarkEnd w:id="906"/>
      <w:bookmarkEnd w:id="907"/>
      <w:bookmarkEnd w:id="908"/>
      <w:bookmarkEnd w:id="909"/>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[47] 陈琳. 儒家“仁爱”与基督教“圣爱”思想的比较研究[J]. 咸阳师范学院学报，2012，27（10）：167-168.</w:t>
      </w:r>
    </w:p>
    <w:p w14:paraId="21F5269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48</w:t>
      </w:r>
      <w:r>
        <w:rPr>
          <w:rFonts w:hint="eastAsia" w:ascii="宋体" w:hAnsi="宋体" w:eastAsia="宋体" w:cs="宋体"/>
          <w:color w:val="auto"/>
          <w:sz w:val="21"/>
          <w:szCs w:val="21"/>
        </w:rPr>
        <w:t>] 陈宗皋. 基督教公益慈善"去标识化"路径探析[J]. 中国宗教, 2025(1): 18-24.</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50</w:t>
      </w:r>
      <w:r>
        <w:rPr>
          <w:rFonts w:hint="eastAsia" w:ascii="宋体" w:hAnsi="宋体" w:eastAsia="宋体" w:cs="宋体"/>
          <w:color w:val="auto"/>
          <w:sz w:val="21"/>
          <w:szCs w:val="21"/>
        </w:rPr>
        <w:t>] 何虎生，胡竞方. 新中国·新时期·新时代坚持我国宗教中国化的发展历程研究[J]. 世界宗教研究，2020（1）：1-12.</w:t>
      </w:r>
    </w:p>
    <w:p w14:paraId="312C546B">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51</w:t>
      </w:r>
      <w:r>
        <w:rPr>
          <w:rFonts w:hint="eastAsia" w:ascii="宋体" w:hAnsi="宋体" w:eastAsia="宋体" w:cs="宋体"/>
          <w:color w:val="auto"/>
          <w:sz w:val="21"/>
          <w:szCs w:val="21"/>
        </w:rPr>
        <w:t>] 何明. 社会主义核心价值观融入宗教教育的实践研究[J]. 宗教学研究, 2024(3): 56-63.</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2</w:t>
      </w:r>
      <w:r>
        <w:rPr>
          <w:rFonts w:hint="eastAsia" w:ascii="宋体" w:hAnsi="宋体" w:eastAsia="宋体" w:cs="宋体"/>
          <w:color w:val="auto"/>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3</w:t>
      </w:r>
      <w:r>
        <w:rPr>
          <w:rFonts w:hint="eastAsia" w:ascii="宋体" w:hAnsi="宋体" w:eastAsia="宋体" w:cs="宋体"/>
          <w:color w:val="auto"/>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牟钟鉴. 如何深入理解“坚持中国化方向”——学习习总书记讲话的体会[J]. 世界宗教研究，2016（3）：13-18.</w:t>
      </w:r>
    </w:p>
    <w:p w14:paraId="34C4EFF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55</w:t>
      </w:r>
      <w:r>
        <w:rPr>
          <w:rFonts w:hint="eastAsia" w:ascii="宋体" w:hAnsi="宋体" w:eastAsia="宋体" w:cs="宋体"/>
          <w:color w:val="auto"/>
          <w:sz w:val="21"/>
          <w:szCs w:val="21"/>
        </w:rPr>
        <w:t>] 唐晓峰. 新时代基督教中国化的实践探索与理论反思[J]. 世界宗教文化, 2024(2): 34-41.</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60</w:t>
      </w:r>
      <w:r>
        <w:rPr>
          <w:rFonts w:hint="eastAsia" w:ascii="宋体" w:hAnsi="宋体" w:eastAsia="宋体" w:cs="宋体"/>
          <w:color w:val="auto"/>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游斌. 深入推进我国宗教中国化，增进“五个认同”[N]. 中国民族报，2022-04-08（005）.</w:t>
      </w:r>
    </w:p>
    <w:p w14:paraId="552B8C3C">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63</w:t>
      </w:r>
      <w:r>
        <w:rPr>
          <w:rFonts w:hint="eastAsia" w:ascii="宋体" w:hAnsi="宋体" w:eastAsia="宋体" w:cs="宋体"/>
          <w:color w:val="auto"/>
          <w:sz w:val="21"/>
          <w:szCs w:val="21"/>
        </w:rPr>
        <w:t>] 游斌. 基督教中国化的神学建构与话语创新[J]. 中国宗教, 2024(5): 22-28.</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张忠成. 基督教伦理与社会主义核心价值观之刍议[C]//基督教中国化神学思想建设第十九次研讨会论文集. 杭州：浙江省基督教两会，2019.</w:t>
      </w:r>
    </w:p>
    <w:p w14:paraId="246E89FA">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66</w:t>
      </w:r>
      <w:r>
        <w:rPr>
          <w:rFonts w:hint="eastAsia" w:ascii="宋体" w:hAnsi="宋体" w:eastAsia="宋体" w:cs="宋体"/>
          <w:color w:val="auto"/>
          <w:sz w:val="21"/>
          <w:szCs w:val="21"/>
        </w:rPr>
        <w:t>] 张志刚. 深入推进我国宗教中国化的学理基础与实践路径[J]. 世界宗教研究, 2024(1): 1-15.</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67</w:t>
      </w:r>
      <w:r>
        <w:rPr>
          <w:rFonts w:hint="eastAsia" w:ascii="宋体" w:hAnsi="宋体" w:eastAsia="宋体" w:cs="宋体"/>
          <w:color w:val="auto"/>
          <w:sz w:val="21"/>
          <w:szCs w:val="21"/>
        </w:rPr>
        <w:t>]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70</w:t>
      </w:r>
      <w:r>
        <w:rPr>
          <w:rFonts w:hint="eastAsia" w:ascii="宋体" w:hAnsi="宋体" w:eastAsia="宋体" w:cs="宋体"/>
          <w:color w:val="auto"/>
          <w:sz w:val="21"/>
          <w:szCs w:val="21"/>
        </w:rPr>
        <w:t>]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71</w:t>
      </w:r>
      <w:r>
        <w:rPr>
          <w:rFonts w:hint="eastAsia" w:ascii="宋体" w:hAnsi="宋体" w:eastAsia="宋体" w:cs="宋体"/>
          <w:color w:val="auto"/>
          <w:sz w:val="21"/>
          <w:szCs w:val="21"/>
        </w:rPr>
        <w:t>]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72</w:t>
      </w:r>
      <w:r>
        <w:rPr>
          <w:rFonts w:hint="eastAsia" w:ascii="宋体" w:hAnsi="宋体" w:eastAsia="宋体" w:cs="宋体"/>
          <w:color w:val="auto"/>
          <w:sz w:val="21"/>
          <w:szCs w:val="21"/>
        </w:rPr>
        <w:t>] 朱全红，张苹英. 儒家“仁爱”伦理与基督教“博爱”伦理思想比较研究[J]. 吉首大学学报（社会科学版），2002，23（4）：53-58.</w:t>
      </w:r>
    </w:p>
    <w:p w14:paraId="5CCAA138">
      <w:pPr>
        <w:pStyle w:val="4"/>
        <w:bidi w:val="0"/>
        <w:rPr>
          <w:rFonts w:hint="eastAsia"/>
          <w:color w:val="auto"/>
          <w:lang w:val="en-US" w:eastAsia="zh-CN"/>
        </w:rPr>
      </w:pPr>
      <w:bookmarkStart w:id="910" w:name="_Toc490643074"/>
      <w:bookmarkStart w:id="911" w:name="_Toc1556239408"/>
      <w:bookmarkStart w:id="912" w:name="_Toc48161693"/>
      <w:bookmarkStart w:id="913" w:name="_Toc1183744520"/>
      <w:bookmarkStart w:id="914" w:name="_Toc1073511642"/>
      <w:bookmarkStart w:id="915" w:name="_Toc1911257393"/>
      <w:r>
        <w:rPr>
          <w:rFonts w:hint="eastAsia"/>
          <w:color w:val="auto"/>
          <w:lang w:val="en-US" w:eastAsia="zh-CN"/>
        </w:rPr>
        <w:t>四、政策文件与法规</w:t>
      </w:r>
      <w:bookmarkEnd w:id="910"/>
      <w:bookmarkEnd w:id="911"/>
      <w:bookmarkEnd w:id="912"/>
      <w:bookmarkEnd w:id="913"/>
      <w:bookmarkEnd w:id="914"/>
      <w:bookmarkEnd w:id="915"/>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73</w:t>
      </w:r>
      <w:r>
        <w:rPr>
          <w:rFonts w:hint="eastAsia" w:ascii="宋体" w:hAnsi="宋体" w:eastAsia="宋体" w:cs="宋体"/>
          <w:color w:val="auto"/>
          <w:sz w:val="21"/>
          <w:szCs w:val="21"/>
        </w:rPr>
        <w:t>]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74</w:t>
      </w:r>
      <w:r>
        <w:rPr>
          <w:rFonts w:hint="eastAsia" w:ascii="宋体" w:hAnsi="宋体" w:eastAsia="宋体" w:cs="宋体"/>
          <w:color w:val="auto"/>
          <w:sz w:val="21"/>
          <w:szCs w:val="21"/>
        </w:rPr>
        <w:t>]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中共中央、国务院. 关于坚持我国宗教中国化方向的意见[Z]. 2021.</w:t>
      </w:r>
    </w:p>
    <w:p w14:paraId="2F25BFC0">
      <w:pPr>
        <w:pStyle w:val="4"/>
        <w:bidi w:val="0"/>
        <w:rPr>
          <w:rFonts w:hint="eastAsia"/>
          <w:color w:val="auto"/>
          <w:lang w:val="en-US" w:eastAsia="zh-CN"/>
        </w:rPr>
      </w:pPr>
      <w:bookmarkStart w:id="916" w:name="_Toc2048423885"/>
      <w:bookmarkStart w:id="917" w:name="_Toc905641832"/>
      <w:bookmarkStart w:id="918" w:name="_Toc1999722979"/>
      <w:bookmarkStart w:id="919" w:name="_Toc1500048647"/>
      <w:bookmarkStart w:id="920" w:name="_Toc1512393443"/>
      <w:bookmarkStart w:id="921" w:name="_Toc442612325"/>
      <w:r>
        <w:rPr>
          <w:rFonts w:hint="eastAsia"/>
          <w:color w:val="auto"/>
          <w:lang w:val="en-US" w:eastAsia="zh-CN"/>
        </w:rPr>
        <w:t>五、网络资源与新闻报道</w:t>
      </w:r>
      <w:bookmarkEnd w:id="916"/>
      <w:bookmarkEnd w:id="917"/>
      <w:bookmarkEnd w:id="918"/>
      <w:bookmarkEnd w:id="919"/>
      <w:bookmarkEnd w:id="920"/>
      <w:bookmarkEnd w:id="921"/>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80</w:t>
      </w:r>
      <w:r>
        <w:rPr>
          <w:rFonts w:hint="eastAsia" w:ascii="宋体" w:hAnsi="宋体" w:eastAsia="宋体" w:cs="宋体"/>
          <w:color w:val="auto"/>
          <w:sz w:val="21"/>
          <w:szCs w:val="21"/>
        </w:rPr>
        <w:t>]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81</w:t>
      </w:r>
      <w:r>
        <w:rPr>
          <w:rFonts w:hint="eastAsia" w:ascii="宋体" w:hAnsi="宋体" w:eastAsia="宋体" w:cs="宋体"/>
          <w:color w:val="auto"/>
          <w:sz w:val="21"/>
          <w:szCs w:val="21"/>
        </w:rPr>
        <w:t xml:space="preserve">] 浙江神学院官网. 学院简介与办学理念[EB/OL]. </w:t>
      </w:r>
      <w:r>
        <w:rPr>
          <w:rFonts w:hint="eastAsia" w:ascii="宋体" w:hAnsi="宋体" w:eastAsia="宋体" w:cs="宋体"/>
          <w:color w:val="auto"/>
          <w:sz w:val="21"/>
          <w:szCs w:val="21"/>
        </w:rPr>
        <w:fldChar w:fldCharType="begin"/>
      </w:r>
      <w:r>
        <w:rPr>
          <w:rFonts w:hint="eastAsia" w:ascii="宋体" w:hAnsi="宋体" w:eastAsia="宋体" w:cs="宋体"/>
          <w:color w:val="auto"/>
          <w:sz w:val="21"/>
          <w:szCs w:val="21"/>
        </w:rPr>
        <w:instrText xml:space="preserve"> HYPERLINK "https://www.zjtsxy.org." </w:instrText>
      </w:r>
      <w:r>
        <w:rPr>
          <w:rFonts w:hint="eastAsia" w:ascii="宋体" w:hAnsi="宋体" w:eastAsia="宋体" w:cs="宋体"/>
          <w:color w:val="auto"/>
          <w:sz w:val="21"/>
          <w:szCs w:val="21"/>
        </w:rPr>
        <w:fldChar w:fldCharType="separate"/>
      </w:r>
      <w:r>
        <w:rPr>
          <w:rStyle w:val="27"/>
          <w:rFonts w:hint="eastAsia" w:ascii="宋体" w:hAnsi="宋体" w:eastAsia="宋体" w:cs="宋体"/>
          <w:color w:val="auto"/>
          <w:sz w:val="21"/>
          <w:szCs w:val="21"/>
        </w:rPr>
        <w:t>https://www.zjtsxy.org.</w:t>
      </w:r>
      <w:r>
        <w:rPr>
          <w:rStyle w:val="27"/>
          <w:rFonts w:hint="eastAsia" w:ascii="宋体" w:hAnsi="宋体" w:eastAsia="宋体" w:cs="宋体"/>
          <w:color w:val="auto"/>
          <w:sz w:val="21"/>
          <w:szCs w:val="21"/>
        </w:rPr>
        <w:br w:type="page"/>
      </w:r>
      <w:r>
        <w:rPr>
          <w:rFonts w:hint="eastAsia" w:ascii="宋体" w:hAnsi="宋体" w:eastAsia="宋体" w:cs="宋体"/>
          <w:color w:val="auto"/>
          <w:sz w:val="21"/>
          <w:szCs w:val="21"/>
        </w:rPr>
        <w:fldChar w:fldCharType="end"/>
      </w:r>
    </w:p>
    <w:p w14:paraId="679E75FB">
      <w:pPr>
        <w:pStyle w:val="2"/>
        <w:bidi w:val="0"/>
        <w:rPr>
          <w:rFonts w:hint="eastAsia"/>
          <w:color w:val="auto"/>
          <w:lang w:val="en-US" w:eastAsia="zh-CN"/>
        </w:rPr>
      </w:pPr>
      <w:bookmarkStart w:id="922" w:name="_Toc1180150609"/>
      <w:bookmarkStart w:id="923" w:name="_Toc2007077996"/>
      <w:bookmarkStart w:id="924" w:name="_Toc1700463448"/>
      <w:bookmarkStart w:id="925" w:name="_Toc5632"/>
      <w:bookmarkStart w:id="926" w:name="_Toc1393745819"/>
      <w:bookmarkStart w:id="927" w:name="_Toc1549890138"/>
      <w:bookmarkStart w:id="928" w:name="_Toc961934159"/>
      <w:bookmarkStart w:id="929" w:name="_Toc2089466261"/>
      <w:bookmarkStart w:id="930" w:name="_Toc14918"/>
      <w:bookmarkStart w:id="931" w:name="_Toc1905664135"/>
      <w:bookmarkStart w:id="932" w:name="_Toc760"/>
      <w:bookmarkStart w:id="933" w:name="_Toc1225032503"/>
      <w:bookmarkStart w:id="934" w:name="_Toc22685"/>
      <w:bookmarkStart w:id="935" w:name="_Toc5919"/>
      <w:bookmarkStart w:id="936" w:name="_Toc101993067"/>
      <w:bookmarkStart w:id="937" w:name="_Toc30436"/>
      <w:bookmarkStart w:id="938" w:name="_Toc16346"/>
      <w:r>
        <w:rPr>
          <w:rFonts w:hint="eastAsia"/>
          <w:color w:val="auto"/>
        </w:rPr>
        <w:t>附 录</w:t>
      </w:r>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p>
    <w:p w14:paraId="29BD481E">
      <w:pPr>
        <w:pStyle w:val="4"/>
        <w:bidi w:val="0"/>
        <w:rPr>
          <w:rFonts w:hint="eastAsia"/>
          <w:color w:val="auto"/>
          <w:lang w:val="en-US" w:eastAsia="zh-CN"/>
        </w:rPr>
      </w:pPr>
      <w:bookmarkStart w:id="939" w:name="_Toc20637"/>
      <w:bookmarkStart w:id="940" w:name="_Toc32470"/>
      <w:bookmarkStart w:id="941" w:name="_Toc632321771"/>
      <w:bookmarkStart w:id="942" w:name="_Toc926005587"/>
      <w:bookmarkStart w:id="943" w:name="_Toc286751696"/>
      <w:bookmarkStart w:id="944" w:name="_Toc13564"/>
      <w:bookmarkStart w:id="945" w:name="_Toc26911256"/>
      <w:bookmarkStart w:id="946" w:name="_Toc18174"/>
      <w:bookmarkStart w:id="947" w:name="_Toc13764"/>
      <w:bookmarkStart w:id="948" w:name="_Toc1195554132"/>
      <w:bookmarkStart w:id="949" w:name="_Toc17303"/>
      <w:bookmarkStart w:id="950" w:name="_Toc505526763"/>
      <w:r>
        <w:rPr>
          <w:rFonts w:hint="eastAsia"/>
          <w:lang w:val="en-US" w:eastAsia="zh-CN"/>
          <w:color w:val="FF0000"/>
        </w:rPr>
        <w:t>一、致 谢</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人才，学术研究必须始终坚持正确的政治方向，将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内化于心、外化于行，在教义诠释中自觉融入中华优秀传统文化，以社会主义核心价值观引领信众，做到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政治上靠得住、宗教上有造诣、品德上能服众、关键时起作用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color w:val="auto"/>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color w:val="auto"/>
          <w:lang w:val="en-US" w:eastAsia="zh-CN"/>
        </w:rPr>
      </w:pPr>
      <w:bookmarkStart w:id="951" w:name="_Toc12901"/>
      <w:bookmarkStart w:id="952" w:name="_Toc5261"/>
      <w:bookmarkStart w:id="953" w:name="_Toc1682919841"/>
      <w:bookmarkStart w:id="954" w:name="_Toc482450804"/>
      <w:bookmarkStart w:id="955" w:name="_Toc21851"/>
      <w:bookmarkStart w:id="956" w:name="_Toc561910900"/>
      <w:bookmarkStart w:id="957" w:name="_Toc9970"/>
      <w:bookmarkStart w:id="958" w:name="_Toc1821295192"/>
      <w:bookmarkStart w:id="959" w:name="_Toc1325913722"/>
      <w:bookmarkStart w:id="960" w:name="_Toc25604"/>
      <w:bookmarkStart w:id="961" w:name="_Toc25672"/>
      <w:bookmarkStart w:id="962" w:name="_Toc942998209"/>
      <w:r>
        <w:rPr>
          <w:rFonts w:hint="eastAsia"/>
          <w:color w:val="auto"/>
          <w:lang w:val="en-US" w:eastAsia="zh-CN"/>
        </w:rPr>
        <w:t>二、论文原创性声明内容</w:t>
      </w:r>
      <w:bookmarkEnd w:id="951"/>
      <w:bookmarkEnd w:id="952"/>
      <w:bookmarkEnd w:id="953"/>
      <w:bookmarkEnd w:id="954"/>
      <w:bookmarkEnd w:id="955"/>
      <w:bookmarkEnd w:id="956"/>
      <w:bookmarkEnd w:id="957"/>
      <w:bookmarkEnd w:id="958"/>
      <w:bookmarkEnd w:id="959"/>
      <w:bookmarkEnd w:id="960"/>
      <w:bookmarkEnd w:id="961"/>
      <w:bookmarkEnd w:id="962"/>
    </w:p>
    <w:p w14:paraId="065073FA">
      <w:pPr>
        <w:pageBreakBefore w:val="0"/>
        <w:kinsoku/>
        <w:wordWrap/>
        <w:overflowPunct/>
        <w:topLinePunct w:val="0"/>
        <w:bidi w:val="0"/>
        <w:adjustRightInd w:val="0"/>
        <w:snapToGrid w:val="0"/>
        <w:ind w:firstLine="480" w:firstLineChars="200"/>
        <w:textAlignment w:val="auto"/>
        <w:rPr>
          <w:color w:val="auto"/>
        </w:rPr>
      </w:pPr>
      <w:r>
        <w:rPr>
          <w:rFonts w:hint="eastAsia"/>
          <w:color w:val="auto"/>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日期</w:t>
      </w:r>
      <w:r>
        <w:rPr>
          <w:rFonts w:ascii="宋体" w:cs="宋体"/>
          <w:color w:val="auto"/>
          <w:kern w:val="0"/>
          <w:sz w:val="24"/>
        </w:rPr>
        <w:t xml:space="preserve"> </w:t>
      </w:r>
      <w:r>
        <w:rPr>
          <w:rFonts w:hint="eastAsia" w:ascii="宋体" w:cs="宋体"/>
          <w:color w:val="auto"/>
          <w:kern w:val="0"/>
          <w:sz w:val="24"/>
        </w:rPr>
        <w:t>：</w:t>
      </w:r>
      <w:r>
        <w:rPr>
          <w:rFonts w:ascii="宋体" w:cs="宋体"/>
          <w:color w:val="auto"/>
          <w:kern w:val="0"/>
          <w:sz w:val="24"/>
        </w:rPr>
        <w:t xml:space="preserve">     </w:t>
      </w:r>
      <w:r>
        <w:rPr>
          <w:rFonts w:hint="eastAsia" w:ascii="宋体" w:cs="宋体"/>
          <w:color w:val="auto"/>
          <w:kern w:val="0"/>
          <w:sz w:val="24"/>
        </w:rPr>
        <w:t>年</w:t>
      </w:r>
      <w:r>
        <w:rPr>
          <w:rFonts w:ascii="宋体" w:cs="宋体"/>
          <w:color w:val="auto"/>
          <w:kern w:val="0"/>
          <w:sz w:val="24"/>
        </w:rPr>
        <w:t xml:space="preserve">   </w:t>
      </w:r>
      <w:r>
        <w:rPr>
          <w:rFonts w:hint="eastAsia" w:ascii="宋体" w:cs="宋体"/>
          <w:color w:val="auto"/>
          <w:kern w:val="0"/>
          <w:sz w:val="24"/>
        </w:rPr>
        <w:t>月</w:t>
      </w:r>
      <w:r>
        <w:rPr>
          <w:rFonts w:ascii="宋体" w:cs="宋体"/>
          <w:color w:val="auto"/>
          <w:kern w:val="0"/>
          <w:sz w:val="24"/>
        </w:rPr>
        <w:t xml:space="preserve">   </w:t>
      </w:r>
      <w:r>
        <w:rPr>
          <w:rFonts w:hint="eastAsia" w:ascii="宋体" w:cs="宋体"/>
          <w:color w:val="auto"/>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color w:val="auto"/>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color w:val="auto"/>
          <w:lang w:val="en-US" w:eastAsia="zh-CN"/>
        </w:rPr>
      </w:pPr>
      <w:bookmarkStart w:id="963" w:name="_Toc1799895403"/>
      <w:bookmarkStart w:id="964" w:name="_Toc1550900441"/>
      <w:bookmarkStart w:id="965" w:name="_Toc81"/>
      <w:bookmarkStart w:id="966" w:name="_Toc326653050"/>
      <w:bookmarkStart w:id="967" w:name="_Toc27173"/>
      <w:bookmarkStart w:id="968" w:name="_Toc276387606"/>
      <w:bookmarkStart w:id="969" w:name="_Toc9206"/>
      <w:bookmarkStart w:id="970" w:name="_Toc29684"/>
      <w:bookmarkStart w:id="971" w:name="_Toc194120735"/>
      <w:bookmarkStart w:id="972" w:name="_Toc28213"/>
      <w:bookmarkStart w:id="973" w:name="_Toc11939"/>
      <w:bookmarkStart w:id="974" w:name="_Toc541583803"/>
      <w:r>
        <w:rPr>
          <w:rFonts w:hint="eastAsia"/>
          <w:color w:val="auto"/>
          <w:lang w:val="en-US" w:eastAsia="zh-CN"/>
        </w:rPr>
        <w:t>三、附 件</w:t>
      </w:r>
      <w:bookmarkEnd w:id="963"/>
      <w:bookmarkEnd w:id="964"/>
      <w:bookmarkEnd w:id="965"/>
      <w:bookmarkEnd w:id="966"/>
      <w:bookmarkEnd w:id="967"/>
      <w:bookmarkEnd w:id="968"/>
      <w:bookmarkEnd w:id="969"/>
      <w:bookmarkEnd w:id="970"/>
      <w:bookmarkEnd w:id="971"/>
      <w:bookmarkEnd w:id="972"/>
      <w:bookmarkEnd w:id="973"/>
      <w:bookmarkEnd w:id="974"/>
    </w:p>
    <w:p w14:paraId="34D31A10">
      <w:pPr>
        <w:pageBreakBefore w:val="0"/>
        <w:kinsoku/>
        <w:wordWrap/>
        <w:overflowPunct/>
        <w:topLinePunct w:val="0"/>
        <w:bidi w:val="0"/>
        <w:adjustRightInd w:val="0"/>
        <w:snapToGrid w:val="0"/>
        <w:ind w:left="480" w:leftChars="200" w:firstLine="0" w:firstLineChars="0"/>
        <w:textAlignment w:val="auto"/>
        <w:rPr>
          <w:rFonts w:hint="eastAsia"/>
          <w:color w:val="auto"/>
          <w:lang w:val="en-US" w:eastAsia="zh-CN"/>
        </w:rPr>
      </w:pPr>
      <w:r>
        <w:rPr>
          <w:color w:val="auto"/>
        </w:rPr>
        <w:t>附件一：</w:t>
      </w:r>
      <w:r>
        <w:rPr>
          <w:color w:val="auto"/>
        </w:rPr>
        <w:br w:type="textWrapping"/>
      </w:r>
      <w:r>
        <w:rPr>
          <w:color w:val="auto"/>
        </w:rPr>
        <w:t>附件二：</w:t>
      </w:r>
      <w:r>
        <w:rPr>
          <w:color w:val="auto"/>
        </w:rPr>
        <w:br w:type="textWrapping"/>
      </w:r>
      <w:r>
        <w:rPr>
          <w:color w:val="auto"/>
        </w:rPr>
        <w:t>附件三：</w:t>
      </w:r>
    </w:p>
    <w:p w14:paraId="495DCB43">
      <w:pPr>
        <w:pageBreakBefore w:val="0"/>
        <w:kinsoku/>
        <w:wordWrap/>
        <w:overflowPunct/>
        <w:topLinePunct w:val="0"/>
        <w:bidi w:val="0"/>
        <w:adjustRightInd w:val="0"/>
        <w:snapToGrid w:val="0"/>
        <w:ind w:firstLine="480" w:firstLineChars="200"/>
        <w:textAlignment w:val="auto"/>
        <w:rPr>
          <w:rFonts w:hint="eastAsia"/>
          <w:color w:val="auto"/>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ED14"/>
    <w:multiLevelType w:val="singleLevel"/>
    <w:tmpl w:val="EBBFED14"/>
    <w:lvl w:ilvl="0" w:tentative="0">
      <w:start w:val="1"/>
      <w:numFmt w:val="chineseCounting"/>
      <w:suff w:val="nothing"/>
      <w:lvlText w:val="（%1）"/>
      <w:lvlJc w:val="left"/>
      <w:rPr>
        <w:rFonts w:hint="eastAsia"/>
      </w:rPr>
    </w:lvl>
  </w:abstractNum>
  <w:abstractNum w:abstractNumId="1">
    <w:nsid w:val="FEDF65E6"/>
    <w:multiLevelType w:val="singleLevel"/>
    <w:tmpl w:val="FEDF65E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D69AA2F"/>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EFCC80"/>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6FBEB55"/>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3</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2024-02-09T16:52:00Z</dcterms:created>
  <dc:creator>勤策</dc:creator>
  <cp:lastModifiedBy>子夜LOVES7</cp:lastModifiedBy>
  <dcterms:modified xsi:type="dcterms:W3CDTF">2026-06-16T21:44:34Z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866334B95D48065A3B4F316A8F22A5D9_43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