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摘要"/>
    <w:p>
      <w:pPr>
        <w:pStyle w:val="Heading1"/>
      </w:pPr>
      <w:r>
        <w:rPr>
          <w:rFonts w:hint="eastAsia"/>
        </w:rPr>
        <w:t xml:space="preserve">摘要</w:t>
      </w:r>
    </w:p>
    <w:p>
      <w:pPr>
        <w:pStyle w:val="FirstParagraph"/>
      </w:pPr>
      <w:r>
        <w:rPr>
          <w:rFonts w:hint="eastAsia"/>
        </w:rPr>
        <w:t xml:space="preserve">2025年5月15日-18日，数智化管理会计创新研讨会在浙江清华长三角研究院杭州分院(杭州)成功举办！清华大学老科学技术工作者协会创新中心主任许福海，中税网集团高级副总裁王海争以及来自政企学研各领域的财税行业精英代表等近百人共赴此次盛会！本次研讨会通过顶层智库和行业领袖企业的组织，汇聚各界财税精英代表，共同探索人工智能技术与管理会计深度融合的新路径，为企业高质量发展注入创新动能。清华大学老科学技术工作者协会创新中心主任许福海在开幕致辞中指出：“数智化转型已成为企业战略升级的核心驱动力。本次研讨会聚焦‘DeepSeek’技术生态，旨在搭建跨界交流平台，推动管理会计从传统核算向价值创造跃迁。”中税网集团高级副总裁王海争强调，企业需以“技术+管理”双轮驱动，构建适应新经济格局的智能财务体系。中税网高级副总裁在致辞中指出，正是得益于这样的顶层智库合作以及各位杰出名师的坚持不懈与卓越贡献，中税网在数智财税综合服务领域屡攀高峰，成就斐然。面对新时代浪潮，中税网始终秉持着与时俱进、拥抱机遇的积极态度，紧跟市场脉搏，勇于开拓创新，遵从现代企业管理制度对高级别财税人才的要求与需求，支持企业财税管理数智化转型，为我国的经济社会发展贡献力量。学术前沿碰撞，解码技术内核研讨会期间，多领域专家围绕数智化技术展开深度研讨：清华大学特聘专家丁宋涛以《DeepSeek背后的力量——高性能算力架构保驾护航》为题，揭示了AI算力集群如何支撑大规模数据处理，为财务决策提供实时洞察；财务数字化实践专家魏强在《DeepSeek赋能财务新价值》演讲中，结合企业案例展示智能风控、动态预算等场景应用，提出“数据资产化”是财务转型的关键突破口；杭州人工智能学会常务秘书长陈志强通过《DeepSeek+Office赋能财会提升》课程，演示AI工具与办公系统的协同创新，助力财务人员实现效率跃升；浙江工商大学人工智能学院教授诸葛斌在《人工智能Deepseek及其操作实战》中，带领学员完成从模型部署到业务优化的全流程演练，强化实操能力。标杆参访实践，洞见产业变革理论研讨与实地考察相结合是本次研讨会的特色亮点：阿里巴巴西溪园区参访中，学员深入党建馆了解数字企业治理经验，并与阿里财务共享中心团队座谈，探讨云财务、业财一体化落地策略；宇树科技机器人展厅内，四足机器人动态演示引发对“智能装备+管理会计”跨界融合的联想，财务专家与企业技术负责人就成本管控、研发投入效益分析展开对话；萧山机器人小镇的互动体验环节，学员通过操控工业机器人、体验智能产线，直观感受智能制造对供应链财务管理的颠覆性影响。数智赋能创新，拓展管理视野本次数智化管理会计创新研讨会在热烈的学术交流氛围中顺利举行。与会代表们通过深入研讨与交流，对数智化时代管理会计的发展有了更为清晰的认识。未来，企业将在数智化浪潮中积极探索，不断创新，以管理会计的升级推动企业整体竞争力的提升，共同开启财务管理的新篇章。与会共识指出，在数智化浪潮加速席卷的当下，企业需以管理会计升级为核心驱动力，通过数据赋能、技术创新与流程重构，构建更具敏捷性、前瞻性的财务管理体系。智潮奔涌，使命在肩在数字经济与实体经济深度融合的浪潮中，中税网集团将始终以“以客户为中心，以智能科技为驱动，持续为客户创造价值”的战略指导思想，持续深化数智化财税服务创新。中税网集团将与时代同频，与创新同行，在数智化转型的星辰大海中，书写管理会计赋能企业发展的新篇章！同时，中税网也将积极响应国家政策号召，加强与业界各方的合作与交流，共同促进我国财税教育事业的繁荣发展!中税网点击下图，开创AI驱动财税治理的新范式</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2026-04-25T07:55:31Z</dcterms:created>
  <dcterms:modified xsi:type="dcterms:W3CDTF">2026-04-25T07:55:31Z</dcterms:modified>
</cp:coreProperties>
</file>

<file path=docProps/custom.xml><?xml version="1.0" encoding="utf-8"?>
<Properties xmlns="http://schemas.openxmlformats.org/officeDocument/2006/custom-properties" xmlns:vt="http://schemas.openxmlformats.org/officeDocument/2006/docPropsVTypes"/>
</file>