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摘要"/>
    <w:p>
      <w:pPr>
        <w:pStyle w:val="Heading1"/>
      </w:pPr>
      <w:r>
        <w:rPr>
          <w:rFonts w:hint="eastAsia"/>
        </w:rPr>
        <w:t xml:space="preserve">摘要</w:t>
      </w:r>
    </w:p>
    <w:p>
      <w:pPr>
        <w:pStyle w:val="FirstParagraph"/>
      </w:pPr>
      <w:r>
        <w:rPr>
          <w:rFonts w:hint="eastAsia"/>
        </w:rPr>
        <w:t xml:space="preserve">为深入贯彻国家、省关于教育数字化战略部署，全面落实《嘉兴市推进“人工智能+教育”行动方案（2026—2030年）》要求，进一步提升全市教育系统首席信息官数字化领导力与专业素养，加快推进人工智能与教育教学深度融合，2026年4月8日至10日，2026年度嘉兴市教育系统首席信息官培训班在浙江工商大学继续教育学院顺利举办。全市各县（市、区）教育技术部门负责人、各学校教育信息化分管领导、嘉兴智慧教育联盟讲师团骨干等近60名学员参加培训。开班动员：锚定目标明方向，压实责任启新程4月8日上午，培训班开班仪式在浙江工商大学教工路校区东院报告厅隆重举行。开班仪式上，浙江工商大学继续教育学院副院长何猛致欢迎辞，重点介绍学校发展历程、办学优势及培训服务保障工作。嘉兴市教育局党组成员、副局长王郁春作开班动员讲话。他指出，当前教育数字化已从基础建设阶段迈向深度应用、融合创新的关键时期，嘉兴市立足区域教育发展实际，超前谋划、系统部署，出台人工智能赋能教育专项行动方案，系统部署八大专项行动，推动教育理念、模式与方法变革。同时，他客观分析当前我市教育数字化发展存在的短板，包括区域与校际技术应用不均衡、教师数字素养层次差异明显、人工智能场景化应用不够深入等问题。他强调，首席信息官是推进教育数字化的</w:t>
      </w:r>
      <w:r>
        <w:t xml:space="preserve"> </w:t>
      </w:r>
      <w:r>
        <w:rPr>
          <w:rFonts w:hint="eastAsia"/>
        </w:rPr>
        <w:t xml:space="preserve">“领头雁”“排头兵”，肩负着统筹规划、资源整合、应用推广、安全保障的重要职责。全体学员要提高政治站位，强化责任担当，以此次培训为契机，深学细悟前沿理念，精准掌握实操技能，切实把学习成果转化为推动工作的实际成效，助力嘉兴教育数字化转型走深走实。专家授课：聚焦AI融教育，理论实操双提升本次培训紧扣“人工智能+教育”核心主题，邀请多位省内权威专家开展专题讲座，高校信息科技及人工智能教授、省市教育技术战线领导联袂授课，内容兼具政策高度、理论深度与实践温度。浙江省教育技术中心党总支委员、副主任胡小杰围绕全省教育数字化战略与实践路径，系统解读《浙江省推进“人工智能+教育”行动方案（2025—2029年）》，结合智慧教学场景构建、AI自习室建设、数字化评价改革等典型案例，系统阐述教育数字化转型的实施策略与推进节奏，提出</w:t>
      </w:r>
      <w:r>
        <w:t xml:space="preserve"> </w:t>
      </w:r>
      <w:r>
        <w:rPr>
          <w:rFonts w:hint="eastAsia"/>
        </w:rPr>
        <w:t xml:space="preserve">“不急不等、务实推进、注重实效”的工作思路，为嘉兴市教育数字化工作提供重要参考。浙江工商大学人工智能学院诸葛斌教授带来生成式AI最新技术在教育教学中的实操应用与案例演示。诸葛斌教授以OpenClaw三部曲为主题，生动阐释AI</w:t>
      </w:r>
      <w:r>
        <w:t xml:space="preserve"> </w:t>
      </w:r>
      <w:r>
        <w:rPr>
          <w:rFonts w:hint="eastAsia"/>
        </w:rPr>
        <w:t xml:space="preserve">Agent时代的教育变革与发展趋势，通过案例演示、现场互动等方式，指导学员从人工智能使用者向智能体设计者、部署者转变，提升技术应用与创新设计能力。杭州师范大学信息科学与技术学院副院长周春儿围绕教育CIO能力建设与AI落地实践展开专题授课，立足教育CIO角色定位，系统梳理新时代教育数字化领军人才的四大核心角色与六大关键能力，提出人工智能进校园落地“五步法”，为学员开展统筹规划、组织实施、成效评估提供清晰指引。杭州滨江区教育研究院副院长冯祖扬以“应用为核、四环驱动”为主题，分享区域教师人工智能素养提升的成熟实践，展示基层学校人工智能应用落地的有效路径与典型成果，为嘉兴市系统推进教师AI素养提升、深化课堂教学与学校治理数字化转型提供了宝贵经验与有力借鉴。实地研学：对标先进拓视野，知行合一促践行培训期间，学员们先后前往杭州师范大学附属未来科技城学校（天元公学）、阿里巴巴未来科技城园区开展实地研学。在天元公学，大家现场观摩“天元大脑”智慧校园管理平台，深入了解智慧教学、智慧管理、智慧服务全场景应用体系，沉浸式感受数字化技术对校园运行、教育教学、学生成长的全方位赋能。在阿里巴巴园区，学员们近距离了解阿里云基础设施、通义大模型等前沿技术，学习人工智能在各行业的创新应用，进一步拓宽数字化转型视野，深化对技术赋能教育的认知与思考。左右滑动查看更多本土分享：互学互鉴共成长，一线实践显成效为强化本土经验互鉴，推动区域协同发展，培训班特别设置嘉兴本土实践微分享环节。桐乡市茅盾实验小学常务副校长吴炳发分享未来学校</w:t>
      </w:r>
      <w:r>
        <w:t xml:space="preserve"> </w:t>
      </w:r>
      <w:r>
        <w:rPr>
          <w:rFonts w:hint="eastAsia"/>
        </w:rPr>
        <w:t xml:space="preserve">“实体校+网校”</w:t>
      </w:r>
      <w:r>
        <w:t xml:space="preserve"> </w:t>
      </w:r>
      <w:r>
        <w:rPr>
          <w:rFonts w:hint="eastAsia"/>
        </w:rPr>
        <w:t xml:space="preserve">双轮驱动建设经验，探索线上线下融合教育新模式；海宁市第一初级中学副校长浦银海围绕课堂智能反馈系统应用、人机协同教学实践，介绍提升教师数字素养与课堂教学效率的有效路径；嘉兴市第一幼儿园书记、园长杨晓宇展示人工智能在幼儿游戏化学习、个性化成长评价、园本研修中的创新应用，展现学前教育数字化的生动实践。三位分享者立足本校实际，聚焦痛点难点，分享务实举措，引发学员广泛共鸣与深入交流。左右滑动查看更多结业总结：凝心聚力再出发，数字赋能向未来培训过程中，全体学员严格遵守纪律、认真聆听授课、积极参与研讨，展现出嘉兴教育工作者勤学善思、务实进取的良好风貌。大家围绕教育数字化规划、人工智能场景应用、网络安全保障、数据治理规范等重点问题展开热烈讨论，在思想碰撞中凝聚共识，在交流互鉴中提升能力。4月10日，培训班举行结业仪式，为三位观点报告学员颁发荣誉证书，并为全体学员颁发结业证书。本次培训构建了系统分层、形式丰富、精准实用的课程体系，整合优质专家资源与沉浸式现场教学，辅以严谨规范的培训管理与全方位保障服务，全面提升了嘉兴教育系统CIO队伍的信息化领导力与实践应用能力，为嘉兴深化教育数字化转型、提升“优学在嘉”品牌注入了强劲动能。来源：嘉兴市教育技术与数据中心责编：任</w:t>
      </w:r>
      <w:r>
        <w:t xml:space="preserve">   </w:t>
      </w:r>
      <w:r>
        <w:rPr>
          <w:rFonts w:hint="eastAsia"/>
        </w:rPr>
        <w:t xml:space="preserve">扬</w:t>
      </w:r>
      <w:r>
        <w:t xml:space="preserve">  </w:t>
      </w:r>
      <w:r>
        <w:rPr>
          <w:rFonts w:hint="eastAsia"/>
        </w:rPr>
        <w:t xml:space="preserve">编辑：黄</w:t>
      </w:r>
      <w:r>
        <w:t xml:space="preserve">   </w:t>
      </w:r>
      <w:r>
        <w:rPr>
          <w:rFonts w:hint="eastAsia"/>
        </w:rPr>
        <w:t xml:space="preserve">清初审：周雯、朱轶沛</w:t>
      </w:r>
      <w:r>
        <w:t xml:space="preserve">  </w:t>
      </w:r>
      <w:r>
        <w:rPr>
          <w:rFonts w:hint="eastAsia"/>
        </w:rPr>
        <w:t xml:space="preserve">复审：施维良、郭保林终审：张燕霞喜欢就奖励教育小嘉一个和呗</w:t>
      </w:r>
    </w:p>
    <w:bookmarkEnd w:id="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2026-04-25T07:55:31Z</dcterms:created>
  <dcterms:modified xsi:type="dcterms:W3CDTF">2026-04-25T07:55:31Z</dcterms:modified>
</cp:coreProperties>
</file>

<file path=docProps/custom.xml><?xml version="1.0" encoding="utf-8"?>
<Properties xmlns="http://schemas.openxmlformats.org/officeDocument/2006/custom-properties" xmlns:vt="http://schemas.openxmlformats.org/officeDocument/2006/docPropsVTypes"/>
</file>