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7BB0EA">
      <w:pPr>
        <w:adjustRightInd w:val="0"/>
        <w:snapToGrid w:val="0"/>
        <w:spacing w:after="0" w:line="480" w:lineRule="auto"/>
        <w:jc w:val="both"/>
        <w:rPr>
          <w:rFonts w:ascii="Times New Roman" w:hAnsi="Times New Roman" w:cs="Times New Roman"/>
          <w:b/>
          <w:bCs/>
          <w:sz w:val="24"/>
        </w:rPr>
      </w:pPr>
      <w:r>
        <w:rPr>
          <w:rFonts w:ascii="Times New Roman" w:hAnsi="Times New Roman" w:cs="Times New Roman"/>
          <w:b/>
          <w:bCs/>
          <w:sz w:val="24"/>
        </w:rPr>
        <w:t>Methods</w:t>
      </w:r>
    </w:p>
    <w:p w14:paraId="723EB86A">
      <w:pPr>
        <w:adjustRightInd w:val="0"/>
        <w:snapToGrid w:val="0"/>
        <w:spacing w:after="0" w:line="480" w:lineRule="auto"/>
        <w:jc w:val="both"/>
        <w:rPr>
          <w:rFonts w:ascii="Times New Roman" w:hAnsi="Times New Roman" w:cs="Times New Roman"/>
          <w:sz w:val="24"/>
        </w:rPr>
      </w:pPr>
      <w:r>
        <w:rPr>
          <w:rFonts w:ascii="Times New Roman" w:hAnsi="Times New Roman" w:cs="Times New Roman"/>
          <w:b/>
          <w:bCs/>
          <w:sz w:val="24"/>
        </w:rPr>
        <w:t>Study Population</w:t>
      </w:r>
    </w:p>
    <w:p w14:paraId="6B35B3ED">
      <w:pPr>
        <w:adjustRightInd w:val="0"/>
        <w:snapToGrid w:val="0"/>
        <w:spacing w:after="0" w:line="480" w:lineRule="auto"/>
        <w:ind w:firstLine="480" w:firstLineChars="200"/>
        <w:jc w:val="both"/>
        <w:rPr>
          <w:rFonts w:ascii="Times New Roman" w:hAnsi="Times New Roman" w:cs="Times New Roman"/>
          <w:sz w:val="24"/>
        </w:rPr>
      </w:pPr>
      <w:bookmarkStart w:id="0" w:name="OLE_LINK11"/>
      <w:r>
        <w:rPr>
          <w:rFonts w:hint="eastAsia" w:ascii="Times New Roman" w:hAnsi="Times New Roman" w:cs="Times New Roman"/>
          <w:sz w:val="24"/>
        </w:rPr>
        <w:t>This study included participants from two large prospective population-based cohorts: the UKB and the CKB.</w:t>
      </w:r>
      <w:r>
        <w:rPr>
          <w:rFonts w:hint="eastAsia"/>
        </w:rPr>
        <w:t xml:space="preserve"> </w:t>
      </w:r>
      <w:r>
        <w:rPr>
          <w:rFonts w:hint="eastAsia" w:ascii="Times New Roman" w:hAnsi="Times New Roman" w:cs="Times New Roman"/>
          <w:sz w:val="24"/>
        </w:rPr>
        <w:t>UKB recruited</w:t>
      </w:r>
      <w:r>
        <w:rPr>
          <w:rFonts w:ascii="Times New Roman" w:hAnsi="Times New Roman" w:cs="Times New Roman"/>
          <w:sz w:val="24"/>
        </w:rPr>
        <w:t xml:space="preserve"> </w:t>
      </w:r>
      <w:r>
        <w:rPr>
          <w:rFonts w:hint="eastAsia" w:ascii="Times New Roman" w:hAnsi="Times New Roman" w:cs="Times New Roman"/>
          <w:sz w:val="24"/>
        </w:rPr>
        <w:t xml:space="preserve">more than </w:t>
      </w:r>
      <w:r>
        <w:rPr>
          <w:rFonts w:ascii="Times New Roman" w:hAnsi="Times New Roman" w:cs="Times New Roman"/>
          <w:sz w:val="24"/>
        </w:rPr>
        <w:t>50</w:t>
      </w:r>
      <w:r>
        <w:rPr>
          <w:rFonts w:hint="eastAsia" w:ascii="Times New Roman" w:hAnsi="Times New Roman" w:cs="Times New Roman"/>
          <w:sz w:val="24"/>
        </w:rPr>
        <w:t>2,356</w:t>
      </w:r>
      <w:r>
        <w:rPr>
          <w:rFonts w:ascii="Times New Roman" w:hAnsi="Times New Roman" w:cs="Times New Roman"/>
          <w:sz w:val="24"/>
        </w:rPr>
        <w:t xml:space="preserve"> adults aged 37-73 years between 2006 and 2010 </w:t>
      </w:r>
      <w:r>
        <w:rPr>
          <w:rFonts w:hint="eastAsia" w:ascii="Times New Roman" w:hAnsi="Times New Roman" w:cs="Times New Roman"/>
          <w:sz w:val="24"/>
        </w:rPr>
        <w:t>from</w:t>
      </w:r>
      <w:r>
        <w:rPr>
          <w:rFonts w:ascii="Times New Roman" w:hAnsi="Times New Roman" w:cs="Times New Roman"/>
          <w:sz w:val="24"/>
        </w:rPr>
        <w:t xml:space="preserve"> 22 assessment centres across </w:t>
      </w:r>
      <w:r>
        <w:rPr>
          <w:rFonts w:hint="eastAsia" w:ascii="Times New Roman" w:hAnsi="Times New Roman" w:cs="Times New Roman"/>
          <w:sz w:val="24"/>
        </w:rPr>
        <w:t>England, Scotland, and Wales</w:t>
      </w:r>
      <w:r>
        <w:rPr>
          <w:rFonts w:ascii="Times New Roman" w:hAnsi="Times New Roman" w:cs="Times New Roman"/>
          <w:sz w:val="24"/>
        </w:rPr>
        <w:t xml:space="preserve">. At baseline, participants completed touchscreen and nurse-led questionnaires, underwent physical measurements, and provided blood samples for genetic and biomarker assays. </w:t>
      </w:r>
      <w:r>
        <w:rPr>
          <w:rFonts w:hint="eastAsia" w:ascii="Times New Roman" w:hAnsi="Times New Roman" w:cs="Times New Roman"/>
          <w:sz w:val="24"/>
        </w:rPr>
        <w:t>Longitudinal follow-up in UKB is conducted through linkage to electronic health records, including hospital inpatient data</w:t>
      </w:r>
      <w:r>
        <w:rPr>
          <w:rFonts w:ascii="Times New Roman" w:hAnsi="Times New Roman" w:cs="Times New Roman"/>
          <w:sz w:val="24"/>
        </w:rPr>
        <w:t xml:space="preserve"> (ICD-10), death registries and primary care data.</w:t>
      </w:r>
    </w:p>
    <w:p w14:paraId="0644859C">
      <w:pPr>
        <w:adjustRightInd w:val="0"/>
        <w:snapToGrid w:val="0"/>
        <w:spacing w:after="0" w:line="480" w:lineRule="auto"/>
        <w:ind w:firstLine="480" w:firstLineChars="200"/>
        <w:jc w:val="both"/>
        <w:rPr>
          <w:rFonts w:ascii="Times New Roman" w:hAnsi="Times New Roman" w:cs="Times New Roman"/>
          <w:sz w:val="24"/>
        </w:rPr>
      </w:pPr>
      <w:r>
        <w:rPr>
          <w:rFonts w:ascii="Times New Roman" w:hAnsi="Times New Roman" w:cs="Times New Roman"/>
          <w:sz w:val="24"/>
        </w:rPr>
        <w:t xml:space="preserve">CKB recruited more than 512,000 adults aged 30–79 years between 2004 and 2008 from 10 geographically diverse areas of China (five urban and five rural). </w:t>
      </w:r>
      <w:r>
        <w:rPr>
          <w:rFonts w:hint="eastAsia" w:ascii="Times New Roman" w:hAnsi="Times New Roman" w:cs="Times New Roman"/>
          <w:sz w:val="24"/>
        </w:rPr>
        <w:t>At local assessment centres, trained health workers administered a laptop-based questionnaire, performed physical measurements, and collected blood samples for long-term storage and on-site testing. Follow-up for disease outcomes in CKB was achieved through linkage to death and disease registries and to health insurance records, with events centrally processed and coded according to the ICD-10.</w:t>
      </w:r>
    </w:p>
    <w:p w14:paraId="0DC6648D">
      <w:pPr>
        <w:adjustRightInd w:val="0"/>
        <w:snapToGrid w:val="0"/>
        <w:spacing w:after="0" w:line="480" w:lineRule="auto"/>
        <w:ind w:firstLine="480" w:firstLineChars="200"/>
        <w:jc w:val="both"/>
        <w:rPr>
          <w:rFonts w:ascii="Times New Roman" w:hAnsi="Times New Roman" w:cs="Times New Roman"/>
          <w:sz w:val="24"/>
        </w:rPr>
      </w:pPr>
      <w:r>
        <w:rPr>
          <w:rFonts w:ascii="Times New Roman" w:hAnsi="Times New Roman" w:cs="Times New Roman"/>
          <w:sz w:val="24"/>
        </w:rPr>
        <w:t>For each of the 42 chronic conditions, we excluded individuals with missing covariate data, those with prevalent aortic disease at baseline, those lost to follow-up, and those whose aortic disease onset preceded the chronic condition. Final sample sizes for each condition are presented in</w:t>
      </w:r>
      <w:bookmarkStart w:id="1" w:name="_Hlk201650198"/>
      <w:r>
        <w:rPr>
          <w:rFonts w:ascii="Times New Roman" w:hAnsi="Times New Roman" w:cs="Times New Roman"/>
          <w:sz w:val="24"/>
        </w:rPr>
        <w:t xml:space="preserve"> </w:t>
      </w:r>
      <w:bookmarkStart w:id="2" w:name="OLE_LINK74"/>
      <w:r>
        <w:rPr>
          <w:rFonts w:ascii="Times New Roman" w:hAnsi="Times New Roman" w:cs="Times New Roman"/>
          <w:b/>
          <w:bCs/>
          <w:sz w:val="24"/>
        </w:rPr>
        <w:t xml:space="preserve">Supplementary </w:t>
      </w:r>
      <w:bookmarkEnd w:id="1"/>
      <w:r>
        <w:rPr>
          <w:rFonts w:ascii="Times New Roman" w:hAnsi="Times New Roman" w:cs="Times New Roman"/>
          <w:b/>
          <w:bCs/>
          <w:sz w:val="24"/>
        </w:rPr>
        <w:t>Table S1</w:t>
      </w:r>
      <w:bookmarkEnd w:id="2"/>
      <w:r>
        <w:rPr>
          <w:rFonts w:hint="eastAsia" w:ascii="Times New Roman" w:hAnsi="Times New Roman" w:cs="Times New Roman"/>
          <w:b/>
          <w:bCs/>
          <w:sz w:val="24"/>
        </w:rPr>
        <w:t>2</w:t>
      </w:r>
      <w:r>
        <w:rPr>
          <w:rFonts w:ascii="Times New Roman" w:hAnsi="Times New Roman" w:cs="Times New Roman"/>
          <w:sz w:val="24"/>
        </w:rPr>
        <w:t>.</w:t>
      </w:r>
      <w:bookmarkEnd w:id="0"/>
      <w:r>
        <w:rPr>
          <w:rFonts w:hint="eastAsia" w:ascii="Times New Roman" w:hAnsi="Times New Roman" w:cs="Times New Roman"/>
          <w:sz w:val="24"/>
        </w:rPr>
        <w:t xml:space="preserve"> </w:t>
      </w:r>
    </w:p>
    <w:p w14:paraId="0F0C3584">
      <w:pPr>
        <w:adjustRightInd w:val="0"/>
        <w:snapToGrid w:val="0"/>
        <w:spacing w:after="0" w:line="480" w:lineRule="auto"/>
        <w:ind w:firstLine="480" w:firstLineChars="200"/>
        <w:jc w:val="both"/>
        <w:rPr>
          <w:rFonts w:ascii="Times New Roman" w:hAnsi="Times New Roman" w:cs="Times New Roman"/>
          <w:sz w:val="24"/>
        </w:rPr>
      </w:pPr>
      <w:r>
        <w:rPr>
          <w:rFonts w:hint="eastAsia" w:ascii="Times New Roman" w:hAnsi="Times New Roman" w:cs="Times New Roman"/>
          <w:sz w:val="24"/>
        </w:rPr>
        <w:t>All UKB participants provided written informed consent, and UKB received ethical approval from the NHS North West Multicentre Research Ethics Committee. In CKB, all participants provided written informed consent at each survey visit, including consent for access to medical records and long-term storage of biosamples for future medical research. Ethical approval for CKB was obtained from the Oxford Tropical Research Ethics Committee, the Ethical Review Committees of the Chinese Center for Disease Control and Prevention and the Chinese Academy of Medical Sciences, and the Institutional Review Board of Peking University. The Chinese Ministry of Health approved the study at its initiation in 2004 and subsequently approved electronic linkage to health insurance records in 2011.</w:t>
      </w:r>
    </w:p>
    <w:p w14:paraId="626DB695">
      <w:pPr>
        <w:adjustRightInd w:val="0"/>
        <w:snapToGrid w:val="0"/>
        <w:spacing w:after="0" w:line="480" w:lineRule="auto"/>
        <w:jc w:val="both"/>
        <w:rPr>
          <w:rFonts w:ascii="Times New Roman" w:hAnsi="Times New Roman" w:cs="Times New Roman"/>
          <w:sz w:val="24"/>
        </w:rPr>
      </w:pPr>
    </w:p>
    <w:p w14:paraId="260263B9">
      <w:pPr>
        <w:adjustRightInd w:val="0"/>
        <w:snapToGrid w:val="0"/>
        <w:spacing w:after="0" w:line="480" w:lineRule="auto"/>
        <w:jc w:val="both"/>
        <w:rPr>
          <w:rFonts w:ascii="Times New Roman" w:hAnsi="Times New Roman" w:cs="Times New Roman"/>
          <w:b/>
          <w:bCs/>
          <w:sz w:val="24"/>
        </w:rPr>
      </w:pPr>
      <w:bookmarkStart w:id="3" w:name="OLE_LINK100"/>
      <w:bookmarkStart w:id="4" w:name="OLE_LINK22"/>
      <w:r>
        <w:rPr>
          <w:rFonts w:ascii="Times New Roman" w:hAnsi="Times New Roman" w:cs="Times New Roman"/>
          <w:b/>
          <w:bCs/>
          <w:sz w:val="24"/>
        </w:rPr>
        <w:t xml:space="preserve">Assessment of </w:t>
      </w:r>
      <w:r>
        <w:rPr>
          <w:rFonts w:hint="eastAsia" w:ascii="Times New Roman" w:hAnsi="Times New Roman" w:cs="Times New Roman"/>
          <w:b/>
          <w:bCs/>
          <w:sz w:val="24"/>
        </w:rPr>
        <w:t>c</w:t>
      </w:r>
      <w:r>
        <w:rPr>
          <w:rFonts w:ascii="Times New Roman" w:hAnsi="Times New Roman" w:cs="Times New Roman"/>
          <w:b/>
          <w:bCs/>
          <w:sz w:val="24"/>
        </w:rPr>
        <w:t xml:space="preserve">hronic </w:t>
      </w:r>
      <w:r>
        <w:rPr>
          <w:rFonts w:hint="eastAsia" w:ascii="Times New Roman" w:hAnsi="Times New Roman" w:cs="Times New Roman"/>
          <w:b/>
          <w:bCs/>
          <w:sz w:val="24"/>
        </w:rPr>
        <w:t>c</w:t>
      </w:r>
      <w:r>
        <w:rPr>
          <w:rFonts w:ascii="Times New Roman" w:hAnsi="Times New Roman" w:cs="Times New Roman"/>
          <w:b/>
          <w:bCs/>
          <w:sz w:val="24"/>
        </w:rPr>
        <w:t>onditions</w:t>
      </w:r>
    </w:p>
    <w:bookmarkEnd w:id="3"/>
    <w:p w14:paraId="44B871C5">
      <w:pPr>
        <w:adjustRightInd w:val="0"/>
        <w:snapToGrid w:val="0"/>
        <w:spacing w:after="0" w:line="480" w:lineRule="auto"/>
        <w:ind w:firstLine="480" w:firstLineChars="200"/>
        <w:jc w:val="both"/>
        <w:rPr>
          <w:rFonts w:ascii="Times New Roman" w:hAnsi="Times New Roman" w:cs="Times New Roman"/>
          <w:sz w:val="24"/>
        </w:rPr>
      </w:pPr>
      <w:bookmarkStart w:id="5" w:name="OLE_LINK12"/>
      <w:bookmarkStart w:id="6" w:name="OLE_LINK10"/>
      <w:r>
        <w:rPr>
          <w:rFonts w:hint="eastAsia" w:ascii="Times New Roman" w:hAnsi="Times New Roman" w:cs="Times New Roman"/>
          <w:sz w:val="24"/>
        </w:rPr>
        <w:t>Baseline chronic conditions were defined using cohort-specific health data sources and harmonized into a common analytical framework.</w:t>
      </w:r>
      <w:r>
        <w:rPr>
          <w:rFonts w:ascii="Times New Roman" w:hAnsi="Times New Roman" w:cs="Times New Roman"/>
          <w:sz w:val="24"/>
        </w:rPr>
        <w:t xml:space="preserve"> </w:t>
      </w:r>
      <w:r>
        <w:rPr>
          <w:rFonts w:hint="eastAsia" w:ascii="Times New Roman" w:hAnsi="Times New Roman" w:cs="Times New Roman"/>
          <w:sz w:val="24"/>
        </w:rPr>
        <w:t>In the UKB, chronic conditions were ascertained from linked ICD-10 diagnosis records (Field 41270), derived from hospital inpatient data. In the CKB, chronic conditions were identified using the corresponding available baseline and linked health record data sources and mapped to the same disease categories where possible.</w:t>
      </w:r>
      <w:r>
        <w:rPr>
          <w:rFonts w:ascii="Times New Roman" w:hAnsi="Times New Roman" w:cs="Times New Roman"/>
          <w:sz w:val="24"/>
        </w:rPr>
        <w:t xml:space="preserve"> </w:t>
      </w:r>
      <w:bookmarkEnd w:id="5"/>
      <w:r>
        <w:rPr>
          <w:rFonts w:hint="eastAsia" w:ascii="Times New Roman" w:hAnsi="Times New Roman" w:cs="Times New Roman"/>
          <w:sz w:val="24"/>
        </w:rPr>
        <w:t>A total of 42 chronic conditions were selected based on previously published definitions and clinical relevance</w:t>
      </w:r>
      <w:r>
        <w:rPr>
          <w:rFonts w:ascii="Times New Roman" w:hAnsi="Times New Roman" w:cs="Times New Roman"/>
          <w:sz w:val="24"/>
        </w:rPr>
        <w:fldChar w:fldCharType="begin">
          <w:fldData xml:space="preserve">PEVuZE5vdGU+PENpdGU+PEF1dGhvcj5DYWx2aW48L0F1dGhvcj48WWVhcj4yMDIyPC9ZZWFyPjxS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PEVuZE5vdGU+PENpdGU+PEF1dGhvcj5DYWx2aW48L0F1dGhvcj48WWVhcj4yMDIyPC9ZZWFyPjxS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</w:fldData>
        </w:fldChar>
      </w:r>
      <w:r>
        <w:rPr>
          <w:rFonts w:ascii="Times New Roman" w:hAnsi="Times New Roman" w:cs="Times New Roman"/>
          <w:sz w:val="24"/>
        </w:rPr>
        <w:instrText xml:space="preserve"> ADDIN EN.CITE.DATA </w:instrText>
      </w:r>
      <w:r>
        <w:rPr>
          <w:rFonts w:ascii="Times New Roman" w:hAnsi="Times New Roman" w:cs="Times New Roman"/>
          <w:sz w:val="24"/>
        </w:rPr>
        <w:fldChar w:fldCharType="end"/>
      </w:r>
      <w:r>
        <w:rPr>
          <w:rFonts w:ascii="Times New Roman" w:hAnsi="Times New Roman" w:cs="Times New Roman"/>
          <w:sz w:val="24"/>
        </w:rPr>
        <w:fldChar w:fldCharType="separate"/>
      </w:r>
      <w:r>
        <w:rPr>
          <w:rFonts w:ascii="Times New Roman" w:hAnsi="Times New Roman" w:cs="Times New Roman"/>
          <w:sz w:val="24"/>
          <w:vertAlign w:val="superscript"/>
        </w:rPr>
        <w:t>24-26</w:t>
      </w:r>
      <w:r>
        <w:rPr>
          <w:rFonts w:ascii="Times New Roman" w:hAnsi="Times New Roman" w:cs="Times New Roman"/>
          <w:sz w:val="24"/>
        </w:rPr>
        <w:fldChar w:fldCharType="end"/>
      </w:r>
      <w:r>
        <w:rPr>
          <w:rFonts w:ascii="Times New Roman" w:hAnsi="Times New Roman" w:cs="Times New Roman"/>
          <w:sz w:val="24"/>
        </w:rPr>
        <w:t xml:space="preserve">. </w:t>
      </w:r>
      <w:r>
        <w:rPr>
          <w:rFonts w:hint="eastAsia" w:ascii="Times New Roman" w:hAnsi="Times New Roman" w:cs="Times New Roman"/>
          <w:sz w:val="24"/>
        </w:rPr>
        <w:t>Conditions with insufficient case numbers for stable estimation, including hearing loss, dementia, blindness, and learning disabilities, were excluded from the present analysis. The corresponding disease definitions, ICD-10 codes, and cohort-specific sample sizes are provided in</w:t>
      </w:r>
      <w:r>
        <w:rPr>
          <w:rFonts w:ascii="Times New Roman" w:hAnsi="Times New Roman" w:cs="Times New Roman"/>
          <w:sz w:val="24"/>
        </w:rPr>
        <w:t xml:space="preserve"> </w:t>
      </w:r>
      <w:r>
        <w:rPr>
          <w:rFonts w:ascii="Times New Roman" w:hAnsi="Times New Roman" w:cs="Times New Roman"/>
          <w:b/>
          <w:bCs/>
          <w:sz w:val="24"/>
        </w:rPr>
        <w:t>Supplementary Table S1</w:t>
      </w:r>
      <w:r>
        <w:rPr>
          <w:rFonts w:hint="eastAsia" w:ascii="Times New Roman" w:hAnsi="Times New Roman" w:cs="Times New Roman"/>
          <w:b/>
          <w:bCs/>
          <w:sz w:val="24"/>
        </w:rPr>
        <w:t>2</w:t>
      </w:r>
      <w:r>
        <w:rPr>
          <w:rFonts w:ascii="Times New Roman" w:hAnsi="Times New Roman" w:cs="Times New Roman"/>
          <w:sz w:val="24"/>
        </w:rPr>
        <w:t xml:space="preserve">. </w:t>
      </w:r>
      <w:r>
        <w:rPr>
          <w:rFonts w:hint="eastAsia" w:ascii="Times New Roman" w:hAnsi="Times New Roman" w:cs="Times New Roman"/>
          <w:sz w:val="24"/>
        </w:rPr>
        <w:t>Multimorbidity was defined as the coexistence of two or more chronic conditions in the same individual.</w:t>
      </w:r>
    </w:p>
    <w:bookmarkEnd w:id="4"/>
    <w:p w14:paraId="72F169EE">
      <w:pPr>
        <w:adjustRightInd w:val="0"/>
        <w:snapToGrid w:val="0"/>
        <w:spacing w:after="0" w:line="480" w:lineRule="auto"/>
        <w:jc w:val="both"/>
        <w:rPr>
          <w:rFonts w:ascii="Times New Roman" w:hAnsi="Times New Roman" w:cs="Times New Roman"/>
          <w:sz w:val="24"/>
        </w:rPr>
      </w:pPr>
    </w:p>
    <w:bookmarkEnd w:id="6"/>
    <w:p w14:paraId="3279C7B9">
      <w:pPr>
        <w:adjustRightInd w:val="0"/>
        <w:snapToGrid w:val="0"/>
        <w:spacing w:after="0" w:line="480" w:lineRule="auto"/>
        <w:jc w:val="both"/>
        <w:rPr>
          <w:rFonts w:ascii="Times New Roman" w:hAnsi="Times New Roman" w:cs="Times New Roman"/>
          <w:b/>
          <w:bCs/>
          <w:sz w:val="24"/>
        </w:rPr>
      </w:pPr>
      <w:r>
        <w:rPr>
          <w:rFonts w:ascii="Times New Roman" w:hAnsi="Times New Roman" w:cs="Times New Roman"/>
          <w:b/>
          <w:bCs/>
          <w:sz w:val="24"/>
        </w:rPr>
        <w:t xml:space="preserve">Ascertainment of </w:t>
      </w:r>
      <w:r>
        <w:rPr>
          <w:rFonts w:hint="eastAsia" w:ascii="Times New Roman" w:hAnsi="Times New Roman" w:cs="Times New Roman"/>
          <w:b/>
          <w:bCs/>
          <w:sz w:val="24"/>
        </w:rPr>
        <w:t>a</w:t>
      </w:r>
      <w:r>
        <w:rPr>
          <w:rFonts w:ascii="Times New Roman" w:hAnsi="Times New Roman" w:cs="Times New Roman"/>
          <w:b/>
          <w:bCs/>
          <w:sz w:val="24"/>
        </w:rPr>
        <w:t xml:space="preserve">ortic </w:t>
      </w:r>
      <w:r>
        <w:rPr>
          <w:rFonts w:hint="eastAsia" w:ascii="Times New Roman" w:hAnsi="Times New Roman" w:cs="Times New Roman"/>
          <w:b/>
          <w:bCs/>
          <w:sz w:val="24"/>
        </w:rPr>
        <w:t>d</w:t>
      </w:r>
      <w:r>
        <w:rPr>
          <w:rFonts w:ascii="Times New Roman" w:hAnsi="Times New Roman" w:cs="Times New Roman"/>
          <w:b/>
          <w:bCs/>
          <w:sz w:val="24"/>
        </w:rPr>
        <w:t>isease</w:t>
      </w:r>
    </w:p>
    <w:p w14:paraId="04EFCC38">
      <w:pPr>
        <w:adjustRightInd w:val="0"/>
        <w:snapToGrid w:val="0"/>
        <w:spacing w:after="0" w:line="480" w:lineRule="auto"/>
        <w:ind w:firstLine="480" w:firstLineChars="200"/>
        <w:jc w:val="both"/>
        <w:rPr>
          <w:rFonts w:ascii="Times New Roman" w:hAnsi="Times New Roman" w:cs="Times New Roman"/>
          <w:sz w:val="24"/>
        </w:rPr>
      </w:pPr>
      <w:r>
        <w:rPr>
          <w:rFonts w:hint="eastAsia" w:ascii="Times New Roman" w:hAnsi="Times New Roman" w:cs="Times New Roman"/>
          <w:sz w:val="24"/>
        </w:rPr>
        <w:t xml:space="preserve">Incident aortic disease was ascertained in each cohort using linked health record data. In UKB, case identification was based on national death registries (Fields 40001 and 40002), hospital inpatient diagnoses (Fields 41270 and 41280), and aortic-related surgical procedure records (Fields 41272 and 41282; procedure codes listed in </w:t>
      </w:r>
      <w:r>
        <w:rPr>
          <w:rFonts w:hint="eastAsia" w:ascii="Times New Roman" w:hAnsi="Times New Roman" w:cs="Times New Roman"/>
          <w:b/>
          <w:bCs/>
          <w:sz w:val="24"/>
        </w:rPr>
        <w:t>Supplementary Table S13</w:t>
      </w:r>
      <w:r>
        <w:rPr>
          <w:rFonts w:hint="eastAsia" w:ascii="Times New Roman" w:hAnsi="Times New Roman" w:cs="Times New Roman"/>
          <w:sz w:val="24"/>
        </w:rPr>
        <w:t>). In CKB, aortic disease outcomes were identified through linkage to death registries, disease registries, and health insurance-based hospital records, with events centrally processed and coded using ICD-10.</w:t>
      </w:r>
      <w:r>
        <w:rPr>
          <w:rFonts w:ascii="Times New Roman" w:hAnsi="Times New Roman" w:cs="Times New Roman"/>
          <w:sz w:val="24"/>
        </w:rPr>
        <w:t xml:space="preserve"> </w:t>
      </w:r>
    </w:p>
    <w:p w14:paraId="7E7A22CF">
      <w:pPr>
        <w:adjustRightInd w:val="0"/>
        <w:snapToGrid w:val="0"/>
        <w:spacing w:after="0" w:line="480" w:lineRule="auto"/>
        <w:ind w:firstLine="480" w:firstLineChars="200"/>
        <w:jc w:val="both"/>
        <w:rPr>
          <w:rFonts w:ascii="Times New Roman" w:hAnsi="Times New Roman" w:cs="Times New Roman"/>
          <w:sz w:val="24"/>
        </w:rPr>
      </w:pPr>
      <w:r>
        <w:rPr>
          <w:rFonts w:hint="eastAsia" w:ascii="Times New Roman" w:hAnsi="Times New Roman" w:cs="Times New Roman"/>
          <w:sz w:val="24"/>
        </w:rPr>
        <w:t>Aortic disease was defined using ICD-10 codes and included atherosclerosis of aorta (I70.0), aortic dissection (I71.0), thoracic aortic aneurysm with or without rupture (I71.1 and I71.2), abdominal aortic aneurysm with or without rupture (I71.3 and I71.4), other aortic aneurysms (I71.5, I71.6, I71.8, and I71.9), and inflammatory aortic arch syndrome (M31.4). These diagnoses were collectively classified as aortic disease. Because M31.4 was rare, it was included in the overall aortic disease outcome but not analyzed separately in subtype-specific analyses.</w:t>
      </w:r>
    </w:p>
    <w:p w14:paraId="2E964E52">
      <w:pPr>
        <w:adjustRightInd w:val="0"/>
        <w:snapToGrid w:val="0"/>
        <w:spacing w:after="0" w:line="480" w:lineRule="auto"/>
        <w:ind w:firstLine="480" w:firstLineChars="200"/>
        <w:jc w:val="both"/>
        <w:rPr>
          <w:rFonts w:ascii="Times New Roman" w:hAnsi="Times New Roman" w:cs="Times New Roman"/>
          <w:sz w:val="24"/>
        </w:rPr>
      </w:pPr>
      <w:r>
        <w:rPr>
          <w:rFonts w:hint="eastAsia" w:ascii="Times New Roman" w:hAnsi="Times New Roman" w:cs="Times New Roman"/>
          <w:sz w:val="24"/>
        </w:rPr>
        <w:t>Participants were followed from baseline until the first occurrence of incident aortic disease, death, or the end of follow-up, whichever came first.</w:t>
      </w:r>
    </w:p>
    <w:p w14:paraId="574761A6">
      <w:pPr>
        <w:adjustRightInd w:val="0"/>
        <w:snapToGrid w:val="0"/>
        <w:spacing w:after="0" w:line="480" w:lineRule="auto"/>
        <w:jc w:val="both"/>
        <w:rPr>
          <w:rFonts w:ascii="Times New Roman" w:hAnsi="Times New Roman" w:cs="Times New Roman"/>
          <w:sz w:val="24"/>
        </w:rPr>
      </w:pPr>
      <w:bookmarkStart w:id="7" w:name="OLE_LINK93"/>
    </w:p>
    <w:bookmarkEnd w:id="7"/>
    <w:p w14:paraId="687A108B">
      <w:pPr>
        <w:adjustRightInd w:val="0"/>
        <w:snapToGrid w:val="0"/>
        <w:spacing w:after="0" w:line="480" w:lineRule="auto"/>
        <w:jc w:val="both"/>
        <w:rPr>
          <w:rFonts w:ascii="Times New Roman" w:hAnsi="Times New Roman" w:cs="Times New Roman"/>
          <w:b/>
          <w:bCs/>
          <w:sz w:val="24"/>
        </w:rPr>
      </w:pPr>
      <w:bookmarkStart w:id="8" w:name="OLE_LINK87"/>
      <w:r>
        <w:rPr>
          <w:rFonts w:ascii="Times New Roman" w:hAnsi="Times New Roman" w:cs="Times New Roman"/>
          <w:b/>
          <w:bCs/>
          <w:sz w:val="24"/>
        </w:rPr>
        <w:t>Covariates</w:t>
      </w:r>
    </w:p>
    <w:p w14:paraId="2DD98C46">
      <w:pPr>
        <w:adjustRightInd w:val="0"/>
        <w:snapToGrid w:val="0"/>
        <w:spacing w:after="0" w:line="480" w:lineRule="auto"/>
        <w:ind w:firstLine="480" w:firstLineChars="200"/>
        <w:jc w:val="both"/>
        <w:rPr>
          <w:rFonts w:ascii="Times New Roman" w:hAnsi="Times New Roman" w:cs="Times New Roman"/>
          <w:sz w:val="24"/>
        </w:rPr>
      </w:pPr>
      <w:bookmarkStart w:id="9" w:name="OLE_LINK75"/>
      <w:r>
        <w:rPr>
          <w:rFonts w:ascii="Times New Roman" w:hAnsi="Times New Roman" w:cs="Times New Roman"/>
          <w:sz w:val="24"/>
        </w:rPr>
        <w:t xml:space="preserve">Covariates were selected </w:t>
      </w:r>
      <w:r>
        <w:rPr>
          <w:rFonts w:ascii="Times New Roman" w:hAnsi="Times New Roman" w:cs="Times New Roman"/>
          <w:i/>
          <w:iCs/>
          <w:sz w:val="24"/>
        </w:rPr>
        <w:t>a priori</w:t>
      </w:r>
      <w:r>
        <w:rPr>
          <w:rFonts w:ascii="Times New Roman" w:hAnsi="Times New Roman" w:cs="Times New Roman"/>
          <w:sz w:val="24"/>
        </w:rPr>
        <w:t xml:space="preserve"> on the basis of previous epidemiological literature and established knowledge of potential confounders</w:t>
      </w:r>
      <w:r>
        <w:rPr>
          <w:rFonts w:ascii="Times New Roman" w:hAnsi="Times New Roman" w:cs="Times New Roman"/>
          <w:sz w:val="24"/>
        </w:rPr>
        <w:fldChar w:fldCharType="begin">
          <w:fldData xml:space="preserve">PEVuZE5vdGU+PENpdGU+PEF1dGhvcj5Jc3NlbGJhY2hlcjwvQXV0aG9yPjxZZWFyPjIwMjI8L1ll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PEVuZE5vdGU+PENpdGU+PEF1dGhvcj5Jc3NlbGJhY2hlcjwvQXV0aG9yPjxZZWFyPjIwMjI8L1ll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</w:fldData>
        </w:fldChar>
      </w:r>
      <w:r>
        <w:rPr>
          <w:rFonts w:ascii="Times New Roman" w:hAnsi="Times New Roman" w:cs="Times New Roman"/>
          <w:sz w:val="24"/>
        </w:rPr>
        <w:instrText xml:space="preserve"> ADDIN EN.CITE.DATA </w:instrText>
      </w:r>
      <w:r>
        <w:rPr>
          <w:rFonts w:ascii="Times New Roman" w:hAnsi="Times New Roman" w:cs="Times New Roman"/>
          <w:sz w:val="24"/>
        </w:rPr>
        <w:fldChar w:fldCharType="end"/>
      </w:r>
      <w:r>
        <w:rPr>
          <w:rFonts w:ascii="Times New Roman" w:hAnsi="Times New Roman" w:cs="Times New Roman"/>
          <w:sz w:val="24"/>
        </w:rPr>
        <w:fldChar w:fldCharType="separate"/>
      </w:r>
      <w:r>
        <w:rPr>
          <w:rFonts w:ascii="Times New Roman" w:hAnsi="Times New Roman" w:cs="Times New Roman"/>
          <w:sz w:val="24"/>
          <w:vertAlign w:val="superscript"/>
        </w:rPr>
        <w:t>1,21</w:t>
      </w:r>
      <w:r>
        <w:rPr>
          <w:rFonts w:ascii="Times New Roman" w:hAnsi="Times New Roman" w:cs="Times New Roman"/>
          <w:sz w:val="24"/>
        </w:rPr>
        <w:fldChar w:fldCharType="end"/>
      </w:r>
      <w:r>
        <w:rPr>
          <w:rFonts w:ascii="Times New Roman" w:hAnsi="Times New Roman" w:cs="Times New Roman"/>
          <w:sz w:val="24"/>
        </w:rPr>
        <w:t>. In both cohorts, adjustment variables included age, sex, smoking status, body mass index, drinking status, educational level, household income, and physical activity, together with a cohort-specific geographic variable (UKB assessment centre in UKB and region in CKB).</w:t>
      </w:r>
    </w:p>
    <w:p w14:paraId="0DE722DD">
      <w:pPr>
        <w:adjustRightInd w:val="0"/>
        <w:snapToGrid w:val="0"/>
        <w:spacing w:after="0" w:line="480" w:lineRule="auto"/>
        <w:ind w:firstLine="480" w:firstLineChars="200"/>
        <w:jc w:val="both"/>
        <w:rPr>
          <w:rFonts w:ascii="Times New Roman" w:hAnsi="Times New Roman" w:cs="Times New Roman"/>
          <w:sz w:val="24"/>
        </w:rPr>
      </w:pPr>
      <w:r>
        <w:rPr>
          <w:rFonts w:ascii="Times New Roman" w:hAnsi="Times New Roman" w:cs="Times New Roman"/>
          <w:sz w:val="24"/>
        </w:rPr>
        <w:t>In UKB, age was modeled in years, sex was categorized as women or men, and assessment centre was included as a geographic covariate. Ethnicity was additionally adjusted for and classified as White, Black or Black British, Asian or Asian British, Mixed heritage, or Other ethnic groups. Educational attainment was categorized into seven groups: college/university degree, Advanced/Advanced Subsidiary Levels or equivalent, Ordinary Levels/General Certificate of Secondary Education or equivalent, Certificate of Secondary Education or equivalent, National Vocational Qualification/Higher National Diploma/Certificate or equivalent, other professional qualifications, and no formal qualifications. Annual household income was grouped into five categories: &lt;£18,000, £18,000–30,999, £31,000–51,999, £52,000–100,000, and &gt;£100,000. Smoking and drinking status were classified as never, previous, or current.</w:t>
      </w:r>
    </w:p>
    <w:p w14:paraId="77312C0F">
      <w:pPr>
        <w:adjustRightInd w:val="0"/>
        <w:snapToGrid w:val="0"/>
        <w:spacing w:after="0" w:line="480" w:lineRule="auto"/>
        <w:ind w:firstLine="480" w:firstLineChars="200"/>
        <w:jc w:val="both"/>
        <w:rPr>
          <w:rFonts w:ascii="Times New Roman" w:hAnsi="Times New Roman" w:cs="Times New Roman"/>
          <w:sz w:val="24"/>
        </w:rPr>
      </w:pPr>
      <w:r>
        <w:rPr>
          <w:rFonts w:ascii="Times New Roman" w:hAnsi="Times New Roman" w:cs="Times New Roman"/>
          <w:sz w:val="24"/>
        </w:rPr>
        <w:t>In CKB, age was modeled in years, sex was categorized as women or men, and region comprised the 10 recruitment areas (Qingdao, Harbin, Haikou, Suzhou, Liuzhou, Sichuan, Gansu, Henan, Zhejiang, and Hunan). Educational level was categorized as no formal school, primary school, middle school, high school, technical school/college, and university. Annual household income was grouped into six categories: &lt;¥2,500, ¥2,500–4,999, ¥5,000–9,999, ¥10,000–19,999, ¥20,000–34,999, and ≥¥35,000. Smoking status was classified as never smoker, occasional smoker, ex-regular smoker, or current smoker, and drinking status as never regular drinker, ex-regular drinker, occasional or seasonal drinker, monthly drinker, reduced intake, or weekly drinker.</w:t>
      </w:r>
    </w:p>
    <w:p w14:paraId="347428FF">
      <w:pPr>
        <w:adjustRightInd w:val="0"/>
        <w:snapToGrid w:val="0"/>
        <w:spacing w:after="0" w:line="480" w:lineRule="auto"/>
        <w:ind w:firstLine="480" w:firstLineChars="200"/>
        <w:jc w:val="both"/>
        <w:rPr>
          <w:rFonts w:ascii="Times New Roman" w:hAnsi="Times New Roman" w:cs="Times New Roman"/>
          <w:sz w:val="24"/>
        </w:rPr>
      </w:pPr>
      <w:r>
        <w:rPr>
          <w:rFonts w:hint="eastAsia" w:ascii="Times New Roman" w:hAnsi="Times New Roman" w:cs="Times New Roman"/>
          <w:sz w:val="24"/>
        </w:rPr>
        <w:t>In both cohorts, BMI was calculated as weight in kilograms divided by height in meters squared (kg/m</w:t>
      </w:r>
      <w:r>
        <w:rPr>
          <w:rFonts w:hint="eastAsia" w:ascii="Times New Roman" w:hAnsi="Times New Roman" w:cs="Times New Roman"/>
          <w:sz w:val="24"/>
          <w:vertAlign w:val="superscript"/>
        </w:rPr>
        <w:t>2</w:t>
      </w:r>
      <w:r>
        <w:rPr>
          <w:rFonts w:hint="eastAsia" w:ascii="Times New Roman" w:hAnsi="Times New Roman" w:cs="Times New Roman"/>
          <w:sz w:val="24"/>
        </w:rPr>
        <w:t>). Physical activity was quantified using metabolic equivalent of task (MET) values.</w:t>
      </w:r>
    </w:p>
    <w:p w14:paraId="675587B1">
      <w:pPr>
        <w:adjustRightInd w:val="0"/>
        <w:snapToGrid w:val="0"/>
        <w:spacing w:after="0" w:line="480" w:lineRule="auto"/>
        <w:jc w:val="both"/>
        <w:rPr>
          <w:rFonts w:ascii="Times New Roman" w:hAnsi="Times New Roman" w:cs="Times New Roman"/>
          <w:sz w:val="24"/>
        </w:rPr>
      </w:pPr>
    </w:p>
    <w:bookmarkEnd w:id="9"/>
    <w:p w14:paraId="57436EF6">
      <w:pPr>
        <w:adjustRightInd w:val="0"/>
        <w:snapToGrid w:val="0"/>
        <w:spacing w:after="0" w:line="480" w:lineRule="auto"/>
        <w:jc w:val="both"/>
        <w:rPr>
          <w:rFonts w:ascii="Times New Roman" w:hAnsi="Times New Roman" w:cs="Times New Roman"/>
          <w:b/>
          <w:bCs/>
          <w:sz w:val="24"/>
        </w:rPr>
      </w:pPr>
      <w:bookmarkStart w:id="10" w:name="OLE_LINK102"/>
      <w:r>
        <w:rPr>
          <w:rFonts w:ascii="Times New Roman" w:hAnsi="Times New Roman" w:cs="Times New Roman"/>
          <w:b/>
          <w:bCs/>
          <w:sz w:val="24"/>
        </w:rPr>
        <w:t>Statistical analysis</w:t>
      </w:r>
    </w:p>
    <w:p w14:paraId="5104AF27">
      <w:pPr>
        <w:adjustRightInd w:val="0"/>
        <w:snapToGrid w:val="0"/>
        <w:spacing w:after="0" w:line="480" w:lineRule="auto"/>
        <w:ind w:firstLine="480" w:firstLineChars="200"/>
        <w:jc w:val="both"/>
        <w:rPr>
          <w:rFonts w:ascii="Times New Roman" w:hAnsi="Times New Roman" w:cs="Times New Roman"/>
          <w:sz w:val="24"/>
        </w:rPr>
      </w:pPr>
      <w:bookmarkStart w:id="11" w:name="OLE_LINK76"/>
      <w:r>
        <w:rPr>
          <w:rFonts w:ascii="Times New Roman" w:hAnsi="Times New Roman" w:cs="Times New Roman"/>
          <w:sz w:val="24"/>
        </w:rPr>
        <w:t xml:space="preserve">Continuous variables are presented as mean ± standard deviation (SD) and were compared using the independent-samples </w:t>
      </w:r>
      <w:r>
        <w:rPr>
          <w:rFonts w:ascii="Times New Roman" w:hAnsi="Times New Roman" w:cs="Times New Roman"/>
          <w:i/>
          <w:iCs/>
          <w:sz w:val="24"/>
        </w:rPr>
        <w:t>t</w:t>
      </w:r>
      <w:r>
        <w:rPr>
          <w:rFonts w:ascii="Times New Roman" w:hAnsi="Times New Roman" w:cs="Times New Roman"/>
          <w:sz w:val="24"/>
        </w:rPr>
        <w:t xml:space="preserve"> test or the Mann–Whitney </w:t>
      </w:r>
      <w:r>
        <w:rPr>
          <w:rFonts w:ascii="Times New Roman" w:hAnsi="Times New Roman" w:cs="Times New Roman"/>
          <w:i/>
          <w:iCs/>
          <w:sz w:val="24"/>
        </w:rPr>
        <w:t>U</w:t>
      </w:r>
      <w:r>
        <w:rPr>
          <w:rFonts w:ascii="Times New Roman" w:hAnsi="Times New Roman" w:cs="Times New Roman"/>
          <w:sz w:val="24"/>
        </w:rPr>
        <w:t xml:space="preserve"> test, as appropriate. Categorical variables are presented as counts (percentages) and were compared using the Pearson χ² test or Fisher’s exact test, where appropriate.</w:t>
      </w:r>
    </w:p>
    <w:bookmarkEnd w:id="11"/>
    <w:p w14:paraId="3BC05890">
      <w:pPr>
        <w:adjustRightInd w:val="0"/>
        <w:snapToGrid w:val="0"/>
        <w:spacing w:after="0" w:line="480" w:lineRule="auto"/>
        <w:jc w:val="both"/>
        <w:rPr>
          <w:rFonts w:ascii="Times New Roman" w:hAnsi="Times New Roman" w:cs="Times New Roman"/>
          <w:b/>
          <w:bCs/>
          <w:i/>
          <w:iCs/>
          <w:sz w:val="24"/>
        </w:rPr>
      </w:pPr>
      <w:r>
        <w:rPr>
          <w:rFonts w:ascii="Times New Roman" w:hAnsi="Times New Roman" w:cs="Times New Roman"/>
          <w:b/>
          <w:bCs/>
          <w:i/>
          <w:iCs/>
          <w:sz w:val="24"/>
        </w:rPr>
        <w:t xml:space="preserve">Association analyses </w:t>
      </w:r>
      <w:bookmarkStart w:id="12" w:name="OLE_LINK3"/>
      <w:r>
        <w:rPr>
          <w:rFonts w:ascii="Times New Roman" w:hAnsi="Times New Roman" w:cs="Times New Roman"/>
          <w:b/>
          <w:bCs/>
          <w:i/>
          <w:iCs/>
          <w:sz w:val="24"/>
        </w:rPr>
        <w:t>of chronic conditions</w:t>
      </w:r>
      <w:bookmarkEnd w:id="12"/>
      <w:r>
        <w:rPr>
          <w:rFonts w:ascii="Times New Roman" w:hAnsi="Times New Roman" w:cs="Times New Roman"/>
          <w:b/>
          <w:bCs/>
          <w:i/>
          <w:iCs/>
          <w:sz w:val="24"/>
        </w:rPr>
        <w:t xml:space="preserve"> and multimorbidity with </w:t>
      </w:r>
      <w:r>
        <w:rPr>
          <w:rFonts w:hint="eastAsia" w:ascii="Times New Roman" w:hAnsi="Times New Roman" w:cs="Times New Roman"/>
          <w:b/>
          <w:bCs/>
          <w:i/>
          <w:iCs/>
          <w:sz w:val="24"/>
        </w:rPr>
        <w:t>a</w:t>
      </w:r>
      <w:r>
        <w:rPr>
          <w:rFonts w:ascii="Times New Roman" w:hAnsi="Times New Roman" w:cs="Times New Roman"/>
          <w:b/>
          <w:bCs/>
          <w:i/>
          <w:iCs/>
          <w:sz w:val="24"/>
        </w:rPr>
        <w:t xml:space="preserve">ortic </w:t>
      </w:r>
      <w:r>
        <w:rPr>
          <w:rFonts w:hint="eastAsia" w:ascii="Times New Roman" w:hAnsi="Times New Roman" w:cs="Times New Roman"/>
          <w:b/>
          <w:bCs/>
          <w:i/>
          <w:iCs/>
          <w:sz w:val="24"/>
        </w:rPr>
        <w:t>d</w:t>
      </w:r>
      <w:r>
        <w:rPr>
          <w:rFonts w:ascii="Times New Roman" w:hAnsi="Times New Roman" w:cs="Times New Roman"/>
          <w:b/>
          <w:bCs/>
          <w:i/>
          <w:iCs/>
          <w:sz w:val="24"/>
        </w:rPr>
        <w:t>isease</w:t>
      </w:r>
    </w:p>
    <w:p w14:paraId="5D126DA5">
      <w:pPr>
        <w:adjustRightInd w:val="0"/>
        <w:snapToGrid w:val="0"/>
        <w:spacing w:after="0" w:line="480" w:lineRule="auto"/>
        <w:ind w:firstLine="480" w:firstLineChars="200"/>
        <w:jc w:val="both"/>
        <w:rPr>
          <w:rFonts w:ascii="Times New Roman" w:hAnsi="Times New Roman" w:cs="Times New Roman"/>
          <w:sz w:val="24"/>
        </w:rPr>
      </w:pPr>
      <w:bookmarkStart w:id="13" w:name="OLE_LINK86"/>
      <w:r>
        <w:rPr>
          <w:rFonts w:hint="eastAsia" w:ascii="Times New Roman" w:hAnsi="Times New Roman" w:cs="Times New Roman"/>
          <w:sz w:val="24"/>
        </w:rPr>
        <w:t>Associations of baseline chronic conditions with incident aortic disease were evaluated separately in UK Biobank (UKB) and China Kadoorie Biobank (CKB) using Cox proportional hazards regression models. Participants were followed from baseline until the first occurrence of incident aortic disease, death, or the end of follow-up, whichever came first. Hazard ratios (HRs) and 95% confidence intervals (CIs) were estimated for each of the 42 chronic conditions.</w:t>
      </w:r>
    </w:p>
    <w:p w14:paraId="27052AE9">
      <w:pPr>
        <w:adjustRightInd w:val="0"/>
        <w:snapToGrid w:val="0"/>
        <w:spacing w:after="0" w:line="480" w:lineRule="auto"/>
        <w:ind w:firstLine="480" w:firstLineChars="200"/>
        <w:jc w:val="both"/>
        <w:rPr>
          <w:rFonts w:ascii="Times New Roman" w:hAnsi="Times New Roman" w:cs="Times New Roman"/>
          <w:sz w:val="24"/>
        </w:rPr>
      </w:pPr>
      <w:r>
        <w:rPr>
          <w:rFonts w:hint="eastAsia" w:ascii="Times New Roman" w:hAnsi="Times New Roman" w:cs="Times New Roman"/>
          <w:sz w:val="24"/>
        </w:rPr>
        <w:t>In UKB, models were adjusted for age, sex, assessment centre, ethnicity, smoking status, BMI, drinking status, educational level, household income, and physical activity. In CKB, models were adjusted for age, sex, region, smoking status, BMI, drinking status, educational level, household income, and physical activity.</w:t>
      </w:r>
      <w:r>
        <w:rPr>
          <w:rFonts w:ascii="Times New Roman" w:hAnsi="Times New Roman" w:cs="Times New Roman"/>
          <w:sz w:val="24"/>
        </w:rPr>
        <w:t xml:space="preserve"> </w:t>
      </w:r>
      <w:bookmarkEnd w:id="13"/>
    </w:p>
    <w:p w14:paraId="0C4BE991">
      <w:pPr>
        <w:adjustRightInd w:val="0"/>
        <w:snapToGrid w:val="0"/>
        <w:spacing w:after="0" w:line="480" w:lineRule="auto"/>
        <w:ind w:firstLine="480" w:firstLineChars="200"/>
        <w:jc w:val="both"/>
        <w:rPr>
          <w:rFonts w:ascii="Times New Roman" w:hAnsi="Times New Roman" w:cs="Times New Roman"/>
          <w:sz w:val="24"/>
        </w:rPr>
      </w:pPr>
      <w:r>
        <w:rPr>
          <w:rFonts w:ascii="Times New Roman" w:hAnsi="Times New Roman" w:cs="Times New Roman"/>
          <w:sz w:val="24"/>
        </w:rPr>
        <w:t xml:space="preserve">Multicollinearity among the adjusted covariates was evaluated using variance inflation factors (VIFs), and all covariates showed VIF &lt; 2, indicating no evidence of problematic collinearity. To account for multiple testing, </w:t>
      </w:r>
      <w:r>
        <w:rPr>
          <w:rFonts w:ascii="Times New Roman" w:hAnsi="Times New Roman" w:cs="Times New Roman"/>
          <w:i/>
          <w:iCs/>
          <w:sz w:val="24"/>
        </w:rPr>
        <w:t>P</w:t>
      </w:r>
      <w:r>
        <w:rPr>
          <w:rFonts w:ascii="Times New Roman" w:hAnsi="Times New Roman" w:cs="Times New Roman"/>
          <w:sz w:val="24"/>
        </w:rPr>
        <w:t xml:space="preserve"> values were adjusted using the false discovery rate (</w:t>
      </w:r>
      <w:bookmarkStart w:id="14" w:name="OLE_LINK81"/>
      <w:r>
        <w:rPr>
          <w:rFonts w:ascii="Times New Roman" w:hAnsi="Times New Roman" w:cs="Times New Roman"/>
          <w:sz w:val="24"/>
        </w:rPr>
        <w:t>FDR</w:t>
      </w:r>
      <w:bookmarkEnd w:id="14"/>
      <w:r>
        <w:rPr>
          <w:rFonts w:ascii="Times New Roman" w:hAnsi="Times New Roman" w:cs="Times New Roman"/>
          <w:sz w:val="24"/>
        </w:rPr>
        <w:t>) correction method.</w:t>
      </w:r>
    </w:p>
    <w:p w14:paraId="574C06A3">
      <w:pPr>
        <w:adjustRightInd w:val="0"/>
        <w:snapToGrid w:val="0"/>
        <w:spacing w:after="0" w:line="480" w:lineRule="auto"/>
        <w:ind w:firstLine="480" w:firstLineChars="200"/>
        <w:jc w:val="both"/>
        <w:rPr>
          <w:rFonts w:ascii="Times New Roman" w:hAnsi="Times New Roman" w:cs="Times New Roman"/>
          <w:sz w:val="24"/>
        </w:rPr>
      </w:pPr>
      <w:r>
        <w:rPr>
          <w:rFonts w:hint="eastAsia" w:ascii="Times New Roman" w:hAnsi="Times New Roman" w:cs="Times New Roman"/>
          <w:sz w:val="24"/>
        </w:rPr>
        <w:t>Multimorbidity analyses were conducted by modeling the number of chronic conditions as a categorical exposure, using participants with 0 chronic conditions as the reference group. Tests for trend were performed by modeling the number of chronic conditions as a continuous variable.</w:t>
      </w:r>
    </w:p>
    <w:p w14:paraId="1AA78671">
      <w:pPr>
        <w:adjustRightInd w:val="0"/>
        <w:snapToGrid w:val="0"/>
        <w:spacing w:after="0" w:line="480" w:lineRule="auto"/>
        <w:jc w:val="both"/>
        <w:rPr>
          <w:rFonts w:ascii="Times New Roman" w:hAnsi="Times New Roman" w:cs="Times New Roman"/>
          <w:b/>
          <w:bCs/>
          <w:i/>
          <w:iCs/>
          <w:sz w:val="24"/>
        </w:rPr>
      </w:pPr>
      <w:r>
        <w:rPr>
          <w:rFonts w:hint="eastAsia" w:ascii="Times New Roman" w:hAnsi="Times New Roman" w:cs="Times New Roman"/>
          <w:b/>
          <w:bCs/>
          <w:i/>
          <w:iCs/>
          <w:sz w:val="24"/>
        </w:rPr>
        <w:t>Population attributable fraction analyses</w:t>
      </w:r>
    </w:p>
    <w:p w14:paraId="27DD4DC2">
      <w:pPr>
        <w:adjustRightInd w:val="0"/>
        <w:snapToGrid w:val="0"/>
        <w:spacing w:after="0" w:line="480" w:lineRule="auto"/>
        <w:ind w:firstLine="480" w:firstLineChars="200"/>
        <w:jc w:val="both"/>
        <w:rPr>
          <w:rFonts w:ascii="Times New Roman" w:hAnsi="Times New Roman" w:cs="Times New Roman"/>
          <w:sz w:val="24"/>
        </w:rPr>
      </w:pPr>
      <w:bookmarkStart w:id="15" w:name="OLE_LINK71"/>
      <w:r>
        <w:rPr>
          <w:rFonts w:ascii="Times New Roman" w:hAnsi="Times New Roman" w:cs="Times New Roman"/>
          <w:sz w:val="24"/>
        </w:rPr>
        <w:t>To estimate the population-level burden associated with major chronic conditions, population attributable fractions (PAFs) were calculated in UKB only. PAFs were estimated for the leading associated conditions using the Greenland–Drescher method, which extends the Cox proportional hazards model to derive adjusted attributable fractions in cohort studies. The same covariates as in the primary UKB Cox models were included to ensure consistency. Adjusted point estimates and 95% CIs were obtained using delta method-based variance estimation.</w:t>
      </w:r>
    </w:p>
    <w:p w14:paraId="585CFA72">
      <w:pPr>
        <w:adjustRightInd w:val="0"/>
        <w:snapToGrid w:val="0"/>
        <w:spacing w:after="0" w:line="480" w:lineRule="auto"/>
        <w:jc w:val="both"/>
        <w:rPr>
          <w:rFonts w:ascii="Times New Roman" w:hAnsi="Times New Roman" w:cs="Times New Roman"/>
          <w:b/>
          <w:bCs/>
          <w:i/>
          <w:iCs/>
          <w:sz w:val="24"/>
        </w:rPr>
      </w:pPr>
      <w:bookmarkStart w:id="16" w:name="OLE_LINK13"/>
      <w:r>
        <w:rPr>
          <w:rFonts w:ascii="Times New Roman" w:hAnsi="Times New Roman" w:cs="Times New Roman"/>
          <w:b/>
          <w:bCs/>
          <w:i/>
          <w:iCs/>
          <w:sz w:val="24"/>
        </w:rPr>
        <w:t>Stratified and sensitivity analyses</w:t>
      </w:r>
    </w:p>
    <w:p w14:paraId="0200CFB8">
      <w:pPr>
        <w:adjustRightInd w:val="0"/>
        <w:snapToGrid w:val="0"/>
        <w:spacing w:after="0" w:line="480" w:lineRule="auto"/>
        <w:ind w:firstLine="480" w:firstLineChars="200"/>
        <w:jc w:val="both"/>
        <w:rPr>
          <w:rFonts w:ascii="Times New Roman" w:hAnsi="Times New Roman" w:cs="Times New Roman"/>
          <w:sz w:val="24"/>
        </w:rPr>
      </w:pPr>
      <w:bookmarkStart w:id="17" w:name="OLE_LINK96"/>
      <w:bookmarkStart w:id="18" w:name="OLE_LINK83"/>
      <w:r>
        <w:rPr>
          <w:rFonts w:hint="eastAsia" w:ascii="Times New Roman" w:hAnsi="Times New Roman" w:cs="Times New Roman"/>
          <w:sz w:val="24"/>
        </w:rPr>
        <w:t>Sex-stratified analyses were performed in UKB to assess potential effect modification by sex. Multiplicative interaction terms between sex and each chronic condition were included in the corresponding Cox proportional hazards models, and statistical significance was defined as</w:t>
      </w:r>
      <w:r>
        <w:rPr>
          <w:rFonts w:ascii="Times New Roman" w:hAnsi="Times New Roman" w:cs="Times New Roman"/>
          <w:sz w:val="24"/>
        </w:rPr>
        <w:t xml:space="preserve"> </w:t>
      </w:r>
      <w:r>
        <w:rPr>
          <w:rFonts w:ascii="Times New Roman" w:hAnsi="Times New Roman" w:cs="Times New Roman"/>
          <w:i/>
          <w:iCs/>
          <w:sz w:val="24"/>
        </w:rPr>
        <w:t>P</w:t>
      </w:r>
      <w:r>
        <w:rPr>
          <w:rFonts w:ascii="Times New Roman" w:hAnsi="Times New Roman" w:cs="Times New Roman"/>
          <w:sz w:val="24"/>
        </w:rPr>
        <w:t xml:space="preserve"> for interaction &lt; 0.05.</w:t>
      </w:r>
      <w:bookmarkEnd w:id="17"/>
    </w:p>
    <w:bookmarkEnd w:id="18"/>
    <w:p w14:paraId="742D7353">
      <w:pPr>
        <w:adjustRightInd w:val="0"/>
        <w:snapToGrid w:val="0"/>
        <w:spacing w:after="0" w:line="480" w:lineRule="auto"/>
        <w:ind w:firstLine="480" w:firstLineChars="200"/>
        <w:jc w:val="both"/>
        <w:rPr>
          <w:rFonts w:ascii="Times New Roman" w:hAnsi="Times New Roman" w:cs="Times New Roman"/>
          <w:sz w:val="24"/>
        </w:rPr>
      </w:pPr>
      <w:bookmarkStart w:id="19" w:name="OLE_LINK85"/>
      <w:bookmarkStart w:id="20" w:name="OLE_LINK82"/>
      <w:r>
        <w:rPr>
          <w:rFonts w:hint="eastAsia" w:ascii="Times New Roman" w:hAnsi="Times New Roman" w:cs="Times New Roman"/>
          <w:sz w:val="24"/>
        </w:rPr>
        <w:t xml:space="preserve">Sensitivity analyses were conducted to assess the robustness of the findings. First, to account for the competing risk of death, cause-specific hazards models were fitted with incident aortic disease as the event of interest and all-cause mortality as the competing event. These analyses were implemented using the CSC function in the </w:t>
      </w:r>
      <w:r>
        <w:rPr>
          <w:rFonts w:hint="eastAsia" w:ascii="Times New Roman" w:hAnsi="Times New Roman" w:cs="Times New Roman"/>
          <w:i/>
          <w:iCs/>
          <w:sz w:val="24"/>
        </w:rPr>
        <w:t>riskRegression</w:t>
      </w:r>
      <w:r>
        <w:rPr>
          <w:rFonts w:hint="eastAsia" w:ascii="Times New Roman" w:hAnsi="Times New Roman" w:cs="Times New Roman"/>
          <w:sz w:val="24"/>
        </w:rPr>
        <w:t xml:space="preserve"> package in R, which fits cause-specific Cox proportional hazards models for competing-risk data.</w:t>
      </w:r>
      <w:r>
        <w:rPr>
          <w:rFonts w:ascii="Times New Roman" w:hAnsi="Times New Roman" w:cs="Times New Roman"/>
          <w:sz w:val="24"/>
        </w:rPr>
        <w:t xml:space="preserve"> </w:t>
      </w:r>
      <w:bookmarkEnd w:id="19"/>
      <w:r>
        <w:rPr>
          <w:rFonts w:ascii="Times New Roman" w:hAnsi="Times New Roman" w:cs="Times New Roman"/>
          <w:sz w:val="24"/>
        </w:rPr>
        <w:t xml:space="preserve">Second, </w:t>
      </w:r>
      <w:bookmarkEnd w:id="16"/>
      <w:bookmarkEnd w:id="20"/>
      <w:r>
        <w:rPr>
          <w:rFonts w:hint="eastAsia" w:ascii="Times New Roman" w:hAnsi="Times New Roman" w:cs="Times New Roman"/>
          <w:sz w:val="24"/>
        </w:rPr>
        <w:t>because a small number of UKB participants showed discordance between self-reported sex and genetically inferred sex, we repeated the analyses using genetically inferred sex in place of self-reported sex to assess the potential impact of sex misclassification.</w:t>
      </w:r>
    </w:p>
    <w:p w14:paraId="5E0E788B">
      <w:pPr>
        <w:adjustRightInd w:val="0"/>
        <w:snapToGrid w:val="0"/>
        <w:spacing w:after="0" w:line="480" w:lineRule="auto"/>
        <w:ind w:firstLine="480" w:firstLineChars="200"/>
        <w:jc w:val="both"/>
        <w:rPr>
          <w:rFonts w:ascii="Times New Roman" w:hAnsi="Times New Roman" w:cs="Times New Roman"/>
          <w:sz w:val="24"/>
        </w:rPr>
      </w:pPr>
      <w:r>
        <w:rPr>
          <w:rFonts w:ascii="Times New Roman" w:hAnsi="Times New Roman" w:cs="Times New Roman"/>
          <w:sz w:val="24"/>
        </w:rPr>
        <w:t xml:space="preserve">All statistical analyses were conducted in R version 4.5.1 (R Foundation for Statistical Computing, Vienna, Austria). A two-sided </w:t>
      </w:r>
      <w:r>
        <w:rPr>
          <w:rFonts w:ascii="Times New Roman" w:hAnsi="Times New Roman" w:cs="Times New Roman"/>
          <w:i/>
          <w:iCs/>
          <w:sz w:val="24"/>
        </w:rPr>
        <w:t>P</w:t>
      </w:r>
      <w:r>
        <w:rPr>
          <w:rFonts w:hint="eastAsia" w:ascii="Times New Roman" w:hAnsi="Times New Roman" w:cs="Times New Roman"/>
          <w:i/>
          <w:iCs/>
          <w:sz w:val="24"/>
        </w:rPr>
        <w:t xml:space="preserve"> </w:t>
      </w:r>
      <w:r>
        <w:rPr>
          <w:rFonts w:ascii="Times New Roman" w:hAnsi="Times New Roman" w:cs="Times New Roman"/>
          <w:sz w:val="24"/>
        </w:rPr>
        <w:t>&lt;</w:t>
      </w:r>
      <w:r>
        <w:rPr>
          <w:rFonts w:hint="eastAsia" w:ascii="Times New Roman" w:hAnsi="Times New Roman" w:cs="Times New Roman"/>
          <w:sz w:val="24"/>
        </w:rPr>
        <w:t xml:space="preserve"> </w:t>
      </w:r>
      <w:r>
        <w:rPr>
          <w:rFonts w:ascii="Times New Roman" w:hAnsi="Times New Roman" w:cs="Times New Roman"/>
          <w:sz w:val="24"/>
        </w:rPr>
        <w:t>0.05 was considered statistically significant, with FDR correction applied where multiple testing was involved.</w:t>
      </w:r>
      <w:bookmarkStart w:id="21" w:name="_GoBack"/>
      <w:bookmarkEnd w:id="21"/>
    </w:p>
    <w:bookmarkEnd w:id="8"/>
    <w:bookmarkEnd w:id="10"/>
    <w:bookmarkEnd w:id="15"/>
    <w:p w14:paraId="0891ED88"/>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CF16A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2026-04-13T01:21:59Z</dcterms:created>
  <dc:creator>余00</dc:creator>
  <cp:lastModifiedBy>liuwei</cp:lastModifiedBy>
  <dcterms:modified xsi:type="dcterms:W3CDTF">2026-04-13T01:22:23Z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eyJoZGlkIjoiOGYxZGJjNGZhNTg2YmZkZWIzYjM1NzdjMjUxMWI2YWUiLCJ1c2VySWQiOiIyNDUwODU5MDkifQ==</vt:lpwstr>
  </property>
  <property fmtid="{D5CDD505-2E9C-101B-9397-08002B2CF9AE}" pid="4" name="ICV">
    <vt:lpwstr>6BD103BAB22347789AC3E943428911A7_12</vt:lpwstr>
  </property>
</Properties>
</file>