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嘉兴城市建设投资有限公司（5717316301）是我司重要集团客户，有着良好的客情关系。本次申请开通物联网卡用于灯光</w:t>
      </w:r>
      <w:r>
        <w:rPr>
          <w:rFonts w:hint="eastAsia" w:ascii="仿宋" w:hAnsi="仿宋" w:eastAsia="仿宋"/>
          <w:color w:val="auto"/>
          <w:sz w:val="24"/>
          <w:szCs w:val="24"/>
          <w:lang w:val="en-US" w:eastAsia="zh-CN"/>
        </w:rPr>
        <w:t>控制器数据传输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150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申请政策如下：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（1）订购</w:t>
      </w:r>
      <w:r>
        <w:rPr>
          <w:rFonts w:hint="eastAsia" w:ascii="仿宋" w:hAnsi="仿宋" w:eastAsia="仿宋"/>
          <w:sz w:val="24"/>
          <w:szCs w:val="24"/>
        </w:rPr>
        <w:t>CMIOT系统物联卡</w:t>
      </w:r>
      <w:r>
        <w:rPr>
          <w:rFonts w:hint="default" w:ascii="仿宋" w:hAnsi="仿宋" w:eastAsia="仿宋"/>
          <w:sz w:val="24"/>
          <w:szCs w:val="24"/>
          <w:lang w:val="en-US"/>
        </w:rPr>
        <w:t>2022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版</w:t>
      </w:r>
      <w:r>
        <w:rPr>
          <w:rFonts w:hint="eastAsia" w:ascii="仿宋" w:hAnsi="仿宋" w:eastAsia="仿宋"/>
          <w:sz w:val="24"/>
          <w:szCs w:val="24"/>
        </w:rPr>
        <w:t>全国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default" w:ascii="仿宋" w:hAnsi="仿宋" w:eastAsia="仿宋"/>
          <w:sz w:val="24"/>
          <w:szCs w:val="24"/>
          <w:lang w:val="en-US"/>
        </w:rPr>
        <w:t>9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G</w:t>
      </w:r>
      <w:r>
        <w:rPr>
          <w:rFonts w:hint="eastAsia" w:ascii="仿宋" w:hAnsi="仿宋" w:eastAsia="仿宋"/>
          <w:sz w:val="24"/>
          <w:szCs w:val="24"/>
        </w:rPr>
        <w:t>套餐，卡费1元/卡，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预计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订购</w:t>
      </w:r>
      <w:r>
        <w:rPr>
          <w:rFonts w:hint="eastAsia" w:ascii="仿宋" w:hAnsi="仿宋" w:eastAsia="仿宋"/>
          <w:sz w:val="24"/>
          <w:szCs w:val="24"/>
        </w:rPr>
        <w:t>CMIOT系统物联卡</w:t>
      </w:r>
      <w:r>
        <w:rPr>
          <w:rFonts w:hint="default" w:ascii="仿宋" w:hAnsi="仿宋" w:eastAsia="仿宋"/>
          <w:sz w:val="24"/>
          <w:szCs w:val="24"/>
          <w:lang w:val="en-US"/>
        </w:rPr>
        <w:t>2022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版</w:t>
      </w:r>
      <w:r>
        <w:rPr>
          <w:rFonts w:hint="eastAsia" w:ascii="仿宋" w:hAnsi="仿宋" w:eastAsia="仿宋"/>
          <w:sz w:val="24"/>
          <w:szCs w:val="24"/>
        </w:rPr>
        <w:t>全国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default" w:ascii="仿宋" w:hAnsi="仿宋" w:eastAsia="仿宋"/>
          <w:sz w:val="24"/>
          <w:szCs w:val="24"/>
          <w:lang w:val="en-US"/>
        </w:rPr>
        <w:t>15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G</w:t>
      </w:r>
      <w:r>
        <w:rPr>
          <w:rFonts w:hint="eastAsia" w:ascii="仿宋" w:hAnsi="仿宋" w:eastAsia="仿宋"/>
          <w:sz w:val="24"/>
          <w:szCs w:val="24"/>
        </w:rPr>
        <w:t>套餐，卡费1元/卡，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预计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（3）订购</w:t>
      </w:r>
      <w:r>
        <w:rPr>
          <w:rFonts w:hint="eastAsia" w:ascii="仿宋" w:hAnsi="仿宋" w:eastAsia="仿宋"/>
          <w:sz w:val="24"/>
          <w:szCs w:val="24"/>
        </w:rPr>
        <w:t>CMIOT系统物联卡</w:t>
      </w:r>
      <w:r>
        <w:rPr>
          <w:rFonts w:hint="default" w:ascii="仿宋" w:hAnsi="仿宋" w:eastAsia="仿宋"/>
          <w:sz w:val="24"/>
          <w:szCs w:val="24"/>
          <w:lang w:val="en-US"/>
        </w:rPr>
        <w:t>2022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版</w:t>
      </w:r>
      <w:r>
        <w:rPr>
          <w:rFonts w:hint="eastAsia" w:ascii="仿宋" w:hAnsi="仿宋" w:eastAsia="仿宋"/>
          <w:sz w:val="24"/>
          <w:szCs w:val="24"/>
        </w:rPr>
        <w:t>全国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default" w:ascii="仿宋" w:hAnsi="仿宋" w:eastAsia="仿宋"/>
          <w:sz w:val="24"/>
          <w:szCs w:val="24"/>
          <w:lang w:val="en-US"/>
        </w:rPr>
        <w:t>21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G</w:t>
      </w:r>
      <w:r>
        <w:rPr>
          <w:rFonts w:hint="eastAsia" w:ascii="仿宋" w:hAnsi="仿宋" w:eastAsia="仿宋"/>
          <w:sz w:val="24"/>
          <w:szCs w:val="24"/>
        </w:rPr>
        <w:t>套餐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预计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</w:t>
      </w:r>
      <w:r>
        <w:rPr>
          <w:rFonts w:hint="eastAsia" w:ascii="仿宋" w:hAnsi="仿宋" w:eastAsia="仿宋"/>
          <w:sz w:val="24"/>
          <w:szCs w:val="24"/>
          <w:lang w:eastAsia="zh-CN"/>
        </w:rPr>
        <w:t>流量定向限制管控措施：绑定公网专用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APN（</w:t>
      </w:r>
      <w:r>
        <w:rPr>
          <w:rFonts w:hint="eastAsia" w:ascii="仿宋" w:hAnsi="仿宋" w:eastAsia="仿宋"/>
          <w:sz w:val="24"/>
          <w:szCs w:val="24"/>
          <w:lang w:eastAsia="zh-CN"/>
        </w:rPr>
        <w:t>CMMTMJXPCCA.ZJ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  <w:lang w:eastAsia="zh-CN"/>
        </w:rPr>
        <w:t>限制访问IP地址10个以内。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灯光控制器数据采集，</w:t>
      </w:r>
      <w:r>
        <w:rPr>
          <w:rFonts w:hint="eastAsia" w:ascii="仿宋" w:hAnsi="仿宋" w:eastAsia="仿宋"/>
          <w:sz w:val="24"/>
          <w:szCs w:val="24"/>
        </w:rPr>
        <w:t>风险管控等级</w:t>
      </w:r>
      <w:r>
        <w:rPr>
          <w:rFonts w:hint="default" w:ascii="仿宋" w:hAnsi="仿宋" w:eastAsia="仿宋"/>
          <w:sz w:val="24"/>
          <w:szCs w:val="24"/>
          <w:lang w:val="en-US"/>
        </w:rPr>
        <w:t>C1</w:t>
      </w: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低</w:t>
      </w:r>
      <w:r>
        <w:rPr>
          <w:rFonts w:hint="eastAsia" w:ascii="仿宋" w:hAnsi="仿宋" w:eastAsia="仿宋"/>
          <w:sz w:val="24"/>
          <w:szCs w:val="24"/>
        </w:rPr>
        <w:t>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上述优惠适用于嘉兴城市建设投资有限公司。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07A06FC"/>
    <w:rsid w:val="19051621"/>
    <w:rsid w:val="19FE108C"/>
    <w:rsid w:val="216A62C5"/>
    <w:rsid w:val="32310C65"/>
    <w:rsid w:val="360D170F"/>
    <w:rsid w:val="373F0BFE"/>
    <w:rsid w:val="38BF1BD9"/>
    <w:rsid w:val="3A146942"/>
    <w:rsid w:val="3F615FDF"/>
    <w:rsid w:val="3FDB30E6"/>
    <w:rsid w:val="40042C85"/>
    <w:rsid w:val="456C754D"/>
    <w:rsid w:val="47702137"/>
    <w:rsid w:val="4A280161"/>
    <w:rsid w:val="4D871326"/>
    <w:rsid w:val="5AAD634D"/>
    <w:rsid w:val="5AC62C21"/>
    <w:rsid w:val="62A50D92"/>
    <w:rsid w:val="6A96458E"/>
    <w:rsid w:val="6EDB2E63"/>
    <w:rsid w:val="716E1D75"/>
    <w:rsid w:val="73B71BF1"/>
    <w:rsid w:val="73D019E7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2024-04-17T11:29:20Z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