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360" w:lineRule="auto"/>
        <w:ind w:right="-108"/>
        <w:jc w:val="left"/>
        <w:textAlignment w:val="auto"/>
        <w:rPr>
          <w:rFonts w:hint="default" w:ascii="仿宋" w:hAnsi="仿宋" w:eastAsia="仿宋" w:cs="仿宋"/>
          <w:b w:val="0"/>
          <w:kern w:val="0"/>
          <w:sz w:val="24"/>
          <w:szCs w:val="24"/>
          <w:highlight w:val="none"/>
          <w:lang w:val="en-US" w:eastAsia="zh-CN" w:bidi="ar"/>
        </w:rPr>
      </w:pPr>
      <w:r>
        <w:rPr>
          <w:rFonts w:hint="eastAsia" w:ascii="仿宋" w:hAnsi="仿宋" w:eastAsia="仿宋" w:cs="仿宋"/>
          <w:b w:val="0"/>
          <w:kern w:val="0"/>
          <w:sz w:val="24"/>
          <w:szCs w:val="24"/>
          <w:highlight w:val="none"/>
          <w:lang w:val="en-US" w:eastAsia="zh-CN" w:bidi="ar"/>
        </w:rPr>
        <w:t>省公司：</w:t>
      </w:r>
    </w:p>
    <w:p>
      <w:pPr>
        <w:pStyle w:val="3"/>
        <w:keepNext w:val="0"/>
        <w:keepLines w:val="0"/>
        <w:pageBreakBefore w:val="0"/>
        <w:widowControl w:val="0"/>
        <w:kinsoku/>
        <w:wordWrap/>
        <w:overflowPunct/>
        <w:topLinePunct w:val="0"/>
        <w:autoSpaceDE/>
        <w:autoSpaceDN/>
        <w:bidi w:val="0"/>
        <w:adjustRightInd/>
        <w:snapToGrid/>
        <w:spacing w:line="360" w:lineRule="auto"/>
        <w:ind w:right="-108" w:firstLine="480" w:firstLineChars="200"/>
        <w:jc w:val="left"/>
        <w:textAlignment w:val="auto"/>
        <w:rPr>
          <w:rFonts w:hint="eastAsia" w:ascii="仿宋" w:hAnsi="仿宋" w:eastAsia="仿宋" w:cs="仿宋"/>
          <w:b w:val="0"/>
          <w:kern w:val="0"/>
          <w:sz w:val="24"/>
          <w:szCs w:val="24"/>
          <w:highlight w:val="yellow"/>
          <w:lang w:val="en-US" w:eastAsia="zh-CN" w:bidi="ar"/>
        </w:rPr>
      </w:pPr>
      <w:r>
        <w:rPr>
          <w:rFonts w:hint="eastAsia" w:ascii="仿宋" w:hAnsi="仿宋" w:eastAsia="仿宋" w:cs="仿宋"/>
          <w:b w:val="0"/>
          <w:kern w:val="0"/>
          <w:sz w:val="24"/>
          <w:szCs w:val="24"/>
          <w:highlight w:val="none"/>
          <w:lang w:val="en-US" w:eastAsia="zh-CN" w:bidi="ar"/>
        </w:rPr>
        <w:t>根据《</w:t>
      </w:r>
      <w:bookmarkStart w:id="0" w:name="subjectCw"/>
      <w:r>
        <w:rPr>
          <w:rFonts w:hint="eastAsia" w:ascii="仿宋" w:hAnsi="仿宋" w:eastAsia="仿宋" w:cs="仿宋"/>
          <w:b w:val="0"/>
          <w:kern w:val="0"/>
          <w:sz w:val="24"/>
          <w:szCs w:val="24"/>
          <w:highlight w:val="none"/>
          <w:lang w:val="en-US" w:eastAsia="zh-CN" w:bidi="ar"/>
        </w:rPr>
        <w:t>关于发布2024年视联网等三项业务成本激励核定细则的通知</w:t>
      </w:r>
      <w:bookmarkEnd w:id="0"/>
      <w:r>
        <w:rPr>
          <w:rFonts w:hint="eastAsia" w:ascii="仿宋" w:hAnsi="仿宋" w:eastAsia="仿宋" w:cs="仿宋"/>
          <w:b w:val="0"/>
          <w:kern w:val="0"/>
          <w:sz w:val="24"/>
          <w:szCs w:val="24"/>
          <w:highlight w:val="none"/>
          <w:lang w:val="en-US" w:eastAsia="zh-CN" w:bidi="ar"/>
        </w:rPr>
        <w:t>》要求，嘉兴公司2024年已完成2G迁转目标105万户，前期已经申请北京充乐时代科技有限公司使用补贴落地卡+模组业务15万套，目前实际订购5万套，现申请将剩余10万套优惠替换给深圳市宇高微科技有限公司使用。</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b w:val="0"/>
          <w:kern w:val="0"/>
          <w:sz w:val="24"/>
          <w:szCs w:val="24"/>
          <w:lang w:val="en-US" w:eastAsia="zh-CN" w:bidi="ar"/>
        </w:rPr>
      </w:pPr>
      <w:r>
        <w:rPr>
          <w:rFonts w:hint="eastAsia" w:ascii="仿宋" w:hAnsi="仿宋" w:eastAsia="仿宋" w:cs="仿宋"/>
          <w:kern w:val="0"/>
          <w:sz w:val="24"/>
          <w:szCs w:val="24"/>
          <w:lang w:val="en-US" w:eastAsia="zh-CN" w:bidi="ar"/>
        </w:rPr>
        <w:t>深圳市宇高微科技有限公司是一家专注于科技推广和应用服务的公司。目前该客户推广销售GPS定位器，需使用到</w:t>
      </w:r>
      <w:r>
        <w:rPr>
          <w:rFonts w:hint="eastAsia" w:ascii="仿宋" w:hAnsi="仿宋" w:eastAsia="仿宋" w:cs="仿宋"/>
          <w:sz w:val="24"/>
          <w:szCs w:val="24"/>
        </w:rPr>
        <w:t>单网单功能模组</w:t>
      </w:r>
      <w:r>
        <w:rPr>
          <w:rFonts w:hint="eastAsia" w:ascii="仿宋" w:hAnsi="仿宋" w:eastAsia="仿宋" w:cs="仿宋"/>
          <w:kern w:val="0"/>
          <w:sz w:val="24"/>
          <w:szCs w:val="24"/>
          <w:lang w:val="en-US" w:eastAsia="zh-CN" w:bidi="ar"/>
        </w:rPr>
        <w:t>。拟对该客户申请“物联卡+模组”优惠。</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default" w:ascii="仿宋" w:hAnsi="仿宋" w:eastAsia="仿宋" w:cs="仿宋"/>
          <w:sz w:val="24"/>
          <w:szCs w:val="24"/>
          <w:lang w:val="en-US"/>
        </w:rPr>
      </w:pPr>
      <w:r>
        <w:rPr>
          <w:rFonts w:hint="eastAsia" w:ascii="仿宋" w:hAnsi="仿宋" w:eastAsia="仿宋" w:cs="仿宋"/>
          <w:kern w:val="0"/>
          <w:sz w:val="24"/>
          <w:szCs w:val="24"/>
          <w:lang w:val="en-US" w:eastAsia="zh-CN" w:bidi="ar"/>
        </w:rPr>
        <w:t>一、客户单位</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深圳市宇高微科技有限公司。</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二、活动时间</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2024年10月到2027年9月。</w:t>
      </w: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优惠内容</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360" w:lineRule="auto"/>
        <w:ind w:right="0" w:rightChars="0" w:firstLine="480" w:firstLineChars="200"/>
        <w:jc w:val="both"/>
        <w:textAlignment w:val="baseline"/>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（一）物联卡部分：使用13位物联网专用码号，申请开通CMIOT系统CAT.1通用1元30M包月套餐2.4折</w:t>
      </w:r>
      <w:r>
        <w:rPr>
          <w:rFonts w:hint="eastAsia" w:ascii="仿宋" w:hAnsi="仿宋" w:eastAsia="仿宋" w:cs="仿宋"/>
          <w:sz w:val="24"/>
          <w:szCs w:val="24"/>
          <w:lang w:val="en-US" w:eastAsia="zh-CN"/>
        </w:rPr>
        <w:t>(底线2.4折)</w:t>
      </w:r>
      <w:r>
        <w:rPr>
          <w:rFonts w:hint="eastAsia" w:ascii="仿宋" w:hAnsi="仿宋" w:eastAsia="仿宋" w:cs="仿宋"/>
          <w:kern w:val="0"/>
          <w:sz w:val="24"/>
          <w:szCs w:val="24"/>
          <w:lang w:val="en-US" w:eastAsia="zh-CN" w:bidi="ar"/>
        </w:rPr>
        <w:t>，优惠通过直接折扣实现。本次申请10万张，使用</w:t>
      </w:r>
      <w:r>
        <w:rPr>
          <w:rFonts w:hint="eastAsia" w:ascii="仿宋" w:hAnsi="仿宋" w:eastAsia="仿宋" w:cs="仿宋"/>
          <w:sz w:val="24"/>
          <w:szCs w:val="24"/>
          <w:lang w:val="en-US" w:eastAsia="zh-CN"/>
        </w:rPr>
        <w:t>MS0卡</w:t>
      </w:r>
      <w:r>
        <w:rPr>
          <w:rFonts w:hint="eastAsia" w:ascii="仿宋" w:hAnsi="仿宋" w:eastAsia="仿宋" w:cs="仿宋"/>
          <w:kern w:val="0"/>
          <w:sz w:val="24"/>
          <w:szCs w:val="24"/>
          <w:lang w:val="en-US" w:eastAsia="zh-CN" w:bidi="ar"/>
        </w:rPr>
        <w:t>，卡费申请减免。客户签约3年，预付费，开通流量共享，测试期6个月、沉默期6个月。省外业务占比约5%，不叠加出省限制，开通机卡绑定、人联网限制、限额管控。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default" w:ascii="仿宋" w:hAnsi="仿宋" w:eastAsia="仿宋" w:cs="仿宋"/>
          <w:kern w:val="0"/>
          <w:sz w:val="24"/>
          <w:szCs w:val="24"/>
          <w:highlight w:val="none"/>
          <w:lang w:val="en-US" w:eastAsia="zh-CN" w:bidi="ar"/>
        </w:rPr>
      </w:pPr>
      <w:r>
        <w:rPr>
          <w:rFonts w:hint="eastAsia" w:ascii="仿宋" w:hAnsi="仿宋" w:eastAsia="仿宋" w:cs="仿宋"/>
          <w:kern w:val="0"/>
          <w:sz w:val="24"/>
          <w:szCs w:val="24"/>
          <w:highlight w:val="none"/>
          <w:lang w:val="en-US" w:eastAsia="zh-CN" w:bidi="ar"/>
        </w:rPr>
        <w:t>（二）模组部分：使用307R-DL，模组入围价格6.52元（原入围价11.52元，符合《浙政企通</w:t>
      </w:r>
      <w:r>
        <w:rPr>
          <w:rFonts w:hint="default" w:ascii="仿宋" w:hAnsi="仿宋" w:eastAsia="仿宋" w:cs="仿宋"/>
          <w:kern w:val="0"/>
          <w:sz w:val="24"/>
          <w:szCs w:val="24"/>
          <w:highlight w:val="none"/>
          <w:lang w:val="en-US" w:eastAsia="zh-CN" w:bidi="ar"/>
        </w:rPr>
        <w:t>[2024]104</w:t>
      </w:r>
      <w:r>
        <w:rPr>
          <w:rFonts w:hint="eastAsia" w:ascii="仿宋" w:hAnsi="仿宋" w:eastAsia="仿宋" w:cs="仿宋"/>
          <w:kern w:val="0"/>
          <w:sz w:val="24"/>
          <w:szCs w:val="24"/>
          <w:highlight w:val="none"/>
          <w:lang w:val="en-US" w:eastAsia="zh-CN" w:bidi="ar"/>
        </w:rPr>
        <w:t>号》文中物联网2G业务迁转激励标准，入围价核减5元）,通过订购物联网单网单功能模组增值服务产品（Cat1）-40元/个，叠加优惠至金额0.06元，协议期内采购1</w:t>
      </w:r>
      <w:bookmarkStart w:id="1" w:name="_GoBack"/>
      <w:bookmarkEnd w:id="1"/>
      <w:r>
        <w:rPr>
          <w:rFonts w:hint="eastAsia" w:ascii="仿宋" w:hAnsi="仿宋" w:eastAsia="仿宋" w:cs="仿宋"/>
          <w:kern w:val="0"/>
          <w:sz w:val="24"/>
          <w:szCs w:val="24"/>
          <w:highlight w:val="none"/>
          <w:lang w:val="en-US" w:eastAsia="zh-CN" w:bidi="ar"/>
        </w:rPr>
        <w:t>0万片。</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kern w:val="0"/>
          <w:sz w:val="24"/>
          <w:szCs w:val="24"/>
          <w:highlight w:val="none"/>
          <w:lang w:val="en-US" w:eastAsia="zh-CN" w:bidi="ar"/>
        </w:rPr>
      </w:pPr>
      <w:r>
        <w:rPr>
          <w:rFonts w:hint="eastAsia" w:ascii="仿宋" w:hAnsi="仿宋" w:eastAsia="仿宋" w:cs="仿宋"/>
          <w:kern w:val="0"/>
          <w:sz w:val="24"/>
          <w:szCs w:val="24"/>
          <w:highlight w:val="none"/>
          <w:lang w:val="en-US" w:eastAsia="zh-CN" w:bidi="ar"/>
        </w:rPr>
        <w:t>综上，流量产品收入为8.64元，模组+卡单套总收入8.7元，模组成本占收比为78.18%。</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360" w:lineRule="auto"/>
        <w:ind w:right="0" w:rightChars="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四、风险管控</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应用场景为GPS定位器产品，管控分类C6。对物联网卡号码关注集团物联网卡经营情况，如出现欠费情况当月缴清，对涉及号码及时做好风险把控工作，若有欠费不缴纳，则给予全量停机管理。所开卡全量叠加机卡绑定、人联网限制、限额管控，</w:t>
      </w:r>
      <w:r>
        <w:rPr>
          <w:rFonts w:hint="eastAsia" w:ascii="仿宋" w:hAnsi="仿宋" w:eastAsia="仿宋"/>
          <w:sz w:val="24"/>
          <w:szCs w:val="24"/>
          <w:lang w:val="en-US" w:eastAsia="zh-CN"/>
        </w:rPr>
        <w:t>受理号码为物联网号码</w:t>
      </w:r>
      <w:r>
        <w:rPr>
          <w:rFonts w:hint="eastAsia" w:ascii="仿宋" w:hAnsi="仿宋" w:eastAsia="仿宋" w:cs="仿宋"/>
          <w:kern w:val="0"/>
          <w:sz w:val="24"/>
          <w:szCs w:val="24"/>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r>
        <w:rPr>
          <w:rFonts w:hint="eastAsia" w:ascii="仿宋" w:hAnsi="仿宋" w:eastAsia="仿宋" w:cs="仿宋"/>
          <w:kern w:val="0"/>
          <w:sz w:val="24"/>
          <w:szCs w:val="24"/>
          <w:lang w:val="en-US" w:eastAsia="zh-CN" w:bidi="ar"/>
        </w:rPr>
        <w:t>以上请示妥否，请批示。</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360" w:lineRule="auto"/>
        <w:ind w:left="0" w:right="0" w:firstLine="480" w:firstLineChars="200"/>
        <w:jc w:val="both"/>
        <w:textAlignment w:val="baseline"/>
        <w:rPr>
          <w:rFonts w:hint="eastAsia" w:ascii="仿宋" w:hAnsi="仿宋" w:eastAsia="仿宋" w:cs="仿宋"/>
          <w:sz w:val="24"/>
          <w:szCs w:val="24"/>
        </w:rPr>
      </w:pPr>
    </w:p>
    <w:p>
      <w:pPr>
        <w:pStyle w:val="4"/>
        <w:keepNext w:val="0"/>
        <w:keepLines w:val="0"/>
        <w:widowControl/>
        <w:numPr>
          <w:ilvl w:val="0"/>
          <w:numId w:val="0"/>
        </w:numPr>
        <w:suppressLineNumbers w:val="0"/>
        <w:spacing w:before="0" w:beforeAutospacing="0" w:after="0" w:afterAutospacing="0" w:line="360" w:lineRule="auto"/>
        <w:ind w:leftChars="0" w:right="0" w:rightChars="0"/>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snapToGrid/>
        <w:spacing w:line="360" w:lineRule="auto"/>
        <w:ind w:firstLine="420" w:firstLineChars="0"/>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体">
    <w:altName w:val="仿宋"/>
    <w:panose1 w:val="02010600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F4F67"/>
    <w:multiLevelType w:val="multilevel"/>
    <w:tmpl w:val="6E3F4F67"/>
    <w:lvl w:ilvl="0" w:tentative="0">
      <w:start w:val="3"/>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01AB"/>
    <w:rsid w:val="021F298B"/>
    <w:rsid w:val="07F2353D"/>
    <w:rsid w:val="09FD1B72"/>
    <w:rsid w:val="0B5A402C"/>
    <w:rsid w:val="0DF9367B"/>
    <w:rsid w:val="0ED72A4F"/>
    <w:rsid w:val="115C628C"/>
    <w:rsid w:val="1168209E"/>
    <w:rsid w:val="12995C93"/>
    <w:rsid w:val="14F27B1A"/>
    <w:rsid w:val="161426C7"/>
    <w:rsid w:val="165556AF"/>
    <w:rsid w:val="166603FD"/>
    <w:rsid w:val="16C23AE4"/>
    <w:rsid w:val="17554358"/>
    <w:rsid w:val="175B6261"/>
    <w:rsid w:val="1ACD7E07"/>
    <w:rsid w:val="1CBA632D"/>
    <w:rsid w:val="206E322C"/>
    <w:rsid w:val="217B0E7A"/>
    <w:rsid w:val="21C734F7"/>
    <w:rsid w:val="220D7F1E"/>
    <w:rsid w:val="24B506C7"/>
    <w:rsid w:val="28152353"/>
    <w:rsid w:val="28B00ECC"/>
    <w:rsid w:val="28E02D20"/>
    <w:rsid w:val="2B71276F"/>
    <w:rsid w:val="2C2B4A06"/>
    <w:rsid w:val="2E6C29B7"/>
    <w:rsid w:val="2FEF867C"/>
    <w:rsid w:val="316E2FA4"/>
    <w:rsid w:val="32BB64C9"/>
    <w:rsid w:val="339C35B9"/>
    <w:rsid w:val="34083F6D"/>
    <w:rsid w:val="350D7F97"/>
    <w:rsid w:val="358643DE"/>
    <w:rsid w:val="35D963E6"/>
    <w:rsid w:val="374A1173"/>
    <w:rsid w:val="380F4AD6"/>
    <w:rsid w:val="38CF2BC1"/>
    <w:rsid w:val="39341E00"/>
    <w:rsid w:val="39464EA9"/>
    <w:rsid w:val="3AF41CF4"/>
    <w:rsid w:val="3B4A7A51"/>
    <w:rsid w:val="3DB77472"/>
    <w:rsid w:val="3E004AC7"/>
    <w:rsid w:val="3E0F1049"/>
    <w:rsid w:val="3E6C3DF6"/>
    <w:rsid w:val="3E876234"/>
    <w:rsid w:val="41CE0F85"/>
    <w:rsid w:val="429E5DDA"/>
    <w:rsid w:val="44647CC4"/>
    <w:rsid w:val="44891899"/>
    <w:rsid w:val="44AC00B9"/>
    <w:rsid w:val="478607E6"/>
    <w:rsid w:val="47E82E09"/>
    <w:rsid w:val="485B1AC3"/>
    <w:rsid w:val="494707C7"/>
    <w:rsid w:val="49AE1470"/>
    <w:rsid w:val="4A5F55B2"/>
    <w:rsid w:val="4D627302"/>
    <w:rsid w:val="4E057E10"/>
    <w:rsid w:val="4FC61FF0"/>
    <w:rsid w:val="525748A7"/>
    <w:rsid w:val="52CD22E8"/>
    <w:rsid w:val="52F421A7"/>
    <w:rsid w:val="562767E7"/>
    <w:rsid w:val="571376E9"/>
    <w:rsid w:val="57DD786B"/>
    <w:rsid w:val="58966BB9"/>
    <w:rsid w:val="597823D6"/>
    <w:rsid w:val="597D42DF"/>
    <w:rsid w:val="59B85D7E"/>
    <w:rsid w:val="59FB29AF"/>
    <w:rsid w:val="5A311CFE"/>
    <w:rsid w:val="5A4F0656"/>
    <w:rsid w:val="5D404C72"/>
    <w:rsid w:val="5DB15F43"/>
    <w:rsid w:val="5DCFAD1F"/>
    <w:rsid w:val="5DEE0585"/>
    <w:rsid w:val="5E4D7446"/>
    <w:rsid w:val="5E6921F3"/>
    <w:rsid w:val="5F857143"/>
    <w:rsid w:val="5FD00D62"/>
    <w:rsid w:val="64E73A17"/>
    <w:rsid w:val="64E7729A"/>
    <w:rsid w:val="651A0D6E"/>
    <w:rsid w:val="68BC0EE4"/>
    <w:rsid w:val="69B226F6"/>
    <w:rsid w:val="6A7C5642"/>
    <w:rsid w:val="6B104D22"/>
    <w:rsid w:val="6B731F8E"/>
    <w:rsid w:val="6B7F70E9"/>
    <w:rsid w:val="6D687923"/>
    <w:rsid w:val="6D924563"/>
    <w:rsid w:val="6F9B1553"/>
    <w:rsid w:val="6FD93890"/>
    <w:rsid w:val="6FFC4A4C"/>
    <w:rsid w:val="701E76F2"/>
    <w:rsid w:val="70D97BAF"/>
    <w:rsid w:val="713A694F"/>
    <w:rsid w:val="72D366E5"/>
    <w:rsid w:val="731A4C66"/>
    <w:rsid w:val="73DA7A3E"/>
    <w:rsid w:val="73E372DC"/>
    <w:rsid w:val="740D76F2"/>
    <w:rsid w:val="74404A49"/>
    <w:rsid w:val="75D60362"/>
    <w:rsid w:val="797C6EDF"/>
    <w:rsid w:val="7A295478"/>
    <w:rsid w:val="7BD173B3"/>
    <w:rsid w:val="7BD712BD"/>
    <w:rsid w:val="7D156C1A"/>
    <w:rsid w:val="A7FF6236"/>
    <w:rsid w:val="ADF1130E"/>
    <w:rsid w:val="DB9B8BF1"/>
    <w:rsid w:val="DBD7FB83"/>
    <w:rsid w:val="DFDEB8DB"/>
    <w:rsid w:val="F5D7B780"/>
    <w:rsid w:val="FD7EDF41"/>
    <w:rsid w:val="FFF38F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line="600" w:lineRule="exact"/>
    </w:pPr>
    <w:rPr>
      <w:rFonts w:eastAsia="仿宋体"/>
      <w:b/>
      <w:sz w:val="32"/>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15"/>
    <w:basedOn w:val="6"/>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2023-11-13T01:07:00Z</dcterms:created>
  <dc:creator>Administrator</dc:creator>
  <cp:lastModifiedBy>nijiaming</cp:lastModifiedBy>
  <dcterms:modified xsi:type="dcterms:W3CDTF">2024-10-21T01:36:23Z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16B0D60748BA45509B681DF92B53A1EE</vt:lpwstr>
  </property>
</Properties>
</file>