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浙江嘉恒科创有限公司（5717302218）是嘉兴</w:t>
      </w:r>
      <w:r>
        <w:rPr>
          <w:rFonts w:hint="eastAsia" w:ascii="仿宋" w:hAnsi="仿宋" w:eastAsia="仿宋"/>
          <w:sz w:val="24"/>
          <w:szCs w:val="24"/>
          <w:lang w:eastAsia="zh-CN"/>
        </w:rPr>
        <w:t>的民营单位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是我司重要集团客户，有着良好的客情关系。本次申请开通物联网卡用于</w:t>
      </w:r>
      <w:r>
        <w:rPr>
          <w:rFonts w:hint="eastAsia" w:ascii="仿宋" w:hAnsi="仿宋" w:eastAsia="仿宋"/>
          <w:sz w:val="24"/>
          <w:szCs w:val="24"/>
        </w:rPr>
        <w:t>充电桩数据传输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及视频监控，拟对该集团申请物联网卡优惠，特此申请：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5000</w:t>
      </w:r>
      <w:r>
        <w:rPr>
          <w:rFonts w:hint="eastAsia" w:ascii="仿宋" w:hAnsi="仿宋" w:eastAsia="仿宋"/>
          <w:sz w:val="24"/>
          <w:szCs w:val="24"/>
        </w:rPr>
        <w:t>户新增业务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</w:t>
      </w:r>
      <w:r>
        <w:rPr>
          <w:rFonts w:hint="eastAsia" w:ascii="仿宋" w:hAnsi="仿宋" w:eastAsia="仿宋"/>
          <w:sz w:val="24"/>
          <w:szCs w:val="24"/>
        </w:rPr>
        <w:t>CMIOT系统Cat.1通用流量4元100MB套餐，业务优惠至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25%</w:t>
      </w:r>
      <w:r>
        <w:rPr>
          <w:rFonts w:hint="eastAsia" w:ascii="仿宋" w:hAnsi="仿宋" w:eastAsia="仿宋"/>
          <w:sz w:val="24"/>
          <w:szCs w:val="24"/>
        </w:rPr>
        <w:t>（即1元/月），使用MP1卡，卡费额外支付1元/卡，开通流量共享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银行账户托收</w:t>
      </w:r>
      <w:r>
        <w:rPr>
          <w:rFonts w:hint="eastAsia" w:ascii="仿宋" w:hAnsi="仿宋" w:eastAsia="仿宋"/>
          <w:sz w:val="24"/>
          <w:szCs w:val="24"/>
        </w:rPr>
        <w:t>。开通号码测试期3个月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不开通沉默期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机卡绑定、人联网黑名单、区域限制、限额管控。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5000</w:t>
      </w:r>
      <w:r>
        <w:rPr>
          <w:rFonts w:hint="eastAsia" w:ascii="仿宋" w:hAnsi="仿宋" w:eastAsia="仿宋"/>
          <w:sz w:val="24"/>
          <w:szCs w:val="24"/>
        </w:rPr>
        <w:t>户新增业务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</w:t>
      </w:r>
      <w:r>
        <w:rPr>
          <w:rFonts w:hint="eastAsia" w:ascii="仿宋" w:hAnsi="仿宋" w:eastAsia="仿宋"/>
          <w:sz w:val="24"/>
          <w:szCs w:val="24"/>
        </w:rPr>
        <w:t>CMIOT系统2022版高速定向流量9元2GB套餐，业务优惠至70%（即6.3元/月），使用MP1卡，卡费额外支付1元/卡，开通流量共享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银行账户托收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CMIOTECHARGENET.ZJ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不开号码通测试期，开通沉默期3个月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</w:t>
      </w:r>
      <w:r>
        <w:rPr>
          <w:rFonts w:hint="eastAsia" w:ascii="仿宋" w:hAnsi="仿宋" w:eastAsia="仿宋"/>
          <w:sz w:val="24"/>
          <w:szCs w:val="24"/>
        </w:rPr>
        <w:t>户新增业务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</w:t>
      </w:r>
      <w:r>
        <w:rPr>
          <w:rFonts w:hint="eastAsia" w:ascii="仿宋" w:hAnsi="仿宋" w:eastAsia="仿宋"/>
          <w:sz w:val="24"/>
          <w:szCs w:val="24"/>
        </w:rPr>
        <w:t>CMIOT系统2022版高速6元/G定向流量池套餐，业务优惠至8.33%（即0.5元/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G</w:t>
      </w:r>
      <w:r>
        <w:rPr>
          <w:rFonts w:hint="eastAsia" w:ascii="仿宋" w:hAnsi="仿宋" w:eastAsia="仿宋"/>
          <w:sz w:val="24"/>
          <w:szCs w:val="24"/>
        </w:rPr>
        <w:t>），使用MP1卡，卡费额外支付1元/卡，功能费收取1元/卡/月，不打折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1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银行账户托收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CMMTMJXPCCA</w:t>
      </w:r>
      <w:bookmarkStart w:id="0" w:name="OLE_LINK1"/>
      <w:r>
        <w:rPr>
          <w:rFonts w:hint="eastAsia" w:ascii="仿宋" w:hAnsi="仿宋" w:eastAsia="仿宋"/>
          <w:sz w:val="24"/>
          <w:szCs w:val="24"/>
          <w:lang w:val="en-US" w:eastAsia="zh-CN"/>
        </w:rPr>
        <w:t>.ZJ</w:t>
      </w:r>
      <w:bookmarkEnd w:id="0"/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个以内。开通号码测试期1个月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叠加出省限制，开通区域限制、机卡绑定、人联网黑名单。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应用场景为充电桩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视频监控类设备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（中风险）</w:t>
      </w:r>
      <w:r>
        <w:rPr>
          <w:rFonts w:hint="eastAsia" w:ascii="仿宋" w:hAnsi="仿宋" w:eastAsia="仿宋"/>
          <w:sz w:val="24"/>
          <w:szCs w:val="24"/>
          <w:lang w:eastAsia="zh-CN"/>
        </w:rPr>
        <w:t>、C1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物联网卡经营情况，如出现欠费情况当月缴清，对涉及号码及时做好风险把控工作，若有欠费不缴纳，则给予全量停机管理。上述优惠适用于浙江嘉恒科创有限公司</w:t>
      </w:r>
      <w:bookmarkStart w:id="1" w:name="_GoBack"/>
      <w:bookmarkEnd w:id="1"/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1001213"/>
    <w:rsid w:val="03644EF8"/>
    <w:rsid w:val="09207443"/>
    <w:rsid w:val="097911AA"/>
    <w:rsid w:val="123660CF"/>
    <w:rsid w:val="13344314"/>
    <w:rsid w:val="16FD64B6"/>
    <w:rsid w:val="17102367"/>
    <w:rsid w:val="19FE108C"/>
    <w:rsid w:val="216A62C5"/>
    <w:rsid w:val="24E11D2C"/>
    <w:rsid w:val="26CA3CB1"/>
    <w:rsid w:val="28407BD4"/>
    <w:rsid w:val="299D175A"/>
    <w:rsid w:val="2AEA2D75"/>
    <w:rsid w:val="330744F6"/>
    <w:rsid w:val="33BB4AF9"/>
    <w:rsid w:val="3530029E"/>
    <w:rsid w:val="355C7A77"/>
    <w:rsid w:val="38837925"/>
    <w:rsid w:val="38BF1BD9"/>
    <w:rsid w:val="393002D4"/>
    <w:rsid w:val="3A1B040A"/>
    <w:rsid w:val="3BCF7FC1"/>
    <w:rsid w:val="3C423E81"/>
    <w:rsid w:val="3DFE09C1"/>
    <w:rsid w:val="3E7F631B"/>
    <w:rsid w:val="3EDF5800"/>
    <w:rsid w:val="3FDB30E6"/>
    <w:rsid w:val="40042C85"/>
    <w:rsid w:val="43BD02A6"/>
    <w:rsid w:val="45CA0F6B"/>
    <w:rsid w:val="47702137"/>
    <w:rsid w:val="48836256"/>
    <w:rsid w:val="4A280161"/>
    <w:rsid w:val="4F986630"/>
    <w:rsid w:val="502C47FE"/>
    <w:rsid w:val="53462EAB"/>
    <w:rsid w:val="56147150"/>
    <w:rsid w:val="572C792E"/>
    <w:rsid w:val="580E2E04"/>
    <w:rsid w:val="5AAD634D"/>
    <w:rsid w:val="5AFF3DF8"/>
    <w:rsid w:val="5B0C0B2B"/>
    <w:rsid w:val="5F4B28ED"/>
    <w:rsid w:val="5FD7B3E4"/>
    <w:rsid w:val="61465CE3"/>
    <w:rsid w:val="62A50D92"/>
    <w:rsid w:val="65BF2803"/>
    <w:rsid w:val="661C5DCB"/>
    <w:rsid w:val="66EFE332"/>
    <w:rsid w:val="67FB47C2"/>
    <w:rsid w:val="6A6B1B24"/>
    <w:rsid w:val="6ACC3E1D"/>
    <w:rsid w:val="6AE9BCA1"/>
    <w:rsid w:val="6B2F42A1"/>
    <w:rsid w:val="6DEA9DE6"/>
    <w:rsid w:val="6EB6680B"/>
    <w:rsid w:val="6ED68B2C"/>
    <w:rsid w:val="6FF87691"/>
    <w:rsid w:val="712437CA"/>
    <w:rsid w:val="716E1D75"/>
    <w:rsid w:val="72420DAB"/>
    <w:rsid w:val="72AC6D1E"/>
    <w:rsid w:val="73B71BF1"/>
    <w:rsid w:val="73E7379B"/>
    <w:rsid w:val="754F6184"/>
    <w:rsid w:val="76C73CDB"/>
    <w:rsid w:val="76D145A7"/>
    <w:rsid w:val="77F823BC"/>
    <w:rsid w:val="78EF6AEF"/>
    <w:rsid w:val="79FA6F33"/>
    <w:rsid w:val="7B3FCF8F"/>
    <w:rsid w:val="7BFBF197"/>
    <w:rsid w:val="7CE77C2C"/>
    <w:rsid w:val="7DFF6C35"/>
    <w:rsid w:val="7E2D9077"/>
    <w:rsid w:val="7EEF13CB"/>
    <w:rsid w:val="7FB55AD8"/>
    <w:rsid w:val="7FBC7E91"/>
    <w:rsid w:val="7FF72E47"/>
    <w:rsid w:val="7FFE668A"/>
    <w:rsid w:val="83AF1C94"/>
    <w:rsid w:val="A5FBEF91"/>
    <w:rsid w:val="ADFFB171"/>
    <w:rsid w:val="DBF5E19B"/>
    <w:rsid w:val="DE5FE4CA"/>
    <w:rsid w:val="DEBF0929"/>
    <w:rsid w:val="DFFB2C1A"/>
    <w:rsid w:val="E7765A59"/>
    <w:rsid w:val="EFF7B475"/>
    <w:rsid w:val="F6F95AAF"/>
    <w:rsid w:val="FA3ECB47"/>
    <w:rsid w:val="FBFF4578"/>
    <w:rsid w:val="FCF90AF5"/>
    <w:rsid w:val="FD97D67C"/>
    <w:rsid w:val="FDAAE819"/>
    <w:rsid w:val="FE7B02E9"/>
    <w:rsid w:val="FE9791E4"/>
    <w:rsid w:val="FF7D93EC"/>
    <w:rsid w:val="FFFE8884"/>
    <w:rsid w:val="FFFE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75</Words>
  <Characters>433</Characters>
  <Lines>3</Lines>
  <Paragraphs>1</Paragraphs>
  <TotalTime>1</TotalTime>
  <ScaleCrop>false</ScaleCrop>
  <LinksUpToDate>false</LinksUpToDate>
  <CharactersWithSpaces>507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2025-02-26T13:58:37Z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598237F4273142B8ACD649982CA071CD</vt:lpwstr>
  </property>
</Properties>
</file>