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嘉嘉禾签〔2025〕25号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963"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Eo8VLXAAAACAEAAA8AAAAAAAAAAQAgAAAAIgAAAGRycy9kb3ducmV2LnhtbFBLAQIUABQAAAAI&#10;AIdO4kCIsSQYYAIAAMkEAAAOAAAAAAAAAAEAIAAAACYBAABkcnMvZTJvRG9jLnhtbFBLBQYAAAAA&#10;BgAGAFkBAAD4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964"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FiODThsCAAAv&#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批示意见：同意(2025-03-26 11:36:11)</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王英杰</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13957390829</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王英杰</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罗骏</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嘉禾公司关于武汉饮冰信息技术有限公司物联网卡加模组优惠的请示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965"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DlCbNQ&#10;WgIAAL8EAAAOAAAAAAAAAAEAIAAAACMBAABkcnMvZTJvRG9jLnhtbFBLBQYAAAAABgAGAFkBAADv&#10;BQ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武汉饮冰信息技术有限公司是一家以物联网技术为核心，专注于通信产品和技术开发，并取得国家认可的管理通信资质的科技企业。主要用于智控开关、POS机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武汉饮冰信息技术有限公司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2025年3月到2030年2月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本次针对新增100万套卡+模组业务，申请政策如下：</w:t>
      </w:r>
    </w:p>
    <w:p>
      <w:pPr>
        <w:pStyle w:val="16"/>
        <w:numPr>
          <w:ilvl w:val="0"/>
          <w:numId w:val="2"/>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政策一</w:t>
      </w:r>
    </w:p>
    <w:p>
      <w:pPr>
        <w:pStyle w:val="16"/>
        <w:numPr>
          <w:numId w:val="0"/>
        </w:numPr>
        <w:spacing w:line="600" w:lineRule="exact"/>
        <w:ind w:left="0" w:leftChars="0" w:firstLine="0" w:firstLineChars="0"/>
        <w:rPr>
          <w:rFonts w:ascii="仿宋_GB2312" w:hAnsi="Times New Roman" w:eastAsia="仿宋_GB2312" w:cs="Times New Roman"/>
          <w:b w:val="0"/>
          <w:sz w:val="32"/>
          <w:szCs w:val="32"/>
        </w:rPr>
      </w:pPr>
      <w:r>
        <w:rPr>
          <w:rFonts w:ascii="仿宋_GB2312" w:eastAsia="仿宋_GB2312" w:cs="Times New Roman"/>
          <w:b w:val="0"/>
          <w:sz w:val="32"/>
          <w:szCs w:val="32"/>
          <w:woUserID w:val="1"/>
        </w:rPr>
        <w:t xml:space="preserve">     1.</w:t>
      </w:r>
      <w:r>
        <w:rPr>
          <w:rFonts w:ascii="仿宋_GB2312" w:hAnsi="Times New Roman" w:eastAsia="仿宋_GB2312" w:cs="Times New Roman"/>
          <w:b w:val="0"/>
          <w:sz w:val="32"/>
          <w:szCs w:val="32"/>
        </w:rPr>
        <w:t>物联卡部分：使用13位物联网专用码号，申请开通CMIOT系统Cat.1定向0.6元30M包月套餐，业务优惠至2.4折，优惠通过直接折扣实现。客户签约1年，流量收入1.73元。本次使用消费级卡，卡费申请减免，不开通流量共享，不开通测试期、沉默期。省外业务占比约5%，不叠加出省限制，开通机卡绑定、人联网限制、区域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w:t>
      </w:r>
      <w:r>
        <w:rPr>
          <w:rFonts w:ascii="仿宋_GB2312" w:eastAsia="仿宋_GB2312" w:cs="Times New Roman"/>
          <w:b w:val="0"/>
          <w:sz w:val="32"/>
          <w:szCs w:val="32"/>
          <w:woUserID w:val="1"/>
        </w:rPr>
        <w:t xml:space="preserve">. </w:t>
      </w:r>
      <w:r>
        <w:rPr>
          <w:rFonts w:ascii="仿宋_GB2312" w:hAnsi="Times New Roman" w:eastAsia="仿宋_GB2312" w:cs="Times New Roman"/>
          <w:b w:val="0"/>
          <w:sz w:val="32"/>
          <w:szCs w:val="32"/>
        </w:rPr>
        <w:t>模组部分：使用利尔达NT26E YMA-PQ-B01模组，模组入围价格16.51元,通过订购物联网单网单功能模组增值服务产品（Cat1）-40元/个，叠加优惠至16.28元，优惠通过促销减免实现。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综上，流量收入1.73元，模组收入16.28元，合计卡+模组单套收入18.01元，模组成本占收比为92.05%。</w:t>
      </w:r>
    </w:p>
    <w:p>
      <w:pPr>
        <w:pStyle w:val="16"/>
        <w:numPr>
          <w:ilvl w:val="0"/>
          <w:numId w:val="2"/>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政策二</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w:t>
      </w:r>
      <w:r>
        <w:rPr>
          <w:rFonts w:ascii="仿宋_GB2312" w:eastAsia="仿宋_GB2312" w:cs="Times New Roman"/>
          <w:b w:val="0"/>
          <w:sz w:val="32"/>
          <w:szCs w:val="32"/>
          <w:woUserID w:val="1"/>
        </w:rPr>
        <w:t>.</w:t>
      </w:r>
      <w:r>
        <w:rPr>
          <w:rFonts w:ascii="仿宋_GB2312" w:hAnsi="Times New Roman" w:eastAsia="仿宋_GB2312" w:cs="Times New Roman"/>
          <w:b w:val="0"/>
          <w:sz w:val="32"/>
          <w:szCs w:val="32"/>
        </w:rPr>
        <w:t>物联卡部分：使用13位物联网专用码号，申请开通CMIOT系统Cat.1通用1元30M包月套餐，业务优惠至2.4折，优惠通过直接折扣实现。客户签约5年，流量收入14.4元。本次使用消费级卡，卡费申请减免，开通流量共享，开通测试期3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w:t>
      </w:r>
      <w:r>
        <w:rPr>
          <w:rFonts w:ascii="仿宋_GB2312" w:eastAsia="仿宋_GB2312" w:cs="Times New Roman"/>
          <w:b w:val="0"/>
          <w:sz w:val="32"/>
          <w:szCs w:val="32"/>
          <w:woUserID w:val="1"/>
        </w:rPr>
        <w:t xml:space="preserve">. </w:t>
      </w:r>
      <w:r>
        <w:rPr>
          <w:rFonts w:ascii="仿宋_GB2312" w:hAnsi="Times New Roman" w:eastAsia="仿宋_GB2312" w:cs="Times New Roman"/>
          <w:b w:val="0"/>
          <w:sz w:val="32"/>
          <w:szCs w:val="32"/>
        </w:rPr>
        <w:t>模组部分：使用利尔达NT26E YMA-PQ-B01模组，模组入围价格16.51元,通过订购物联网单网单功能模组增值服务产品（Cat1）-40元/个，叠加优惠至3.61元，优惠通过促销减免实现。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综上，流量收入14.4元，模组收入3.61元，合计卡+模组单套收入18.01元，模组成本占收比为94.83%。</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智能家电（智控开关）、金融支付（POS机），管控分类C2（中风险）、C6（中风险）。对物联网卡号码关注每月出账情况，并且关注集团物联网卡经营情况，如出现欠费情况当月缴清，对涉及号码及时做好风险把控工作，若有欠费不缴纳，则给予全量停机管理。所开卡全量叠加机卡绑定、人联网限制、限额管控，受理号码为物联网号码。</w:t>
      </w:r>
    </w:p>
    <w:p>
      <w:pPr>
        <w:pStyle w:val="16"/>
        <w:spacing w:line="600" w:lineRule="exact"/>
        <w:ind w:left="0" w:leftChars="0" w:firstLine="0" w:firstLineChars="0"/>
        <w:rPr>
          <w:rFonts w:ascii="仿宋_GB2312" w:hAnsi="Times New Roman" w:eastAsia="仿宋_GB2312" w:cs="Times New Roman"/>
          <w:b w:val="0"/>
          <w:sz w:val="32"/>
          <w:szCs w:val="32"/>
        </w:rPr>
      </w:pPr>
      <w:r>
        <w:rPr>
          <w:rFonts w:ascii="仿宋_GB2312" w:eastAsia="仿宋_GB2312" w:cs="Times New Roman"/>
          <w:b w:val="0"/>
          <w:sz w:val="32"/>
          <w:szCs w:val="32"/>
          <w:woUserID w:val="1"/>
        </w:rPr>
        <w:t xml:space="preserve">    </w:t>
      </w:r>
      <w:r>
        <w:rPr>
          <w:rFonts w:ascii="仿宋_GB2312" w:hAnsi="Times New Roman" w:eastAsia="仿宋_GB2312" w:cs="Times New Roman"/>
          <w:b w:val="0"/>
          <w:sz w:val="32"/>
          <w:szCs w:val="32"/>
        </w:rPr>
        <w:t>以上</w:t>
      </w:r>
      <w:bookmarkStart w:id="15" w:name="_GoBack"/>
      <w:bookmarkEnd w:id="15"/>
      <w:r>
        <w:rPr>
          <w:rFonts w:ascii="仿宋_GB2312" w:hAnsi="Times New Roman" w:eastAsia="仿宋_GB2312" w:cs="Times New Roman"/>
          <w:b w:val="0"/>
          <w:sz w:val="32"/>
          <w:szCs w:val="32"/>
        </w:rPr>
        <w:t>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FD618"/>
    <w:multiLevelType w:val="singleLevel"/>
    <w:tmpl w:val="D37FD618"/>
    <w:lvl w:ilvl="0" w:tentative="0">
      <w:start w:val="3"/>
      <w:numFmt w:val="chineseCounting"/>
      <w:suff w:val="nothing"/>
      <w:lvlText w:val="%1、"/>
      <w:lvlJc w:val="left"/>
      <w:rPr>
        <w:rFonts w:hint="eastAsia" w:ascii="仿宋_GB2312" w:hAnsi="仿宋_GB2312" w:eastAsia="仿宋_GB2312" w:cs="仿宋_GB2312"/>
        <w:b w:val="0"/>
        <w:sz w:val="32"/>
        <w:szCs w:val="32"/>
      </w:rPr>
    </w:lvl>
  </w:abstractNum>
  <w:abstractNum w:abstractNumId="1">
    <w:nsid w:val="773EBF05"/>
    <w:multiLevelType w:val="singleLevel"/>
    <w:tmpl w:val="773EBF05"/>
    <w:lvl w:ilvl="0" w:tentative="0">
      <w:start w:val="1"/>
      <w:numFmt w:val="chineseCounting"/>
      <w:suff w:val="nothing"/>
      <w:lvlText w:val="（%1）"/>
      <w:lvlJc w:val="left"/>
      <w:pPr>
        <w:ind w:left="0" w:firstLine="420"/>
      </w:pPr>
      <w:rPr>
        <w:rFonts w:hint="eastAsia" w:ascii="仿宋_GB2312" w:hAnsi="仿宋_GB2312" w:eastAsia="仿宋_GB2312" w:cs="仿宋_GB2312"/>
        <w:b w:val="0"/>
        <w:sz w:val="32"/>
        <w:szCs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EF3BF7"/>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a1526aeb-f95f-492f-bb1a-f59135042944"/>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pid="2" name="KSOProductBuildVer" fmtid="{D5CDD505-2E9C-101B-9397-08002B2CF9AE}">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dcterms="http://purl.org/dc/terms/" xmlns:cp="http://schemas.openxmlformats.org/package/2006/metadata/core-properties" xmlns:dcmitype="http://purl.org/dc/dcmitype/" xmlns:xsi="http://www.w3.org/2001/XMLSchema-instanc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f78624-1228-4d03-995b-f95db2c539e0}">
  <ds:schemaRefs/>
</ds:datastoreItem>
</file>

<file path=customXml/itemProps3.xml><?xml version="1.0" encoding="utf-8"?>
<ds:datastoreItem xmlns:ds="http://schemas.openxmlformats.org/officeDocument/2006/customXml" ds:itemID="{a21833fd-afad-4458-918c-0a968f1a6bdb}">
  <ds:schemaRefs/>
</ds:datastoreItem>
</file>

<file path=customXml/itemProps4.xml><?xml version="1.0" encoding="utf-8"?>
<ds:datastoreItem xmlns:ds="http://schemas.openxmlformats.org/officeDocument/2006/customXml" ds:itemID="{d3036670-8bf4-4f1a-bff6-f1520f6faf9c}">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2025-03-26T11:43:11Z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