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嘉兴六面光科技有限公司（571731034308）是我司重要集团客户，有着良好的客情关系。本次申请开通物联网卡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用于移动执法仪，拟对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/>
        </w:rPr>
        <w:t>3</w:t>
      </w:r>
      <w:r>
        <w:rPr>
          <w:rFonts w:hint="eastAsia" w:ascii="仿宋" w:hAnsi="仿宋" w:eastAsia="仿宋"/>
          <w:sz w:val="24"/>
          <w:szCs w:val="24"/>
        </w:rPr>
        <w:t>00户新增业务，后续以实际需求开卡为准，申请CMIOT系统2022版高速物联卡全国定向流量21元10GB套餐，业务优惠至60%（即12.6元/月），使用MP1卡，卡费额外支付1元/卡，开通流量共享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客户签约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年，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预付费，按月支付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。流量定向限制绑定专用APN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（</w:t>
      </w:r>
      <w:r>
        <w:rPr>
          <w:rFonts w:hint="default" w:ascii="仿宋" w:hAnsi="仿宋" w:eastAsia="仿宋"/>
          <w:sz w:val="24"/>
          <w:szCs w:val="28"/>
          <w:lang w:val="en-US" w:eastAsia="zh-CN"/>
        </w:rPr>
        <w:t>CMMTMJXPCCA.ZJ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限制访问IP地址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个以内。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开通测试期1个月，开通沉默期6个月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开通机卡绑定、人联网黑名单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区域限制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color w:val="auto"/>
          <w:sz w:val="24"/>
          <w:szCs w:val="24"/>
          <w:highlight w:val="none"/>
        </w:rPr>
      </w:pP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</w:t>
      </w:r>
      <w:r>
        <w:rPr>
          <w:rFonts w:hint="eastAsia" w:ascii="仿宋" w:hAnsi="仿宋" w:eastAsia="仿宋"/>
          <w:sz w:val="24"/>
          <w:szCs w:val="24"/>
          <w:highlight w:val="none"/>
        </w:rPr>
        <w:t>场景为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移动办公（移动执法仪），</w:t>
      </w:r>
      <w:r>
        <w:rPr>
          <w:rFonts w:hint="eastAsia" w:ascii="仿宋" w:hAnsi="仿宋" w:eastAsia="仿宋"/>
          <w:sz w:val="24"/>
          <w:szCs w:val="24"/>
          <w:highlight w:val="none"/>
        </w:rPr>
        <w:t>风</w:t>
      </w:r>
      <w:r>
        <w:rPr>
          <w:rFonts w:hint="eastAsia" w:ascii="仿宋" w:hAnsi="仿宋" w:eastAsia="仿宋"/>
          <w:sz w:val="24"/>
          <w:szCs w:val="24"/>
        </w:rPr>
        <w:t>险管控等级C1（中风险）。对物联网卡号码关注每月出账情况，并且关注集团物联网卡经营情况，如出现欠费情况当月缴清，对涉及号码及时做好风险把控工作，若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上述优惠适用于嘉兴六面光科技有限公司，受理号码为物联网号码。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8D48DF"/>
    <w:rsid w:val="04CB537B"/>
    <w:rsid w:val="07FB2C55"/>
    <w:rsid w:val="080210FD"/>
    <w:rsid w:val="09207443"/>
    <w:rsid w:val="097911AA"/>
    <w:rsid w:val="09E2521D"/>
    <w:rsid w:val="0BFF2B2F"/>
    <w:rsid w:val="0E232A00"/>
    <w:rsid w:val="0E2D2773"/>
    <w:rsid w:val="13DF512B"/>
    <w:rsid w:val="19FE108C"/>
    <w:rsid w:val="1AB45186"/>
    <w:rsid w:val="1B060997"/>
    <w:rsid w:val="1C294E6C"/>
    <w:rsid w:val="1CEF5C4A"/>
    <w:rsid w:val="1E2F3407"/>
    <w:rsid w:val="1F6E1828"/>
    <w:rsid w:val="20CA68E8"/>
    <w:rsid w:val="216A62C5"/>
    <w:rsid w:val="23935A41"/>
    <w:rsid w:val="23AD393D"/>
    <w:rsid w:val="24696087"/>
    <w:rsid w:val="25112849"/>
    <w:rsid w:val="2527218E"/>
    <w:rsid w:val="2AD909AB"/>
    <w:rsid w:val="2C7442B5"/>
    <w:rsid w:val="2EC86C0B"/>
    <w:rsid w:val="3057302D"/>
    <w:rsid w:val="31C661E6"/>
    <w:rsid w:val="32934F1C"/>
    <w:rsid w:val="330744F6"/>
    <w:rsid w:val="34175D57"/>
    <w:rsid w:val="37374840"/>
    <w:rsid w:val="38837925"/>
    <w:rsid w:val="38BF1BD9"/>
    <w:rsid w:val="398429B8"/>
    <w:rsid w:val="39D02FD4"/>
    <w:rsid w:val="3C423E81"/>
    <w:rsid w:val="3CB26E56"/>
    <w:rsid w:val="3E7F27BA"/>
    <w:rsid w:val="3FDB30E6"/>
    <w:rsid w:val="40042C85"/>
    <w:rsid w:val="41D12BC7"/>
    <w:rsid w:val="42F81FDF"/>
    <w:rsid w:val="43BD02A6"/>
    <w:rsid w:val="44B94417"/>
    <w:rsid w:val="45196263"/>
    <w:rsid w:val="47684212"/>
    <w:rsid w:val="47702137"/>
    <w:rsid w:val="4A280161"/>
    <w:rsid w:val="4B2D0B62"/>
    <w:rsid w:val="4EB51A92"/>
    <w:rsid w:val="4F986630"/>
    <w:rsid w:val="51C56916"/>
    <w:rsid w:val="5A285266"/>
    <w:rsid w:val="5AAD634D"/>
    <w:rsid w:val="5FA84C21"/>
    <w:rsid w:val="61153622"/>
    <w:rsid w:val="62A50D92"/>
    <w:rsid w:val="62BA03D4"/>
    <w:rsid w:val="65BF2803"/>
    <w:rsid w:val="6AFF27C3"/>
    <w:rsid w:val="6F132869"/>
    <w:rsid w:val="6F596E87"/>
    <w:rsid w:val="70A132D2"/>
    <w:rsid w:val="716E1D75"/>
    <w:rsid w:val="71971DDF"/>
    <w:rsid w:val="71CE2E83"/>
    <w:rsid w:val="73704428"/>
    <w:rsid w:val="73B71BF1"/>
    <w:rsid w:val="754F6184"/>
    <w:rsid w:val="767044A4"/>
    <w:rsid w:val="76C73CDB"/>
    <w:rsid w:val="76E92060"/>
    <w:rsid w:val="775E18AB"/>
    <w:rsid w:val="790F039A"/>
    <w:rsid w:val="792A2412"/>
    <w:rsid w:val="7CE77C2C"/>
    <w:rsid w:val="7F524964"/>
    <w:rsid w:val="7F773271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9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2025-06-25T09:46:21Z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1E10C3DD27FE9FBF88F8F86506FE9265</vt:lpwstr>
  </property>
</Properties>
</file>