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hint="eastAsia" w:ascii="黑体" w:hAnsi="黑体" w:eastAsia="黑体"/>
          <w:b/>
          <w:sz w:val="36"/>
          <w:szCs w:val="36"/>
        </w:rPr>
        <w:t>物联网专网增值服务开通流程说明</w:t>
      </w:r>
    </w:p>
    <w:p>
      <w:pPr>
        <w:pStyle w:val="2"/>
        <w:rPr>
          <w:rFonts w:ascii="黑体" w:hAnsi="黑体" w:eastAsia="黑体"/>
          <w:sz w:val="32"/>
          <w:szCs w:val="32"/>
        </w:rPr>
      </w:pPr>
      <w:r>
        <w:rPr>
          <w:rFonts w:hint="eastAsia" w:ascii="黑体" w:hAnsi="黑体" w:eastAsia="黑体"/>
          <w:sz w:val="32"/>
          <w:szCs w:val="32"/>
        </w:rPr>
        <w:t>一</w:t>
      </w:r>
      <w:r>
        <w:rPr>
          <w:rFonts w:ascii="黑体" w:hAnsi="黑体" w:eastAsia="黑体"/>
          <w:sz w:val="32"/>
          <w:szCs w:val="32"/>
        </w:rPr>
        <w:t>、</w:t>
      </w:r>
      <w:r>
        <w:rPr>
          <w:rFonts w:hint="eastAsia" w:ascii="黑体" w:hAnsi="黑体" w:eastAsia="黑体"/>
          <w:sz w:val="32"/>
          <w:szCs w:val="32"/>
        </w:rPr>
        <w:t>物联网通用APN开通流程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物联网在全网范围上线新业务时，如N</w:t>
      </w:r>
      <w:r>
        <w:rPr>
          <w:rFonts w:ascii="仿宋_GB2312" w:eastAsia="仿宋_GB2312"/>
          <w:sz w:val="28"/>
          <w:szCs w:val="28"/>
        </w:rPr>
        <w:t>B-IoT</w:t>
      </w:r>
      <w:r>
        <w:rPr>
          <w:rFonts w:hint="eastAsia" w:ascii="仿宋_GB2312" w:eastAsia="仿宋_GB2312"/>
          <w:sz w:val="28"/>
          <w:szCs w:val="28"/>
        </w:rPr>
        <w:t>业务，将制作全网通用A</w:t>
      </w:r>
      <w:r>
        <w:rPr>
          <w:rFonts w:ascii="仿宋_GB2312" w:eastAsia="仿宋_GB2312"/>
          <w:sz w:val="28"/>
          <w:szCs w:val="28"/>
        </w:rPr>
        <w:t>PN</w:t>
      </w:r>
      <w:r>
        <w:rPr>
          <w:rFonts w:hint="eastAsia" w:ascii="仿宋_GB2312" w:eastAsia="仿宋_GB2312"/>
          <w:sz w:val="28"/>
          <w:szCs w:val="28"/>
        </w:rPr>
        <w:t>，具体流程如下：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（一）由集团政企事业部通过部门业务需求函方式，或者物联网公司通过EOMS工单（补函）方式</w:t>
      </w:r>
      <w:r>
        <w:rPr>
          <w:rFonts w:ascii="仿宋_GB2312" w:eastAsia="仿宋_GB2312"/>
          <w:sz w:val="28"/>
          <w:szCs w:val="28"/>
        </w:rPr>
        <w:t xml:space="preserve"> </w:t>
      </w:r>
      <w:r>
        <w:rPr>
          <w:rFonts w:hint="eastAsia" w:ascii="仿宋_GB2312" w:eastAsia="仿宋_GB2312"/>
          <w:sz w:val="28"/>
          <w:szCs w:val="28"/>
        </w:rPr>
        <w:t>，提交通用A</w:t>
      </w:r>
      <w:r>
        <w:rPr>
          <w:rFonts w:ascii="仿宋_GB2312" w:eastAsia="仿宋_GB2312"/>
          <w:sz w:val="28"/>
          <w:szCs w:val="28"/>
        </w:rPr>
        <w:t>PN</w:t>
      </w:r>
      <w:r>
        <w:rPr>
          <w:rFonts w:hint="eastAsia" w:ascii="仿宋_GB2312" w:eastAsia="仿宋_GB2312"/>
          <w:sz w:val="28"/>
          <w:szCs w:val="28"/>
        </w:rPr>
        <w:t>网络局数据制作申请至集团网络事业部，由集团网络事业部组织实施数据制作。</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（二）由集团政企事业部通过部门业务需求函方式提交至信息技术中心，完成通用A</w:t>
      </w:r>
      <w:r>
        <w:rPr>
          <w:rFonts w:ascii="仿宋_GB2312" w:eastAsia="仿宋_GB2312"/>
          <w:sz w:val="28"/>
          <w:szCs w:val="28"/>
        </w:rPr>
        <w:t>PN</w:t>
      </w:r>
      <w:r>
        <w:rPr>
          <w:rFonts w:hint="eastAsia" w:ascii="仿宋_GB2312" w:eastAsia="仿宋_GB2312"/>
          <w:sz w:val="28"/>
          <w:szCs w:val="28"/>
        </w:rPr>
        <w:t>在业务支撑系统的数据制作。</w:t>
      </w:r>
    </w:p>
    <w:p>
      <w:pPr>
        <w:pStyle w:val="2"/>
        <w:rPr>
          <w:rFonts w:ascii="黑体" w:hAnsi="黑体" w:eastAsia="黑体"/>
          <w:sz w:val="32"/>
          <w:szCs w:val="32"/>
        </w:rPr>
      </w:pPr>
      <w:r>
        <w:rPr>
          <w:rFonts w:hint="eastAsia" w:ascii="黑体" w:hAnsi="黑体" w:eastAsia="黑体"/>
          <w:sz w:val="32"/>
          <w:szCs w:val="32"/>
        </w:rPr>
        <w:t>二</w:t>
      </w:r>
      <w:r>
        <w:rPr>
          <w:rFonts w:ascii="黑体" w:hAnsi="黑体" w:eastAsia="黑体"/>
          <w:sz w:val="32"/>
          <w:szCs w:val="32"/>
        </w:rPr>
        <w:t>、</w:t>
      </w:r>
      <w:r>
        <w:rPr>
          <w:rFonts w:hint="eastAsia" w:ascii="黑体" w:hAnsi="黑体" w:eastAsia="黑体"/>
          <w:sz w:val="32"/>
          <w:szCs w:val="32"/>
        </w:rPr>
        <w:t>物联网专用APN开通流程</w:t>
      </w:r>
    </w:p>
    <w:p>
      <w:pPr>
        <w:pStyle w:val="3"/>
        <w:rPr>
          <w:rFonts w:ascii="仿宋_GB2312" w:eastAsia="仿宋_GB2312"/>
          <w:sz w:val="28"/>
          <w:szCs w:val="28"/>
        </w:rPr>
      </w:pPr>
      <w:r>
        <w:rPr>
          <w:rFonts w:hint="eastAsia" w:ascii="仿宋_GB2312" w:eastAsia="仿宋_GB2312"/>
          <w:sz w:val="28"/>
          <w:szCs w:val="28"/>
        </w:rPr>
        <w:t>（一）专用APN命名规则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1、访问客户专用平台的专用APN命名规则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（1）全网专用APN：CMIOT +客户自定义（</w:t>
      </w:r>
      <w:r>
        <w:rPr>
          <w:rFonts w:hint="eastAsia" w:ascii="仿宋_GB2312" w:eastAsia="仿宋_GB2312"/>
          <w:color w:val="000000" w:themeColor="text1"/>
          <w:sz w:val="28"/>
          <w:szCs w:val="28"/>
        </w:rPr>
        <w:t>大写字母组合不超过10位）</w:t>
      </w:r>
      <w:r>
        <w:rPr>
          <w:rFonts w:hint="eastAsia" w:ascii="仿宋_GB2312" w:eastAsia="仿宋_GB2312"/>
          <w:sz w:val="28"/>
          <w:szCs w:val="28"/>
        </w:rPr>
        <w:t>，用于全国多省开卡的客户业务。</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（2）本地专用APN：CMIOT +客户自定义（</w:t>
      </w:r>
      <w:r>
        <w:rPr>
          <w:rFonts w:hint="eastAsia" w:ascii="仿宋_GB2312" w:eastAsia="仿宋_GB2312"/>
          <w:color w:val="000000" w:themeColor="text1"/>
          <w:sz w:val="28"/>
          <w:szCs w:val="28"/>
        </w:rPr>
        <w:t>大写字母组合不超过10位</w:t>
      </w:r>
      <w:r>
        <w:rPr>
          <w:rFonts w:hint="eastAsia" w:ascii="仿宋_GB2312" w:eastAsia="仿宋_GB2312"/>
          <w:sz w:val="28"/>
          <w:szCs w:val="28"/>
        </w:rPr>
        <w:t>）+.（点）+DNS归属地（2位），用于只在一省开卡的客户业务。</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（3）NB-IoT用户专用APN命名原则：全网专用客户：CMNBIOT+专网客户名（字母不超过10位），用于全国多省开卡的客户业务。本地专用客户：CMNBIOT+专网客户名（字母不超过10位）. DNS归属地（2位），用于只在一省开卡的客户业务。</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、访问互联网的专用APN命名规则</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（1）全网专用APN：CMMTM+客户自定义（</w:t>
      </w:r>
      <w:r>
        <w:rPr>
          <w:rFonts w:hint="eastAsia" w:ascii="仿宋_GB2312" w:eastAsia="仿宋_GB2312"/>
          <w:color w:val="000000" w:themeColor="text1"/>
          <w:sz w:val="28"/>
          <w:szCs w:val="28"/>
        </w:rPr>
        <w:t>大写字母组合不超过10位</w:t>
      </w:r>
      <w:r>
        <w:rPr>
          <w:rFonts w:hint="eastAsia" w:ascii="仿宋_GB2312" w:eastAsia="仿宋_GB2312"/>
          <w:sz w:val="28"/>
          <w:szCs w:val="28"/>
        </w:rPr>
        <w:t>），用于全国多省开卡的客户业务。</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（2）本地专用APN：CMMTM+客户自定义（</w:t>
      </w:r>
      <w:r>
        <w:rPr>
          <w:rFonts w:hint="eastAsia" w:ascii="仿宋_GB2312" w:eastAsia="仿宋_GB2312"/>
          <w:color w:val="000000" w:themeColor="text1"/>
          <w:sz w:val="28"/>
          <w:szCs w:val="28"/>
        </w:rPr>
        <w:t>大写字母组合不超过10位</w:t>
      </w:r>
      <w:r>
        <w:rPr>
          <w:rFonts w:hint="eastAsia" w:ascii="仿宋_GB2312" w:eastAsia="仿宋_GB2312"/>
          <w:sz w:val="28"/>
          <w:szCs w:val="28"/>
        </w:rPr>
        <w:t>）+.（点）+DNS归属地（2位），用于只在一省开卡的客户业务。</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（3）有访问互联网需求的NB-IoT用户，APN命名规则与访问</w:t>
      </w:r>
      <w:r>
        <w:rPr>
          <w:rFonts w:ascii="仿宋_GB2312" w:eastAsia="仿宋_GB2312"/>
          <w:sz w:val="28"/>
          <w:szCs w:val="28"/>
        </w:rPr>
        <w:t>客户平台的</w:t>
      </w:r>
      <w:r>
        <w:rPr>
          <w:rFonts w:hint="eastAsia" w:ascii="仿宋_GB2312" w:eastAsia="仿宋_GB2312"/>
          <w:sz w:val="28"/>
          <w:szCs w:val="28"/>
        </w:rPr>
        <w:t>NB</w:t>
      </w:r>
      <w:r>
        <w:rPr>
          <w:rFonts w:ascii="仿宋_GB2312" w:eastAsia="仿宋_GB2312"/>
          <w:sz w:val="28"/>
          <w:szCs w:val="28"/>
        </w:rPr>
        <w:t>-IOT</w:t>
      </w:r>
      <w:r>
        <w:rPr>
          <w:rFonts w:hint="eastAsia" w:ascii="仿宋_GB2312" w:eastAsia="仿宋_GB2312"/>
          <w:sz w:val="28"/>
          <w:szCs w:val="28"/>
        </w:rPr>
        <w:t>专用APN命名原则一致。</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、物联网国际DCP平台业务通用APN名称为CMIOTDCP.DCP，专用APN命名规则为CMIOT+客户自定义（10位）.DCP，不区分全网客户和本地客户。其他国际本地卡进出口业务可根据客户需求自定义APN名称。</w:t>
      </w:r>
    </w:p>
    <w:p>
      <w:pPr>
        <w:spacing w:line="360" w:lineRule="auto"/>
        <w:ind w:firstLine="560" w:firstLineChars="200"/>
        <w:rPr>
          <w:rFonts w:ascii="仿宋_GB2312" w:eastAsia="仿宋_GB2312"/>
          <w:sz w:val="28"/>
          <w:szCs w:val="28"/>
        </w:rPr>
      </w:pPr>
      <w:r>
        <w:rPr>
          <w:rFonts w:ascii="仿宋_GB2312" w:eastAsia="仿宋_GB2312"/>
          <w:sz w:val="28"/>
          <w:szCs w:val="28"/>
        </w:rPr>
        <w:t>4</w:t>
      </w:r>
      <w:r>
        <w:rPr>
          <w:rFonts w:hint="eastAsia" w:ascii="仿宋_GB2312" w:eastAsia="仿宋_GB2312"/>
          <w:sz w:val="28"/>
          <w:szCs w:val="28"/>
        </w:rPr>
        <w:t>、为满足党政军、电力、水务等存量行业卡客户向物联卡迁移，可根据客户需求向集团政企事业部发起业务申请自定义APN名称。</w:t>
      </w:r>
    </w:p>
    <w:p>
      <w:pPr>
        <w:pStyle w:val="3"/>
        <w:rPr>
          <w:rFonts w:ascii="仿宋_GB2312" w:eastAsia="仿宋_GB2312"/>
          <w:sz w:val="28"/>
          <w:szCs w:val="28"/>
        </w:rPr>
      </w:pPr>
      <w:r>
        <w:rPr>
          <w:rFonts w:hint="eastAsia" w:ascii="仿宋_GB2312" w:eastAsia="仿宋_GB2312"/>
          <w:sz w:val="28"/>
          <w:szCs w:val="28"/>
        </w:rPr>
        <w:t>（二）使用互联网专线接入（包括互联网专线、IDC、移动云、其他运营商）开通专用APN流程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客户申请专用APN，数据经公网疏通至客户平台，通过各种接入技术（GRE、L2TP、IPsec等）疏通至客户平台。</w:t>
      </w:r>
    </w:p>
    <w:p>
      <w:pPr>
        <w:spacing w:line="360" w:lineRule="auto"/>
        <w:rPr>
          <w:rFonts w:ascii="仿宋_GB2312" w:eastAsia="仿宋_GB2312"/>
          <w:sz w:val="28"/>
          <w:szCs w:val="28"/>
        </w:rPr>
      </w:pPr>
      <w:r>
        <w:rPr>
          <w:rFonts w:hint="eastAsia" w:ascii="仿宋_GB2312" w:eastAsia="仿宋_GB2312"/>
          <w:sz w:val="28"/>
          <w:szCs w:val="28"/>
        </w:rPr>
        <w:t>具体开通流程如下：</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、销售省公司与客户确认APN名称、接入类型、承载方式、地址池需求量等信息并填写物联网专用APN信息联络单，</w:t>
      </w:r>
      <w:r>
        <w:rPr>
          <w:rFonts w:hint="eastAsia" w:ascii="仿宋_GB2312" w:eastAsia="仿宋_GB2312"/>
          <w:color w:val="000000" w:themeColor="text1"/>
          <w:sz w:val="28"/>
          <w:szCs w:val="28"/>
        </w:rPr>
        <w:t>通过物联网一体化支撑系统（后期通过ESOP系统）</w:t>
      </w:r>
      <w:r>
        <w:rPr>
          <w:rFonts w:hint="eastAsia" w:ascii="仿宋_GB2312" w:eastAsia="仿宋_GB2312"/>
          <w:sz w:val="28"/>
          <w:szCs w:val="28"/>
        </w:rPr>
        <w:t>提交物联网公司进行业务初审。物联网公司初审通过后，提交至集团网络事业部审核。</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、集团网络事业部审核通过后，反馈至物联网公司处理。</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物联网公司根据销售省公司提供的信息，进一步规划和分配DNS解析指向、PGW数据、HSS数据等信息，通过物联网一体化支撑系统提交至集团网络事业部，由集团网络事业部组织实施。同时物联网公司完成或协调信息技术中心完成业务支撑系统数据制作。</w:t>
      </w:r>
    </w:p>
    <w:p>
      <w:pPr>
        <w:spacing w:line="360" w:lineRule="auto"/>
        <w:ind w:firstLine="560" w:firstLineChars="200"/>
        <w:rPr>
          <w:rFonts w:ascii="仿宋_GB2312" w:eastAsia="仿宋_GB2312"/>
          <w:sz w:val="28"/>
          <w:szCs w:val="28"/>
        </w:rPr>
      </w:pPr>
      <w:r>
        <w:rPr>
          <w:rFonts w:ascii="仿宋_GB2312" w:eastAsia="仿宋_GB2312"/>
          <w:sz w:val="28"/>
          <w:szCs w:val="28"/>
        </w:rPr>
        <w:t>4</w:t>
      </w:r>
      <w:r>
        <w:rPr>
          <w:rFonts w:hint="eastAsia" w:ascii="仿宋_GB2312" w:eastAsia="仿宋_GB2312"/>
          <w:sz w:val="28"/>
          <w:szCs w:val="28"/>
        </w:rPr>
        <w:t>、对于开通本地APN的，由集团网络事业部派发工单至销售省公司完成本省省内DNS数据制作。对于全网APN，由物联网公司协调集团网络事业部完成集团DNS数据制作。</w:t>
      </w:r>
    </w:p>
    <w:p>
      <w:pPr>
        <w:spacing w:line="360" w:lineRule="auto"/>
        <w:ind w:firstLine="560" w:firstLineChars="200"/>
        <w:rPr>
          <w:rFonts w:ascii="仿宋_GB2312" w:eastAsia="仿宋_GB2312"/>
          <w:sz w:val="28"/>
          <w:szCs w:val="28"/>
        </w:rPr>
      </w:pPr>
      <w:r>
        <w:rPr>
          <w:rFonts w:ascii="仿宋_GB2312" w:eastAsia="仿宋_GB2312"/>
          <w:sz w:val="28"/>
          <w:szCs w:val="28"/>
        </w:rPr>
        <w:t>5</w:t>
      </w:r>
      <w:r>
        <w:rPr>
          <w:rFonts w:hint="eastAsia" w:ascii="仿宋_GB2312" w:eastAsia="仿宋_GB2312"/>
          <w:sz w:val="28"/>
          <w:szCs w:val="28"/>
        </w:rPr>
        <w:t>、物联网公司将数据制作情况反馈至销售省公司，由销售省公司通知协调客户完成业务调测开通。</w:t>
      </w:r>
    </w:p>
    <w:p>
      <w:pPr>
        <w:pStyle w:val="3"/>
        <w:rPr>
          <w:rFonts w:ascii="仿宋_GB2312" w:eastAsia="仿宋_GB2312"/>
          <w:sz w:val="28"/>
          <w:szCs w:val="28"/>
        </w:rPr>
      </w:pPr>
      <w:r>
        <w:rPr>
          <w:rFonts w:hint="eastAsia" w:ascii="仿宋_GB2312" w:eastAsia="仿宋_GB2312"/>
          <w:sz w:val="28"/>
          <w:szCs w:val="28"/>
        </w:rPr>
        <w:t>（三）使用数据专线接入专用APN开通流程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客户申请专用APN，数据经GGSN/PGW Gi/SGi接口通过IP承载网MPLS VPN、本地物理传输链路疏通至客户平台，与公网物理隔离。集团指定249家战略客户以及党政军、金融等行业客户，可以申请独享MPLS VPN专线接入，其他客户仅提供共享MPLS VPN专线接入。如有特殊需求，应由物联网公司报集团政企事业部审批后方可通过独享MPLS VPN专线接入。同一个集团客户原则上只能申请一个独享MPLS VPN承载业务，该集团客户下属各分支机构间如有独享MPLSVPN业务需求，需采用该集团客户统一VPN进行接入，不再分设独享MPLS VPN。</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开通流程包括：接入审核、MPLS VPN专线开通、本地传输专线开通、APN局数据制作。具体流程如下：</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、销售省公司通过物联网一体化支撑系统（后期通过ESOP系统）提交物联网专用APN信息联络单、技术方案、接入方式（独享MPLS VPN或共享MPLS VPN）等信息至物联网公司初审。物联网公司规划确认互联地址（PGW与CE、CE与AR等）、子接口（PGW与CE）、组网方式等信息后，提交至集团网络事业部审核。</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、集团网络事业部组织实施IP承载网MPLS VPN专线建设。</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、销售省公司协调本省网络部调度开通本地物理传输链路。</w:t>
      </w:r>
    </w:p>
    <w:p>
      <w:pPr>
        <w:spacing w:line="360" w:lineRule="auto"/>
        <w:ind w:firstLine="560" w:firstLineChars="200"/>
        <w:rPr>
          <w:rFonts w:ascii="仿宋_GB2312" w:eastAsia="仿宋_GB2312"/>
          <w:sz w:val="28"/>
          <w:szCs w:val="28"/>
        </w:rPr>
      </w:pPr>
      <w:r>
        <w:rPr>
          <w:rFonts w:ascii="仿宋_GB2312" w:eastAsia="仿宋_GB2312"/>
          <w:sz w:val="28"/>
          <w:szCs w:val="28"/>
        </w:rPr>
        <w:t>4</w:t>
      </w:r>
      <w:r>
        <w:rPr>
          <w:rFonts w:hint="eastAsia" w:ascii="仿宋_GB2312" w:eastAsia="仿宋_GB2312"/>
          <w:sz w:val="28"/>
          <w:szCs w:val="28"/>
        </w:rPr>
        <w:t>、参照物联网互联网专线接入方案专用APN流程，完成业务开通。</w:t>
      </w:r>
    </w:p>
    <w:p>
      <w:pPr>
        <w:pStyle w:val="3"/>
        <w:rPr>
          <w:rFonts w:ascii="仿宋_GB2312" w:eastAsia="仿宋_GB2312"/>
          <w:sz w:val="28"/>
          <w:szCs w:val="28"/>
        </w:rPr>
      </w:pPr>
      <w:r>
        <w:rPr>
          <w:rFonts w:hint="eastAsia" w:ascii="仿宋_GB2312" w:eastAsia="仿宋_GB2312"/>
          <w:sz w:val="28"/>
          <w:szCs w:val="28"/>
        </w:rPr>
        <w:t>（四）访问互联网的专用APN开通流程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对于希望通过专用APN访问互联网的客户，可申请通过专用APN通过NAT技术直接访问互联网资源。</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具体业务开通流程参照物联网互联网专线接入方案专用APN开通流程，完成专用APN的业务开通。如需对访问互联网上的某些特定网络资源做策略限制，需参照PCC业务开通相关流程申请专用APN的PCC业务开通。</w:t>
      </w:r>
    </w:p>
    <w:p>
      <w:pPr>
        <w:pStyle w:val="3"/>
        <w:rPr>
          <w:rFonts w:ascii="仿宋_GB2312" w:eastAsia="仿宋_GB2312"/>
          <w:sz w:val="28"/>
          <w:szCs w:val="28"/>
        </w:rPr>
      </w:pPr>
      <w:r>
        <w:rPr>
          <w:rFonts w:hint="eastAsia" w:ascii="仿宋_GB2312" w:eastAsia="仿宋_GB2312"/>
          <w:sz w:val="28"/>
          <w:szCs w:val="28"/>
        </w:rPr>
        <w:t>（五）L2TP辅助APN开通流程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党政军、公共事业单位、金融行业等客户业务传输安全要求较高，部分采用物联网专用APN+L2TP（二层隧道）方式组网的客户，在终端号码只开通专用APN的情况下，可能存在终端请求接入4G网络时出现建立承载失败、导致业务不可用的问题。当出现该问题，客户可申请建立L2TP辅助APN（CMIOTVPDN）接入，具体开通流程参照物联网多APN及PCC业务开通流程完成L2TP专用APN+L2TP辅助APN的多APN及PCC业务数据申请制作。</w:t>
      </w:r>
    </w:p>
    <w:p>
      <w:pPr>
        <w:pStyle w:val="2"/>
        <w:rPr>
          <w:rFonts w:ascii="黑体" w:hAnsi="黑体" w:eastAsia="黑体"/>
          <w:sz w:val="32"/>
          <w:szCs w:val="32"/>
        </w:rPr>
      </w:pPr>
      <w:r>
        <w:rPr>
          <w:rFonts w:hint="eastAsia" w:ascii="黑体" w:hAnsi="黑体" w:eastAsia="黑体"/>
          <w:sz w:val="32"/>
          <w:szCs w:val="32"/>
        </w:rPr>
        <w:t>三、静态IP业务开通流程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静态IP业务主要用于客户终端MSISDN号码与IP地址一一绑定，方便客户对于终端维护管理，如客户平台需主动与特定IP终端通信、使用特定IP唯一标识终端等需求均可通过静态IP业务实现。客户需要使用专用APN且终端需要分配静态IP地址，在专用APN已开通完成的情况下，可申请静态IP业务，为每张卡分配一个固定的IP地址，其中L2TP隧道方式和终端直接采用IP</w:t>
      </w:r>
      <w:r>
        <w:rPr>
          <w:rFonts w:ascii="仿宋_GB2312" w:eastAsia="仿宋_GB2312"/>
          <w:sz w:val="28"/>
          <w:szCs w:val="28"/>
        </w:rPr>
        <w:t>V4</w:t>
      </w:r>
      <w:r>
        <w:rPr>
          <w:rFonts w:hint="eastAsia" w:ascii="仿宋_GB2312" w:eastAsia="仿宋_GB2312"/>
          <w:sz w:val="28"/>
          <w:szCs w:val="28"/>
        </w:rPr>
        <w:t>地址访问互联网的专用APN不支持静态IP业务。具体开通流程如下：</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、客户向销售省公司提出静态IP需求的专用APN申请，省公司根据客户需求，参照APN申请开通流程，完成专用APN申请。</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、专用APN开通后，销售省公司通过物联卡工单管理系统向物联网公司提交静态IP数据绑定申请，该数据需明确APN名称、用户的MSISDN号码以及与该号码绑定的静态IP地址一一对应关系等相关信息。</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、数据配置完成后，物联网公司通知销售省公司配置完成，由销售省公司联系客户开展联调测试工作。</w:t>
      </w:r>
    </w:p>
    <w:p>
      <w:pPr>
        <w:pStyle w:val="2"/>
        <w:rPr>
          <w:rFonts w:ascii="黑体" w:hAnsi="黑体" w:eastAsia="黑体"/>
          <w:sz w:val="32"/>
          <w:szCs w:val="32"/>
        </w:rPr>
      </w:pPr>
      <w:r>
        <w:rPr>
          <w:rFonts w:hint="eastAsia" w:ascii="黑体" w:hAnsi="黑体" w:eastAsia="黑体"/>
          <w:sz w:val="32"/>
          <w:szCs w:val="32"/>
        </w:rPr>
        <w:t>四、多APN业务开通流程</w:t>
      </w:r>
    </w:p>
    <w:p>
      <w:pPr>
        <w:spacing w:line="360" w:lineRule="auto"/>
        <w:rPr>
          <w:rFonts w:ascii="仿宋_GB2312" w:eastAsia="仿宋_GB2312"/>
          <w:sz w:val="28"/>
          <w:szCs w:val="28"/>
        </w:rPr>
      </w:pPr>
      <w:r>
        <w:rPr>
          <w:rFonts w:hint="eastAsia" w:ascii="仿宋_GB2312" w:eastAsia="仿宋_GB2312"/>
          <w:sz w:val="28"/>
          <w:szCs w:val="28"/>
          <w:lang w:eastAsia="zh-CN"/>
        </w:rPr>
        <w:t>针对</w:t>
      </w:r>
      <w:r>
        <w:rPr>
          <w:rFonts w:hint="eastAsia" w:ascii="仿宋_GB2312" w:eastAsia="仿宋_GB2312"/>
          <w:sz w:val="28"/>
          <w:szCs w:val="28"/>
        </w:rPr>
        <w:t>有多APN需求的客户，业务开通流程如下：</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、集团客户向销售省公司提出多APN开卡需求。</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、销售省公司为客户提供不同APN的名称，并负责推动完成不同APN的数据制作（参照APN开通流程）</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、销售省公司按照客户需求，完成多APN的业务开通，包括新建集团、多APN套餐订购、联调测试等。</w:t>
      </w:r>
    </w:p>
    <w:p>
      <w:pPr>
        <w:pStyle w:val="2"/>
        <w:rPr>
          <w:rFonts w:ascii="黑体" w:hAnsi="黑体" w:eastAsia="黑体"/>
          <w:sz w:val="32"/>
          <w:szCs w:val="32"/>
        </w:rPr>
      </w:pPr>
      <w:r>
        <w:rPr>
          <w:rFonts w:hint="eastAsia" w:ascii="黑体" w:hAnsi="黑体" w:eastAsia="黑体"/>
          <w:sz w:val="32"/>
          <w:szCs w:val="32"/>
        </w:rPr>
        <w:t>五、PCC业务开通流程</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针对车联网以及其他物联网业务有多APN关停需求、黑白名单业务需求、分应用控制等需要PCC策略及计费控制的，需要申请业务编码ServiceID、Servicecode等进行策略控制。客户单个项目可申请的ServiceID、servicecode为10个; 客户单个项目可申请的IP&amp;URL的配置条数原则上通用APN不超过100条、专用APN 不超过200条。具体开通流程如下：</w:t>
      </w:r>
    </w:p>
    <w:p>
      <w:pPr>
        <w:spacing w:line="360" w:lineRule="auto"/>
        <w:ind w:firstLine="560" w:firstLineChars="200"/>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、需求发起：由省公司根据相应模板通过物联卡工单管理系统向物联网公司发起局数据申请（后期通过ESOP系统），由物联网公司管理人员审核通过后，分配Servicecode，将申请内容提交至集团DOMS平台。</w:t>
      </w:r>
    </w:p>
    <w:p>
      <w:pPr>
        <w:spacing w:line="360" w:lineRule="auto"/>
        <w:ind w:firstLine="560" w:firstLineChars="200"/>
        <w:rPr>
          <w:rFonts w:ascii="仿宋_GB2312" w:eastAsia="仿宋_GB2312"/>
          <w:sz w:val="28"/>
          <w:szCs w:val="28"/>
        </w:rPr>
      </w:pPr>
      <w:r>
        <w:rPr>
          <w:rFonts w:ascii="仿宋_GB2312" w:eastAsia="仿宋_GB2312"/>
          <w:sz w:val="28"/>
          <w:szCs w:val="28"/>
        </w:rPr>
        <w:t>2</w:t>
      </w:r>
      <w:r>
        <w:rPr>
          <w:rFonts w:hint="eastAsia" w:ascii="仿宋_GB2312" w:eastAsia="仿宋_GB2312"/>
          <w:sz w:val="28"/>
          <w:szCs w:val="28"/>
        </w:rPr>
        <w:t>、需求审批：DOMS平台接到申请后，由集团政企事业部</w:t>
      </w:r>
      <w:r>
        <w:rPr>
          <w:rFonts w:hint="eastAsia" w:ascii="仿宋_GB2312" w:eastAsia="仿宋_GB2312"/>
          <w:sz w:val="28"/>
          <w:szCs w:val="28"/>
          <w:lang w:eastAsia="zh-CN"/>
        </w:rPr>
        <w:t>审批</w:t>
      </w:r>
      <w:r>
        <w:rPr>
          <w:rFonts w:hint="eastAsia" w:ascii="仿宋_GB2312" w:eastAsia="仿宋_GB2312"/>
          <w:sz w:val="28"/>
          <w:szCs w:val="28"/>
        </w:rPr>
        <w:t>，审批通过后分配SID，并将结果通过接口返回物联网公司。</w:t>
      </w:r>
    </w:p>
    <w:p>
      <w:pPr>
        <w:spacing w:line="360" w:lineRule="auto"/>
        <w:ind w:firstLine="560" w:firstLineChars="200"/>
        <w:rPr>
          <w:rFonts w:ascii="仿宋_GB2312" w:eastAsia="仿宋_GB2312"/>
          <w:sz w:val="28"/>
          <w:szCs w:val="28"/>
        </w:rPr>
      </w:pPr>
      <w:r>
        <w:rPr>
          <w:rFonts w:ascii="仿宋_GB2312" w:eastAsia="仿宋_GB2312"/>
          <w:sz w:val="28"/>
          <w:szCs w:val="28"/>
        </w:rPr>
        <w:t>3</w:t>
      </w:r>
      <w:r>
        <w:rPr>
          <w:rFonts w:hint="eastAsia" w:ascii="仿宋_GB2312" w:eastAsia="仿宋_GB2312"/>
          <w:sz w:val="28"/>
          <w:szCs w:val="28"/>
        </w:rPr>
        <w:t>、网络数据制作：物联网公司收到结果后，同专用APN局数据申请提交集团网络部组织实施，并返回相关结果给省公司。</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4、业务支撑系统局数据制作</w:t>
      </w:r>
    </w:p>
    <w:p>
      <w:pPr>
        <w:spacing w:line="360" w:lineRule="auto"/>
        <w:ind w:firstLine="560" w:firstLineChars="200"/>
        <w:rPr>
          <w:rFonts w:ascii="仿宋_GB2312" w:eastAsia="仿宋_GB2312"/>
          <w:sz w:val="28"/>
          <w:szCs w:val="28"/>
        </w:rPr>
      </w:pPr>
      <w:r>
        <w:rPr>
          <w:rFonts w:hint="eastAsia" w:ascii="仿宋_GB2312" w:eastAsia="仿宋_GB2312"/>
          <w:sz w:val="28"/>
          <w:szCs w:val="28"/>
        </w:rPr>
        <w:t>（1）PBOSS局数据制作：通知PBOSS进行APN/ServiceID的定义和配置，定义后的局数据通过集团一级局数据中心分发到内容计费与结算系统、各省局数据中心。由信息技术公司完成集团业务支撑系统局数据的制作；由各省公司完成本省BOSS局数据的制作。</w:t>
      </w:r>
    </w:p>
    <w:p>
      <w:pPr>
        <w:spacing w:line="360" w:lineRule="auto"/>
        <w:ind w:firstLine="560" w:firstLineChars="200"/>
        <w:rPr>
          <w:rFonts w:ascii="仿宋_GB2312" w:eastAsia="仿宋_GB2312"/>
          <w:color w:val="000000" w:themeColor="text1"/>
          <w:sz w:val="28"/>
          <w:szCs w:val="28"/>
        </w:rPr>
      </w:pPr>
      <w:r>
        <w:rPr>
          <w:rFonts w:hint="eastAsia" w:ascii="仿宋_GB2312" w:eastAsia="仿宋_GB2312"/>
          <w:color w:val="000000" w:themeColor="text1"/>
          <w:sz w:val="28"/>
          <w:szCs w:val="28"/>
        </w:rPr>
        <w:t>（2）CMIOT系统局数据制作：目前由物联网公司登录CMIOT系统，在局数据配置页面进行配置，并发布局数据，完成局数据的制作。后期ESOP系统上线后，业务策略按PCC业务工单开通流程线上完成，通过ESOP系统自动同步到CMIOT系统；用户策略由物联网公司登录CMIOT系统，在局数据配置页面进行配置，并发布局数据，完成局数据的制作。</w:t>
      </w:r>
    </w:p>
    <w:p>
      <w:pPr>
        <w:pStyle w:val="2"/>
        <w:rPr>
          <w:rFonts w:ascii="黑体" w:hAnsi="黑体" w:eastAsia="黑体"/>
          <w:sz w:val="32"/>
          <w:szCs w:val="32"/>
        </w:rPr>
      </w:pPr>
      <w:r>
        <w:rPr>
          <w:rFonts w:hint="eastAsia" w:ascii="黑体" w:hAnsi="黑体" w:eastAsia="黑体"/>
          <w:sz w:val="32"/>
          <w:szCs w:val="32"/>
        </w:rPr>
        <w:t>六、短信接入开通流程</w:t>
      </w:r>
    </w:p>
    <w:p>
      <w:pPr>
        <w:pStyle w:val="3"/>
        <w:rPr>
          <w:rFonts w:ascii="仿宋_GB2312" w:eastAsia="仿宋_GB2312"/>
          <w:sz w:val="28"/>
          <w:szCs w:val="28"/>
        </w:rPr>
      </w:pPr>
      <w:r>
        <w:rPr>
          <w:rFonts w:hint="eastAsia" w:ascii="仿宋_GB2312" w:eastAsia="仿宋_GB2312"/>
          <w:sz w:val="28"/>
          <w:szCs w:val="28"/>
        </w:rPr>
        <w:t>（一）短信接入码号段</w:t>
      </w:r>
    </w:p>
    <w:p>
      <w:pPr>
        <w:autoSpaceDN w:val="0"/>
        <w:spacing w:line="360" w:lineRule="auto"/>
        <w:ind w:firstLine="560" w:firstLineChars="200"/>
        <w:rPr>
          <w:rFonts w:eastAsia="仿宋_GB2312"/>
          <w:bCs/>
          <w:color w:val="000000"/>
          <w:sz w:val="28"/>
          <w:szCs w:val="28"/>
        </w:rPr>
      </w:pPr>
      <w:r>
        <w:rPr>
          <w:rFonts w:hint="eastAsia" w:ascii="仿宋_GB2312" w:eastAsia="仿宋_GB2312"/>
          <w:color w:val="000000"/>
          <w:sz w:val="28"/>
          <w:szCs w:val="28"/>
        </w:rPr>
        <w:t>物联网短信</w:t>
      </w:r>
      <w:r>
        <w:rPr>
          <w:rFonts w:hint="eastAsia" w:ascii="仿宋_GB2312" w:eastAsia="仿宋_GB2312"/>
          <w:bCs/>
          <w:color w:val="000000"/>
          <w:sz w:val="28"/>
          <w:szCs w:val="28"/>
        </w:rPr>
        <w:t>业务接入服务代码使用10648990-10648999号段，用于物联网业务平台，全网适用，使用位长13位</w:t>
      </w:r>
      <w:r>
        <w:rPr>
          <w:rFonts w:hint="eastAsia" w:eastAsia="仿宋_GB2312"/>
          <w:bCs/>
          <w:color w:val="000000"/>
          <w:sz w:val="28"/>
          <w:szCs w:val="28"/>
        </w:rPr>
        <w:t>。</w:t>
      </w:r>
    </w:p>
    <w:p>
      <w:pPr>
        <w:autoSpaceDN w:val="0"/>
        <w:spacing w:line="360" w:lineRule="auto"/>
        <w:ind w:firstLine="560" w:firstLineChars="200"/>
        <w:rPr>
          <w:rFonts w:ascii="仿宋_GB2312" w:eastAsia="仿宋_GB2312"/>
          <w:color w:val="000000"/>
          <w:sz w:val="28"/>
          <w:szCs w:val="28"/>
        </w:rPr>
      </w:pPr>
      <w:r>
        <w:rPr>
          <w:rFonts w:hint="eastAsia" w:ascii="仿宋_GB2312" w:eastAsia="仿宋_GB2312"/>
          <w:color w:val="000000"/>
          <w:sz w:val="28"/>
          <w:szCs w:val="28"/>
        </w:rPr>
        <w:t>各公司可根据物联网业务接入号码规划方案，在业务类型满足上述要求的条件下，从相应号段中进行分配。</w:t>
      </w:r>
    </w:p>
    <w:p>
      <w:pPr>
        <w:autoSpaceDN w:val="0"/>
        <w:spacing w:line="360" w:lineRule="auto"/>
        <w:ind w:firstLine="560" w:firstLineChars="200"/>
        <w:rPr>
          <w:rFonts w:ascii="仿宋_GB2312" w:eastAsia="仿宋_GB2312"/>
          <w:color w:val="000000"/>
          <w:sz w:val="28"/>
          <w:szCs w:val="28"/>
        </w:rPr>
      </w:pPr>
      <w:r>
        <w:rPr>
          <w:rFonts w:hint="eastAsia" w:ascii="仿宋_GB2312" w:eastAsia="仿宋_GB2312"/>
          <w:color w:val="000000"/>
          <w:sz w:val="28"/>
          <w:szCs w:val="28"/>
        </w:rPr>
        <w:t>物联网业务短信接入代码规划：</w:t>
      </w:r>
    </w:p>
    <w:p>
      <w:pPr>
        <w:ind w:left="560"/>
        <w:rPr>
          <w:rFonts w:eastAsia="仿宋_GB2312"/>
          <w:bCs/>
          <w:color w:val="000000"/>
          <w:sz w:val="28"/>
          <w:szCs w:val="28"/>
        </w:rPr>
      </w:pPr>
      <w:r>
        <w:rPr>
          <w:rFonts w:eastAsia="仿宋_GB2312"/>
          <w:bCs/>
          <w:color w:val="000000"/>
          <w:sz w:val="28"/>
          <w:szCs w:val="28"/>
        </w:rPr>
        <w:pict>
          <v:shape id="Object 100" o:spid="_x0000_s1026" o:spt="75" type="#_x0000_t75" style="position:absolute;left:0pt;margin-left:36.9pt;margin-top:7.05pt;height:66.45pt;width:308.3pt;z-index:251659264;mso-width-relative:page;mso-height-relative:page;" o:ole="t" filled="f" o:preferrelative="t" stroked="f" coordsize="21600,21600">
            <v:path/>
            <v:fill on="f" focussize="0,0"/>
            <v:stroke on="f" joinstyle="miter"/>
            <v:imagedata r:id="rId5" o:title=""/>
            <o:lock v:ext="edit" aspectratio="t"/>
          </v:shape>
          <o:OLEObject Type="Embed" ProgID="Visio.Drawing.11" ShapeID="Object 100" DrawAspect="Content" ObjectID="_1468075725" r:id="rId4">
            <o:LockedField>false</o:LockedField>
          </o:OLEObject>
        </w:pict>
      </w:r>
    </w:p>
    <w:p>
      <w:pPr>
        <w:ind w:left="560"/>
        <w:rPr>
          <w:rFonts w:eastAsia="仿宋_GB2312"/>
          <w:bCs/>
          <w:color w:val="000000"/>
          <w:sz w:val="28"/>
          <w:szCs w:val="28"/>
        </w:rPr>
      </w:pPr>
    </w:p>
    <w:p>
      <w:pPr>
        <w:autoSpaceDN w:val="0"/>
        <w:spacing w:line="360" w:lineRule="auto"/>
        <w:ind w:firstLine="560" w:firstLineChars="200"/>
        <w:rPr>
          <w:rFonts w:eastAsia="仿宋_GB2312"/>
          <w:color w:val="000000"/>
          <w:sz w:val="28"/>
          <w:szCs w:val="28"/>
        </w:rPr>
      </w:pPr>
    </w:p>
    <w:p>
      <w:pPr>
        <w:autoSpaceDN w:val="0"/>
        <w:spacing w:line="360" w:lineRule="auto"/>
        <w:ind w:firstLine="560" w:firstLineChars="200"/>
        <w:rPr>
          <w:rFonts w:ascii="仿宋_GB2312" w:eastAsia="仿宋_GB2312"/>
          <w:color w:val="000000"/>
          <w:sz w:val="28"/>
          <w:szCs w:val="28"/>
        </w:rPr>
      </w:pPr>
      <w:r>
        <w:rPr>
          <w:rFonts w:hint="eastAsia" w:ascii="仿宋_GB2312" w:eastAsia="仿宋_GB2312"/>
          <w:color w:val="000000"/>
          <w:sz w:val="28"/>
          <w:szCs w:val="28"/>
        </w:rPr>
        <w:t>其中：</w:t>
      </w:r>
    </w:p>
    <w:p>
      <w:pPr>
        <w:autoSpaceDN w:val="0"/>
        <w:spacing w:line="360" w:lineRule="auto"/>
        <w:ind w:firstLine="560" w:firstLineChars="200"/>
        <w:rPr>
          <w:rFonts w:ascii="仿宋_GB2312" w:eastAsia="仿宋_GB2312"/>
          <w:color w:val="000000"/>
          <w:sz w:val="28"/>
          <w:szCs w:val="28"/>
        </w:rPr>
      </w:pPr>
      <w:r>
        <w:rPr>
          <w:rFonts w:hint="eastAsia" w:ascii="微软雅黑" w:hAnsi="微软雅黑" w:eastAsia="微软雅黑" w:cs="微软雅黑"/>
          <w:color w:val="000000"/>
          <w:sz w:val="28"/>
          <w:szCs w:val="28"/>
        </w:rPr>
        <w:t>•</w:t>
      </w:r>
      <w:r>
        <w:rPr>
          <w:rFonts w:ascii="仿宋_GB2312" w:eastAsia="仿宋_GB2312"/>
          <w:color w:val="000000"/>
          <w:sz w:val="28"/>
          <w:szCs w:val="28"/>
        </w:rPr>
        <w:t>XX</w:t>
      </w:r>
      <w:r>
        <w:rPr>
          <w:rFonts w:hint="eastAsia" w:ascii="仿宋_GB2312" w:eastAsia="仿宋_GB2312"/>
          <w:color w:val="000000"/>
          <w:sz w:val="28"/>
          <w:szCs w:val="28"/>
        </w:rPr>
        <w:t>：业务平台接入省编码，用于区别业务平台接入省或管理平台归属省（</w:t>
      </w:r>
      <w:r>
        <w:rPr>
          <w:rFonts w:ascii="仿宋_GB2312" w:eastAsia="仿宋_GB2312"/>
          <w:color w:val="000000"/>
          <w:sz w:val="28"/>
          <w:szCs w:val="28"/>
        </w:rPr>
        <w:t>2</w:t>
      </w:r>
      <w:r>
        <w:rPr>
          <w:rFonts w:hint="eastAsia" w:ascii="仿宋_GB2312" w:eastAsia="仿宋_GB2312"/>
          <w:color w:val="000000"/>
          <w:sz w:val="28"/>
          <w:szCs w:val="28"/>
        </w:rPr>
        <w:t>字节）；</w:t>
      </w:r>
    </w:p>
    <w:p>
      <w:pPr>
        <w:autoSpaceDN w:val="0"/>
        <w:spacing w:line="360" w:lineRule="auto"/>
        <w:ind w:firstLine="560" w:firstLineChars="200"/>
        <w:rPr>
          <w:rFonts w:ascii="仿宋_GB2312" w:eastAsia="仿宋_GB2312"/>
          <w:color w:val="000000"/>
          <w:sz w:val="28"/>
          <w:szCs w:val="28"/>
        </w:rPr>
      </w:pPr>
      <w:r>
        <w:rPr>
          <w:rFonts w:hint="eastAsia" w:ascii="微软雅黑" w:hAnsi="微软雅黑" w:eastAsia="微软雅黑" w:cs="微软雅黑"/>
          <w:color w:val="000000"/>
          <w:sz w:val="28"/>
          <w:szCs w:val="28"/>
        </w:rPr>
        <w:t>•</w:t>
      </w:r>
      <w:r>
        <w:rPr>
          <w:rFonts w:ascii="仿宋_GB2312" w:eastAsia="仿宋_GB2312"/>
          <w:color w:val="000000"/>
          <w:sz w:val="28"/>
          <w:szCs w:val="28"/>
        </w:rPr>
        <w:t>YY</w:t>
      </w:r>
      <w:r>
        <w:rPr>
          <w:rFonts w:hint="eastAsia" w:ascii="仿宋_GB2312" w:eastAsia="仿宋_GB2312"/>
          <w:color w:val="000000"/>
          <w:sz w:val="28"/>
          <w:szCs w:val="28"/>
        </w:rPr>
        <w:t>：平台编码（</w:t>
      </w:r>
      <w:r>
        <w:rPr>
          <w:rFonts w:ascii="仿宋_GB2312" w:eastAsia="仿宋_GB2312"/>
          <w:color w:val="000000"/>
          <w:sz w:val="28"/>
          <w:szCs w:val="28"/>
        </w:rPr>
        <w:t>2</w:t>
      </w:r>
      <w:r>
        <w:rPr>
          <w:rFonts w:hint="eastAsia" w:ascii="仿宋_GB2312" w:eastAsia="仿宋_GB2312"/>
          <w:color w:val="000000"/>
          <w:sz w:val="28"/>
          <w:szCs w:val="28"/>
        </w:rPr>
        <w:t>字节）</w:t>
      </w:r>
    </w:p>
    <w:p>
      <w:pPr>
        <w:autoSpaceDN w:val="0"/>
        <w:spacing w:line="360" w:lineRule="auto"/>
        <w:ind w:firstLine="525" w:firstLineChars="250"/>
        <w:rPr>
          <w:rFonts w:ascii="仿宋_GB2312" w:eastAsia="仿宋_GB2312"/>
          <w:color w:val="000000"/>
          <w:szCs w:val="21"/>
        </w:rPr>
      </w:pPr>
      <w:r>
        <w:rPr>
          <w:rFonts w:hint="eastAsia" w:ascii="微软雅黑" w:hAnsi="微软雅黑" w:eastAsia="微软雅黑" w:cs="微软雅黑"/>
          <w:color w:val="000000"/>
          <w:szCs w:val="21"/>
        </w:rPr>
        <w:t>•</w:t>
      </w:r>
      <w:r>
        <w:rPr>
          <w:rFonts w:ascii="仿宋_GB2312" w:eastAsia="仿宋_GB2312"/>
          <w:color w:val="000000"/>
          <w:sz w:val="28"/>
          <w:szCs w:val="28"/>
        </w:rPr>
        <w:t>ZZ</w:t>
      </w:r>
      <w:r>
        <w:rPr>
          <w:rFonts w:hint="eastAsia" w:ascii="仿宋_GB2312" w:eastAsia="仿宋_GB2312"/>
          <w:color w:val="000000"/>
          <w:sz w:val="28"/>
          <w:szCs w:val="28"/>
        </w:rPr>
        <w:t>：自定义部分（</w:t>
      </w:r>
      <w:r>
        <w:rPr>
          <w:rFonts w:ascii="仿宋_GB2312" w:eastAsia="仿宋_GB2312"/>
          <w:color w:val="000000"/>
          <w:sz w:val="28"/>
          <w:szCs w:val="28"/>
        </w:rPr>
        <w:t>2</w:t>
      </w:r>
      <w:r>
        <w:rPr>
          <w:rFonts w:hint="eastAsia" w:ascii="仿宋_GB2312" w:eastAsia="仿宋_GB2312"/>
          <w:color w:val="000000"/>
          <w:sz w:val="28"/>
          <w:szCs w:val="28"/>
        </w:rPr>
        <w:t>字节）</w:t>
      </w:r>
    </w:p>
    <w:tbl>
      <w:tblPr>
        <w:tblStyle w:val="9"/>
        <w:tblW w:w="103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
        <w:gridCol w:w="2638"/>
        <w:gridCol w:w="1276"/>
        <w:gridCol w:w="709"/>
        <w:gridCol w:w="1559"/>
        <w:gridCol w:w="1701"/>
        <w:gridCol w:w="85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646" w:type="dxa"/>
          </w:tcPr>
          <w:p>
            <w:pPr>
              <w:widowControl/>
              <w:jc w:val="center"/>
              <w:rPr>
                <w:rFonts w:ascii="仿宋_GB2312" w:eastAsia="仿宋_GB2312" w:cs="Arial" w:hAnsiTheme="minorEastAsia"/>
                <w:b/>
                <w:color w:val="000000"/>
                <w:kern w:val="0"/>
                <w:szCs w:val="21"/>
              </w:rPr>
            </w:pPr>
          </w:p>
        </w:tc>
        <w:tc>
          <w:tcPr>
            <w:tcW w:w="2638" w:type="dxa"/>
          </w:tcPr>
          <w:p>
            <w:pPr>
              <w:widowControl/>
              <w:jc w:val="left"/>
              <w:textAlignment w:val="baseline"/>
              <w:rPr>
                <w:rFonts w:ascii="仿宋_GB2312" w:eastAsia="仿宋_GB2312" w:cs="Arial" w:hAnsiTheme="minorEastAsia"/>
                <w:b/>
                <w:color w:val="000000"/>
                <w:kern w:val="0"/>
                <w:szCs w:val="21"/>
              </w:rPr>
            </w:pPr>
            <w:r>
              <w:rPr>
                <w:rFonts w:hint="eastAsia" w:ascii="仿宋_GB2312" w:eastAsia="仿宋_GB2312" w:cs="宋体" w:hAnsiTheme="minorEastAsia"/>
                <w:b/>
                <w:color w:val="000000"/>
                <w:kern w:val="24"/>
                <w:szCs w:val="21"/>
              </w:rPr>
              <w:t xml:space="preserve">号段 </w:t>
            </w:r>
          </w:p>
        </w:tc>
        <w:tc>
          <w:tcPr>
            <w:tcW w:w="1276" w:type="dxa"/>
          </w:tcPr>
          <w:p>
            <w:pPr>
              <w:widowControl/>
              <w:jc w:val="center"/>
              <w:textAlignment w:val="baseline"/>
              <w:rPr>
                <w:rFonts w:ascii="仿宋_GB2312" w:eastAsia="仿宋_GB2312" w:cs="Arial" w:hAnsiTheme="minorEastAsia"/>
                <w:b/>
                <w:color w:val="000000"/>
                <w:kern w:val="0"/>
                <w:szCs w:val="21"/>
              </w:rPr>
            </w:pPr>
            <w:r>
              <w:rPr>
                <w:rFonts w:hint="eastAsia" w:ascii="仿宋_GB2312" w:eastAsia="仿宋_GB2312" w:cs="宋体" w:hAnsiTheme="minorEastAsia"/>
                <w:b/>
                <w:color w:val="000000"/>
                <w:kern w:val="24"/>
                <w:szCs w:val="21"/>
              </w:rPr>
              <w:t>扩展位</w:t>
            </w:r>
          </w:p>
        </w:tc>
        <w:tc>
          <w:tcPr>
            <w:tcW w:w="709" w:type="dxa"/>
          </w:tcPr>
          <w:p>
            <w:pPr>
              <w:widowControl/>
              <w:jc w:val="center"/>
              <w:textAlignment w:val="baseline"/>
              <w:rPr>
                <w:rFonts w:ascii="仿宋_GB2312" w:eastAsia="仿宋_GB2312" w:cs="Arial" w:hAnsiTheme="minorEastAsia"/>
                <w:b/>
                <w:color w:val="000000"/>
                <w:kern w:val="0"/>
                <w:szCs w:val="21"/>
              </w:rPr>
            </w:pPr>
            <w:r>
              <w:rPr>
                <w:rFonts w:hint="eastAsia" w:ascii="仿宋_GB2312" w:eastAsia="仿宋_GB2312" w:cs="宋体" w:hAnsiTheme="minorEastAsia"/>
                <w:b/>
                <w:color w:val="000000"/>
                <w:kern w:val="24"/>
                <w:szCs w:val="21"/>
              </w:rPr>
              <w:t>类型</w:t>
            </w:r>
          </w:p>
        </w:tc>
        <w:tc>
          <w:tcPr>
            <w:tcW w:w="1559" w:type="dxa"/>
          </w:tcPr>
          <w:p>
            <w:pPr>
              <w:widowControl/>
              <w:jc w:val="left"/>
              <w:textAlignment w:val="baseline"/>
              <w:rPr>
                <w:rFonts w:ascii="仿宋_GB2312" w:eastAsia="仿宋_GB2312" w:cs="Arial" w:hAnsiTheme="minorEastAsia"/>
                <w:b/>
                <w:color w:val="000000"/>
                <w:kern w:val="0"/>
                <w:szCs w:val="21"/>
              </w:rPr>
            </w:pPr>
            <w:r>
              <w:rPr>
                <w:rFonts w:hint="eastAsia" w:ascii="仿宋_GB2312" w:eastAsia="仿宋_GB2312" w:cs="宋体" w:hAnsiTheme="minorEastAsia"/>
                <w:b/>
                <w:color w:val="000000"/>
                <w:kern w:val="24"/>
                <w:szCs w:val="21"/>
              </w:rPr>
              <w:t xml:space="preserve">号段用途 </w:t>
            </w:r>
          </w:p>
        </w:tc>
        <w:tc>
          <w:tcPr>
            <w:tcW w:w="1701" w:type="dxa"/>
          </w:tcPr>
          <w:p>
            <w:pPr>
              <w:widowControl/>
              <w:jc w:val="left"/>
              <w:textAlignment w:val="baseline"/>
              <w:rPr>
                <w:rFonts w:ascii="仿宋_GB2312" w:eastAsia="仿宋_GB2312" w:cs="Arial" w:hAnsiTheme="minorEastAsia"/>
                <w:b/>
                <w:color w:val="000000"/>
                <w:kern w:val="0"/>
                <w:szCs w:val="21"/>
              </w:rPr>
            </w:pPr>
            <w:r>
              <w:rPr>
                <w:rFonts w:hint="eastAsia" w:ascii="仿宋_GB2312" w:eastAsia="仿宋_GB2312" w:cs="宋体" w:hAnsiTheme="minorEastAsia"/>
                <w:b/>
                <w:color w:val="000000"/>
                <w:kern w:val="24"/>
                <w:szCs w:val="21"/>
              </w:rPr>
              <w:t xml:space="preserve">分配方式 </w:t>
            </w:r>
          </w:p>
        </w:tc>
        <w:tc>
          <w:tcPr>
            <w:tcW w:w="851" w:type="dxa"/>
          </w:tcPr>
          <w:p>
            <w:pPr>
              <w:widowControl/>
              <w:jc w:val="center"/>
              <w:textAlignment w:val="baseline"/>
              <w:rPr>
                <w:rFonts w:ascii="仿宋_GB2312" w:eastAsia="仿宋_GB2312" w:cs="Arial" w:hAnsiTheme="minorEastAsia"/>
                <w:b/>
                <w:color w:val="000000"/>
                <w:kern w:val="0"/>
                <w:szCs w:val="21"/>
              </w:rPr>
            </w:pPr>
            <w:r>
              <w:rPr>
                <w:rFonts w:hint="eastAsia" w:ascii="仿宋_GB2312" w:eastAsia="仿宋_GB2312" w:cs="宋体" w:hAnsiTheme="minorEastAsia"/>
                <w:b/>
                <w:color w:val="000000"/>
                <w:kern w:val="24"/>
                <w:szCs w:val="21"/>
              </w:rPr>
              <w:t>位长</w:t>
            </w:r>
          </w:p>
        </w:tc>
        <w:tc>
          <w:tcPr>
            <w:tcW w:w="958" w:type="dxa"/>
          </w:tcPr>
          <w:p>
            <w:pPr>
              <w:widowControl/>
              <w:jc w:val="center"/>
              <w:textAlignment w:val="baseline"/>
              <w:rPr>
                <w:rFonts w:ascii="仿宋_GB2312" w:eastAsia="仿宋_GB2312" w:cs="Arial" w:hAnsiTheme="minorEastAsia"/>
                <w:b/>
                <w:color w:val="000000"/>
                <w:kern w:val="0"/>
                <w:szCs w:val="21"/>
              </w:rPr>
            </w:pPr>
            <w:r>
              <w:rPr>
                <w:rFonts w:hint="eastAsia" w:ascii="仿宋_GB2312" w:eastAsia="仿宋_GB2312" w:cs="宋体" w:hAnsiTheme="minorEastAsia"/>
                <w:b/>
                <w:color w:val="000000"/>
                <w:kern w:val="24"/>
                <w:szCs w:val="21"/>
              </w:rPr>
              <w:t>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646"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bCs/>
                <w:color w:val="000000"/>
                <w:kern w:val="24"/>
                <w:szCs w:val="21"/>
              </w:rPr>
              <w:t>1</w:t>
            </w:r>
          </w:p>
        </w:tc>
        <w:tc>
          <w:tcPr>
            <w:tcW w:w="2638" w:type="dxa"/>
          </w:tcPr>
          <w:p>
            <w:pPr>
              <w:widowControl/>
              <w:jc w:val="left"/>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bCs/>
                <w:color w:val="000000"/>
                <w:kern w:val="24"/>
                <w:szCs w:val="21"/>
              </w:rPr>
              <w:t xml:space="preserve">1064899（01-31） </w:t>
            </w:r>
          </w:p>
        </w:tc>
        <w:tc>
          <w:tcPr>
            <w:tcW w:w="1276"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(01-99)+ZZ</w:t>
            </w:r>
          </w:p>
        </w:tc>
        <w:tc>
          <w:tcPr>
            <w:tcW w:w="709"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全网</w:t>
            </w:r>
          </w:p>
        </w:tc>
        <w:tc>
          <w:tcPr>
            <w:tcW w:w="1559" w:type="dxa"/>
          </w:tcPr>
          <w:p>
            <w:pPr>
              <w:widowControl/>
              <w:jc w:val="left"/>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color w:val="000000"/>
                <w:kern w:val="24"/>
                <w:szCs w:val="21"/>
              </w:rPr>
              <w:t>本地接入客户</w:t>
            </w:r>
          </w:p>
        </w:tc>
        <w:tc>
          <w:tcPr>
            <w:tcW w:w="1701" w:type="dxa"/>
          </w:tcPr>
          <w:p>
            <w:pPr>
              <w:widowControl/>
              <w:jc w:val="left"/>
              <w:rPr>
                <w:rFonts w:ascii="仿宋_GB2312" w:eastAsia="仿宋_GB2312" w:cs="Arial" w:hAnsiTheme="minorEastAsia"/>
                <w:color w:val="000000"/>
                <w:kern w:val="0"/>
                <w:szCs w:val="21"/>
              </w:rPr>
            </w:pPr>
            <w:r>
              <w:rPr>
                <w:rFonts w:hint="eastAsia" w:ascii="仿宋_GB2312" w:eastAsia="仿宋_GB2312" w:cs="Arial" w:hAnsiTheme="minorEastAsia"/>
                <w:color w:val="000000"/>
                <w:kern w:val="0"/>
                <w:szCs w:val="21"/>
              </w:rPr>
              <w:t>省公司分配</w:t>
            </w:r>
          </w:p>
        </w:tc>
        <w:tc>
          <w:tcPr>
            <w:tcW w:w="851"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13位</w:t>
            </w:r>
          </w:p>
        </w:tc>
        <w:tc>
          <w:tcPr>
            <w:tcW w:w="958"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1万*31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646"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bCs/>
                <w:color w:val="000000"/>
                <w:kern w:val="24"/>
                <w:szCs w:val="21"/>
              </w:rPr>
              <w:t>2</w:t>
            </w:r>
          </w:p>
        </w:tc>
        <w:tc>
          <w:tcPr>
            <w:tcW w:w="2638" w:type="dxa"/>
          </w:tcPr>
          <w:p>
            <w:pPr>
              <w:widowControl/>
              <w:jc w:val="left"/>
              <w:rPr>
                <w:rFonts w:ascii="仿宋_GB2312" w:eastAsia="仿宋_GB2312" w:cs="Arial" w:hAnsiTheme="minorEastAsia"/>
                <w:color w:val="000000"/>
                <w:kern w:val="0"/>
                <w:szCs w:val="21"/>
              </w:rPr>
            </w:pPr>
            <w:r>
              <w:rPr>
                <w:rFonts w:hint="eastAsia" w:ascii="仿宋_GB2312" w:eastAsia="仿宋_GB2312" w:cs="Arial" w:hAnsiTheme="minorEastAsia"/>
                <w:bCs/>
                <w:color w:val="000000"/>
                <w:kern w:val="24"/>
                <w:szCs w:val="21"/>
              </w:rPr>
              <w:t>1064899</w:t>
            </w:r>
            <w:r>
              <w:rPr>
                <w:rFonts w:hint="eastAsia" w:ascii="仿宋_GB2312" w:eastAsia="仿宋_GB2312" w:cs="宋体" w:hAnsiTheme="minorEastAsia"/>
                <w:bCs/>
                <w:color w:val="000000"/>
                <w:kern w:val="24"/>
                <w:szCs w:val="21"/>
              </w:rPr>
              <w:t>(</w:t>
            </w:r>
            <w:r>
              <w:rPr>
                <w:rFonts w:hint="eastAsia" w:ascii="仿宋_GB2312" w:eastAsia="仿宋_GB2312" w:cs="Arial" w:hAnsiTheme="minorEastAsia"/>
                <w:bCs/>
                <w:color w:val="000000"/>
                <w:kern w:val="24"/>
                <w:szCs w:val="21"/>
              </w:rPr>
              <w:t>35-36)</w:t>
            </w:r>
          </w:p>
        </w:tc>
        <w:tc>
          <w:tcPr>
            <w:tcW w:w="1276"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(01-99)+ZZ</w:t>
            </w:r>
          </w:p>
        </w:tc>
        <w:tc>
          <w:tcPr>
            <w:tcW w:w="709"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全网</w:t>
            </w:r>
          </w:p>
        </w:tc>
        <w:tc>
          <w:tcPr>
            <w:tcW w:w="1559" w:type="dxa"/>
          </w:tcPr>
          <w:p>
            <w:pPr>
              <w:widowControl/>
              <w:jc w:val="left"/>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color w:val="000000"/>
                <w:kern w:val="24"/>
                <w:szCs w:val="21"/>
              </w:rPr>
              <w:t>全网接入客户</w:t>
            </w:r>
          </w:p>
        </w:tc>
        <w:tc>
          <w:tcPr>
            <w:tcW w:w="1701" w:type="dxa"/>
          </w:tcPr>
          <w:p>
            <w:pPr>
              <w:widowControl/>
              <w:jc w:val="left"/>
              <w:rPr>
                <w:rFonts w:ascii="仿宋_GB2312" w:eastAsia="仿宋_GB2312" w:cs="Arial" w:hAnsiTheme="minorEastAsia"/>
                <w:color w:val="000000"/>
                <w:kern w:val="0"/>
                <w:szCs w:val="21"/>
              </w:rPr>
            </w:pPr>
            <w:r>
              <w:rPr>
                <w:rFonts w:hint="eastAsia" w:ascii="仿宋_GB2312" w:eastAsia="仿宋_GB2312" w:cs="Arial" w:hAnsiTheme="minorEastAsia"/>
                <w:color w:val="000000"/>
                <w:kern w:val="24"/>
                <w:szCs w:val="21"/>
              </w:rPr>
              <w:t xml:space="preserve">政企事业部分配 </w:t>
            </w:r>
          </w:p>
        </w:tc>
        <w:tc>
          <w:tcPr>
            <w:tcW w:w="851" w:type="dxa"/>
          </w:tcPr>
          <w:p>
            <w:pPr>
              <w:widowControl/>
              <w:jc w:val="center"/>
              <w:rPr>
                <w:rFonts w:ascii="仿宋_GB2312" w:eastAsia="仿宋_GB2312" w:cs="Arial" w:hAnsiTheme="minorEastAsia"/>
                <w:color w:val="000000"/>
                <w:kern w:val="0"/>
                <w:szCs w:val="21"/>
              </w:rPr>
            </w:pPr>
            <w:r>
              <w:rPr>
                <w:rFonts w:hint="eastAsia" w:ascii="仿宋_GB2312" w:eastAsia="仿宋_GB2312" w:cs="Arial" w:hAnsiTheme="minorEastAsia"/>
                <w:color w:val="000000"/>
                <w:kern w:val="24"/>
                <w:szCs w:val="21"/>
              </w:rPr>
              <w:t>13位</w:t>
            </w:r>
          </w:p>
        </w:tc>
        <w:tc>
          <w:tcPr>
            <w:tcW w:w="958" w:type="dxa"/>
          </w:tcPr>
          <w:p>
            <w:pPr>
              <w:widowControl/>
              <w:jc w:val="center"/>
              <w:rPr>
                <w:rFonts w:ascii="仿宋_GB2312" w:eastAsia="仿宋_GB2312" w:cs="Arial" w:hAnsiTheme="minorEastAsia"/>
                <w:color w:val="000000"/>
                <w:kern w:val="0"/>
                <w:szCs w:val="21"/>
              </w:rPr>
            </w:pPr>
            <w:r>
              <w:rPr>
                <w:rFonts w:hint="eastAsia" w:ascii="仿宋_GB2312" w:eastAsia="仿宋_GB2312" w:cs="Arial" w:hAnsiTheme="minorEastAsia"/>
                <w:color w:val="000000"/>
                <w:kern w:val="24"/>
                <w:szCs w:val="21"/>
              </w:rPr>
              <w:t>2万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646" w:type="dxa"/>
          </w:tcPr>
          <w:p>
            <w:pPr>
              <w:widowControl/>
              <w:jc w:val="center"/>
              <w:textAlignment w:val="baseline"/>
              <w:rPr>
                <w:rFonts w:ascii="仿宋_GB2312" w:eastAsia="仿宋_GB2312" w:cs="宋体" w:hAnsiTheme="minorEastAsia"/>
                <w:bCs/>
                <w:color w:val="000000"/>
                <w:kern w:val="24"/>
                <w:szCs w:val="21"/>
              </w:rPr>
            </w:pPr>
            <w:r>
              <w:rPr>
                <w:rFonts w:hint="eastAsia" w:ascii="仿宋_GB2312" w:eastAsia="仿宋_GB2312" w:cs="宋体" w:hAnsiTheme="minorEastAsia"/>
                <w:bCs/>
                <w:color w:val="000000"/>
                <w:kern w:val="24"/>
                <w:szCs w:val="21"/>
              </w:rPr>
              <w:t>3</w:t>
            </w:r>
          </w:p>
        </w:tc>
        <w:tc>
          <w:tcPr>
            <w:tcW w:w="2638" w:type="dxa"/>
          </w:tcPr>
          <w:p>
            <w:pPr>
              <w:widowControl/>
              <w:jc w:val="left"/>
              <w:rPr>
                <w:rFonts w:ascii="仿宋_GB2312" w:eastAsia="仿宋_GB2312" w:cs="Arial" w:hAnsiTheme="minorEastAsia"/>
                <w:bCs/>
                <w:color w:val="000000"/>
                <w:kern w:val="24"/>
                <w:szCs w:val="21"/>
              </w:rPr>
            </w:pPr>
            <w:r>
              <w:rPr>
                <w:rFonts w:hint="eastAsia" w:ascii="仿宋_GB2312" w:eastAsia="仿宋_GB2312" w:cs="宋体" w:hAnsiTheme="minorEastAsia"/>
                <w:bCs/>
                <w:color w:val="000000"/>
                <w:kern w:val="24"/>
                <w:szCs w:val="21"/>
              </w:rPr>
              <w:t xml:space="preserve">1064899（37-38） </w:t>
            </w:r>
          </w:p>
        </w:tc>
        <w:tc>
          <w:tcPr>
            <w:tcW w:w="1276" w:type="dxa"/>
          </w:tcPr>
          <w:p>
            <w:pPr>
              <w:widowControl/>
              <w:jc w:val="center"/>
              <w:textAlignment w:val="baseline"/>
              <w:rPr>
                <w:rFonts w:ascii="仿宋_GB2312" w:eastAsia="仿宋_GB2312" w:cs="宋体" w:hAnsiTheme="minorEastAsia"/>
                <w:color w:val="000000"/>
                <w:kern w:val="24"/>
                <w:szCs w:val="21"/>
              </w:rPr>
            </w:pPr>
            <w:r>
              <w:rPr>
                <w:rFonts w:hint="eastAsia" w:ascii="仿宋_GB2312" w:eastAsia="仿宋_GB2312" w:cs="Arial" w:hAnsiTheme="minorEastAsia"/>
                <w:color w:val="000000"/>
                <w:kern w:val="0"/>
                <w:szCs w:val="21"/>
              </w:rPr>
              <w:t>00+ZZ</w:t>
            </w:r>
          </w:p>
        </w:tc>
        <w:tc>
          <w:tcPr>
            <w:tcW w:w="709" w:type="dxa"/>
          </w:tcPr>
          <w:p>
            <w:pPr>
              <w:widowControl/>
              <w:jc w:val="center"/>
              <w:textAlignment w:val="baseline"/>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全网</w:t>
            </w:r>
          </w:p>
        </w:tc>
        <w:tc>
          <w:tcPr>
            <w:tcW w:w="1559" w:type="dxa"/>
          </w:tcPr>
          <w:p>
            <w:pPr>
              <w:widowControl/>
              <w:jc w:val="left"/>
              <w:textAlignment w:val="baseline"/>
              <w:rPr>
                <w:rFonts w:ascii="仿宋_GB2312" w:eastAsia="仿宋_GB2312" w:cs="Arial" w:hAnsiTheme="minorEastAsia"/>
                <w:color w:val="000000"/>
                <w:kern w:val="24"/>
                <w:szCs w:val="21"/>
              </w:rPr>
            </w:pPr>
            <w:r>
              <w:rPr>
                <w:rFonts w:hint="eastAsia" w:ascii="仿宋_GB2312" w:eastAsia="仿宋_GB2312" w:cs="宋体" w:hAnsiTheme="minorEastAsia"/>
                <w:color w:val="000000"/>
                <w:kern w:val="24"/>
                <w:szCs w:val="21"/>
              </w:rPr>
              <w:t>全网自有业务</w:t>
            </w:r>
          </w:p>
        </w:tc>
        <w:tc>
          <w:tcPr>
            <w:tcW w:w="1701" w:type="dxa"/>
          </w:tcPr>
          <w:p>
            <w:pPr>
              <w:widowControl/>
              <w:jc w:val="left"/>
              <w:rPr>
                <w:rFonts w:ascii="仿宋_GB2312" w:eastAsia="仿宋_GB2312" w:cs="Arial" w:hAnsiTheme="minorEastAsia"/>
                <w:color w:val="000000"/>
                <w:kern w:val="24"/>
                <w:szCs w:val="21"/>
              </w:rPr>
            </w:pPr>
            <w:r>
              <w:rPr>
                <w:rFonts w:hint="eastAsia" w:ascii="仿宋_GB2312" w:eastAsia="仿宋_GB2312" w:cs="Arial" w:hAnsiTheme="minorEastAsia"/>
                <w:color w:val="000000"/>
                <w:kern w:val="0"/>
                <w:szCs w:val="21"/>
              </w:rPr>
              <w:t>物联网公司</w:t>
            </w:r>
          </w:p>
        </w:tc>
        <w:tc>
          <w:tcPr>
            <w:tcW w:w="851" w:type="dxa"/>
          </w:tcPr>
          <w:p>
            <w:pPr>
              <w:widowControl/>
              <w:jc w:val="center"/>
              <w:rPr>
                <w:rFonts w:ascii="仿宋_GB2312" w:eastAsia="仿宋_GB2312" w:cs="Arial" w:hAnsiTheme="minorEastAsia"/>
                <w:color w:val="000000"/>
                <w:kern w:val="24"/>
                <w:szCs w:val="21"/>
              </w:rPr>
            </w:pPr>
            <w:r>
              <w:rPr>
                <w:rFonts w:hint="eastAsia" w:ascii="仿宋_GB2312" w:eastAsia="仿宋_GB2312" w:cs="Arial" w:hAnsiTheme="minorEastAsia"/>
                <w:color w:val="000000"/>
                <w:kern w:val="0"/>
                <w:szCs w:val="21"/>
              </w:rPr>
              <w:t>13位</w:t>
            </w:r>
          </w:p>
        </w:tc>
        <w:tc>
          <w:tcPr>
            <w:tcW w:w="958" w:type="dxa"/>
          </w:tcPr>
          <w:p>
            <w:pPr>
              <w:widowControl/>
              <w:jc w:val="center"/>
              <w:rPr>
                <w:rFonts w:ascii="仿宋_GB2312" w:eastAsia="仿宋_GB2312" w:cs="Arial" w:hAnsiTheme="minorEastAsia"/>
                <w:color w:val="000000"/>
                <w:kern w:val="24"/>
                <w:szCs w:val="21"/>
              </w:rPr>
            </w:pPr>
            <w:r>
              <w:rPr>
                <w:rFonts w:hint="eastAsia" w:ascii="仿宋_GB2312" w:eastAsia="仿宋_GB2312" w:cs="宋体" w:hAnsiTheme="minorEastAsia"/>
                <w:color w:val="000000"/>
                <w:kern w:val="24"/>
                <w:szCs w:val="21"/>
              </w:rPr>
              <w:t>2万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646" w:type="dxa"/>
          </w:tcPr>
          <w:p>
            <w:pPr>
              <w:widowControl/>
              <w:jc w:val="center"/>
              <w:textAlignment w:val="baseline"/>
              <w:rPr>
                <w:rFonts w:ascii="仿宋_GB2312" w:eastAsia="仿宋_GB2312" w:cs="宋体" w:hAnsiTheme="minorEastAsia"/>
                <w:bCs/>
                <w:color w:val="000000"/>
                <w:kern w:val="24"/>
                <w:szCs w:val="21"/>
              </w:rPr>
            </w:pPr>
            <w:r>
              <w:rPr>
                <w:rFonts w:hint="eastAsia" w:ascii="仿宋_GB2312" w:eastAsia="仿宋_GB2312" w:cs="宋体" w:hAnsiTheme="minorEastAsia"/>
                <w:bCs/>
                <w:color w:val="000000"/>
                <w:kern w:val="24"/>
                <w:szCs w:val="21"/>
              </w:rPr>
              <w:t>4</w:t>
            </w:r>
          </w:p>
        </w:tc>
        <w:tc>
          <w:tcPr>
            <w:tcW w:w="2638" w:type="dxa"/>
          </w:tcPr>
          <w:p>
            <w:pPr>
              <w:widowControl/>
              <w:jc w:val="left"/>
              <w:rPr>
                <w:rFonts w:ascii="仿宋_GB2312" w:eastAsia="仿宋_GB2312" w:cs="宋体" w:hAnsiTheme="minorEastAsia"/>
                <w:bCs/>
                <w:color w:val="000000"/>
                <w:kern w:val="24"/>
                <w:szCs w:val="21"/>
              </w:rPr>
            </w:pPr>
            <w:r>
              <w:rPr>
                <w:rFonts w:hint="eastAsia" w:ascii="仿宋_GB2312" w:eastAsia="仿宋_GB2312" w:cs="宋体" w:hAnsiTheme="minorEastAsia"/>
                <w:bCs/>
                <w:color w:val="000000"/>
                <w:kern w:val="24"/>
                <w:szCs w:val="21"/>
              </w:rPr>
              <w:t>1064899(99)</w:t>
            </w:r>
          </w:p>
        </w:tc>
        <w:tc>
          <w:tcPr>
            <w:tcW w:w="1276" w:type="dxa"/>
          </w:tcPr>
          <w:p>
            <w:pPr>
              <w:widowControl/>
              <w:jc w:val="center"/>
              <w:textAlignment w:val="baseline"/>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YYZZ</w:t>
            </w:r>
          </w:p>
        </w:tc>
        <w:tc>
          <w:tcPr>
            <w:tcW w:w="709" w:type="dxa"/>
          </w:tcPr>
          <w:p>
            <w:pPr>
              <w:widowControl/>
              <w:jc w:val="center"/>
              <w:textAlignment w:val="baseline"/>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全网</w:t>
            </w:r>
          </w:p>
        </w:tc>
        <w:tc>
          <w:tcPr>
            <w:tcW w:w="1559" w:type="dxa"/>
          </w:tcPr>
          <w:p>
            <w:pPr>
              <w:widowControl/>
              <w:jc w:val="left"/>
              <w:textAlignment w:val="baseline"/>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 xml:space="preserve">全网自有业务 </w:t>
            </w:r>
          </w:p>
        </w:tc>
        <w:tc>
          <w:tcPr>
            <w:tcW w:w="1701" w:type="dxa"/>
          </w:tcPr>
          <w:p>
            <w:pPr>
              <w:widowControl/>
              <w:jc w:val="left"/>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 xml:space="preserve">有限公司分配 </w:t>
            </w:r>
          </w:p>
        </w:tc>
        <w:tc>
          <w:tcPr>
            <w:tcW w:w="851" w:type="dxa"/>
          </w:tcPr>
          <w:p>
            <w:pPr>
              <w:widowControl/>
              <w:jc w:val="center"/>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13位</w:t>
            </w:r>
          </w:p>
        </w:tc>
        <w:tc>
          <w:tcPr>
            <w:tcW w:w="958" w:type="dxa"/>
          </w:tcPr>
          <w:p>
            <w:pPr>
              <w:widowControl/>
              <w:jc w:val="center"/>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1万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jc w:val="center"/>
        </w:trPr>
        <w:tc>
          <w:tcPr>
            <w:tcW w:w="646"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bCs/>
                <w:color w:val="000000"/>
                <w:kern w:val="24"/>
                <w:szCs w:val="21"/>
              </w:rPr>
              <w:t>5</w:t>
            </w:r>
          </w:p>
        </w:tc>
        <w:tc>
          <w:tcPr>
            <w:tcW w:w="2638" w:type="dxa"/>
          </w:tcPr>
          <w:p>
            <w:pPr>
              <w:widowControl/>
              <w:jc w:val="left"/>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bCs/>
                <w:color w:val="000000"/>
                <w:kern w:val="24"/>
                <w:szCs w:val="21"/>
              </w:rPr>
              <w:t xml:space="preserve">1064899（00、32-34、39-98） </w:t>
            </w:r>
          </w:p>
        </w:tc>
        <w:tc>
          <w:tcPr>
            <w:tcW w:w="1276" w:type="dxa"/>
          </w:tcPr>
          <w:p>
            <w:pPr>
              <w:widowControl/>
              <w:jc w:val="center"/>
              <w:rPr>
                <w:rFonts w:ascii="仿宋_GB2312" w:eastAsia="仿宋_GB2312" w:cs="Arial" w:hAnsiTheme="minorEastAsia"/>
                <w:color w:val="000000"/>
                <w:kern w:val="0"/>
                <w:szCs w:val="21"/>
              </w:rPr>
            </w:pPr>
          </w:p>
        </w:tc>
        <w:tc>
          <w:tcPr>
            <w:tcW w:w="709"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全网</w:t>
            </w:r>
          </w:p>
        </w:tc>
        <w:tc>
          <w:tcPr>
            <w:tcW w:w="1559" w:type="dxa"/>
          </w:tcPr>
          <w:p>
            <w:pPr>
              <w:widowControl/>
              <w:jc w:val="left"/>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预留</w:t>
            </w:r>
          </w:p>
        </w:tc>
        <w:tc>
          <w:tcPr>
            <w:tcW w:w="1701" w:type="dxa"/>
          </w:tcPr>
          <w:p>
            <w:pPr>
              <w:widowControl/>
              <w:jc w:val="left"/>
              <w:rPr>
                <w:rFonts w:ascii="仿宋_GB2312" w:eastAsia="仿宋_GB2312" w:cs="Arial" w:hAnsiTheme="minorEastAsia"/>
                <w:color w:val="000000"/>
                <w:kern w:val="0"/>
                <w:szCs w:val="21"/>
              </w:rPr>
            </w:pPr>
          </w:p>
        </w:tc>
        <w:tc>
          <w:tcPr>
            <w:tcW w:w="851" w:type="dxa"/>
          </w:tcPr>
          <w:p>
            <w:pPr>
              <w:widowControl/>
              <w:jc w:val="center"/>
              <w:rPr>
                <w:rFonts w:ascii="仿宋_GB2312" w:eastAsia="仿宋_GB2312" w:cs="Arial" w:hAnsiTheme="minorEastAsia"/>
                <w:color w:val="000000"/>
                <w:kern w:val="0"/>
                <w:szCs w:val="21"/>
              </w:rPr>
            </w:pPr>
          </w:p>
        </w:tc>
        <w:tc>
          <w:tcPr>
            <w:tcW w:w="958" w:type="dxa"/>
          </w:tcPr>
          <w:p>
            <w:pPr>
              <w:widowControl/>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64万</w:t>
            </w:r>
          </w:p>
        </w:tc>
      </w:tr>
    </w:tbl>
    <w:p/>
    <w:p>
      <w:pPr>
        <w:autoSpaceDN w:val="0"/>
        <w:spacing w:line="360" w:lineRule="auto"/>
        <w:ind w:firstLine="560" w:firstLineChars="200"/>
        <w:rPr>
          <w:rFonts w:ascii="仿宋_GB2312" w:eastAsia="仿宋_GB2312"/>
          <w:color w:val="000000"/>
          <w:sz w:val="28"/>
          <w:szCs w:val="28"/>
        </w:rPr>
      </w:pPr>
      <w:r>
        <w:rPr>
          <w:rFonts w:hint="eastAsia" w:ascii="仿宋_GB2312" w:eastAsia="仿宋_GB2312"/>
          <w:color w:val="000000"/>
          <w:sz w:val="28"/>
          <w:szCs w:val="28"/>
        </w:rPr>
        <w:t>省编码如下：</w:t>
      </w:r>
    </w:p>
    <w:tbl>
      <w:tblPr>
        <w:tblStyle w:val="9"/>
        <w:tblW w:w="9482" w:type="dxa"/>
        <w:tblInd w:w="-294" w:type="dxa"/>
        <w:tblLayout w:type="autofit"/>
        <w:tblCellMar>
          <w:top w:w="0" w:type="dxa"/>
          <w:left w:w="0" w:type="dxa"/>
          <w:bottom w:w="0" w:type="dxa"/>
          <w:right w:w="0" w:type="dxa"/>
        </w:tblCellMar>
      </w:tblPr>
      <w:tblGrid>
        <w:gridCol w:w="1506"/>
        <w:gridCol w:w="1656"/>
        <w:gridCol w:w="1504"/>
        <w:gridCol w:w="1655"/>
        <w:gridCol w:w="1355"/>
        <w:gridCol w:w="1806"/>
      </w:tblGrid>
      <w:tr>
        <w:tblPrEx>
          <w:tblCellMar>
            <w:top w:w="0" w:type="dxa"/>
            <w:left w:w="0" w:type="dxa"/>
            <w:bottom w:w="0" w:type="dxa"/>
            <w:right w:w="0" w:type="dxa"/>
          </w:tblCellMar>
        </w:tblPrEx>
        <w:trPr>
          <w:trHeight w:val="304"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00"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b/>
                <w:bCs/>
                <w:color w:val="000000"/>
                <w:kern w:val="24"/>
                <w:szCs w:val="21"/>
              </w:rPr>
              <w:t>编码</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00"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b/>
                <w:bCs/>
                <w:color w:val="000000"/>
                <w:kern w:val="24"/>
                <w:szCs w:val="21"/>
              </w:rPr>
              <w:t>省公司</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00"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b/>
                <w:bCs/>
                <w:color w:val="000000"/>
                <w:kern w:val="24"/>
                <w:szCs w:val="21"/>
              </w:rPr>
              <w:t>编码</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00"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b/>
                <w:bCs/>
                <w:color w:val="000000"/>
                <w:kern w:val="24"/>
                <w:szCs w:val="21"/>
              </w:rPr>
              <w:t>省公司</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00"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b/>
                <w:bCs/>
                <w:color w:val="000000"/>
                <w:kern w:val="24"/>
                <w:szCs w:val="21"/>
              </w:rPr>
              <w:t>编码</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00"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Arial" w:hAnsiTheme="minorEastAsia"/>
                <w:b/>
                <w:bCs/>
                <w:color w:val="000000"/>
                <w:kern w:val="24"/>
                <w:szCs w:val="21"/>
              </w:rPr>
              <w:t>省公司</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01</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北京</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12</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安徽</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23</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四川</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02</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天津</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13</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福建</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24</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贵州</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03</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河北</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14</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江西</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25</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云南</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04</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山西</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15</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山东</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26</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陕西</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05</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内蒙古</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16</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河南</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27</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甘肃</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06</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辽宁</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17</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湖北</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28</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青海</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07</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吉林</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18</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湖南</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29</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宁夏</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08</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黑龙江</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19</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广东</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30</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新疆</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09</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上海</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20</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海南</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31</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西藏</w:t>
            </w:r>
          </w:p>
        </w:tc>
      </w:tr>
      <w:tr>
        <w:tblPrEx>
          <w:tblCellMar>
            <w:top w:w="0" w:type="dxa"/>
            <w:left w:w="0" w:type="dxa"/>
            <w:bottom w:w="0" w:type="dxa"/>
            <w:right w:w="0" w:type="dxa"/>
          </w:tblCellMar>
        </w:tblPrEx>
        <w:trPr>
          <w:trHeight w:val="319"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10</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江苏</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21</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广西</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35-36</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315"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政企事业部</w:t>
            </w:r>
          </w:p>
        </w:tc>
      </w:tr>
      <w:tr>
        <w:tblPrEx>
          <w:tblCellMar>
            <w:top w:w="0" w:type="dxa"/>
            <w:left w:w="0" w:type="dxa"/>
            <w:bottom w:w="0" w:type="dxa"/>
            <w:right w:w="0" w:type="dxa"/>
          </w:tblCellMar>
        </w:tblPrEx>
        <w:trPr>
          <w:trHeight w:val="202"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11</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浙江</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22</w:t>
            </w: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重庆</w:t>
            </w: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Arial" w:hAnsiTheme="minorEastAsia"/>
                <w:color w:val="000000"/>
                <w:kern w:val="0"/>
                <w:szCs w:val="21"/>
              </w:rPr>
            </w:pPr>
            <w:r>
              <w:rPr>
                <w:rFonts w:hint="eastAsia" w:ascii="仿宋_GB2312" w:eastAsia="仿宋_GB2312" w:hAnsiTheme="minorEastAsia"/>
                <w:color w:val="000000"/>
                <w:kern w:val="24"/>
                <w:szCs w:val="21"/>
              </w:rPr>
              <w:t>37-38</w:t>
            </w: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Arial" w:hAnsiTheme="minorEastAsia"/>
                <w:color w:val="000000"/>
                <w:kern w:val="0"/>
                <w:szCs w:val="21"/>
              </w:rPr>
            </w:pPr>
            <w:r>
              <w:rPr>
                <w:rFonts w:hint="eastAsia" w:ascii="仿宋_GB2312" w:eastAsia="仿宋_GB2312" w:cs="宋体" w:hAnsiTheme="minorEastAsia"/>
                <w:color w:val="000000"/>
                <w:kern w:val="24"/>
                <w:szCs w:val="21"/>
              </w:rPr>
              <w:t>物联网公司</w:t>
            </w:r>
          </w:p>
        </w:tc>
      </w:tr>
      <w:tr>
        <w:tblPrEx>
          <w:tblCellMar>
            <w:top w:w="0" w:type="dxa"/>
            <w:left w:w="0" w:type="dxa"/>
            <w:bottom w:w="0" w:type="dxa"/>
            <w:right w:w="0" w:type="dxa"/>
          </w:tblCellMar>
        </w:tblPrEx>
        <w:trPr>
          <w:trHeight w:val="202" w:hRule="atLeast"/>
        </w:trPr>
        <w:tc>
          <w:tcPr>
            <w:tcW w:w="15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hAnsiTheme="minorEastAsia"/>
                <w:color w:val="000000"/>
                <w:kern w:val="24"/>
                <w:szCs w:val="21"/>
              </w:rPr>
            </w:pPr>
            <w:r>
              <w:rPr>
                <w:rFonts w:hint="eastAsia" w:ascii="仿宋_GB2312" w:eastAsia="仿宋_GB2312" w:hAnsiTheme="minorEastAsia"/>
                <w:color w:val="000000"/>
                <w:kern w:val="24"/>
                <w:szCs w:val="21"/>
              </w:rPr>
              <w:t>99</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宋体" w:hAnsiTheme="minorEastAsia"/>
                <w:color w:val="000000"/>
                <w:kern w:val="24"/>
                <w:szCs w:val="21"/>
              </w:rPr>
            </w:pPr>
            <w:r>
              <w:rPr>
                <w:rFonts w:hint="eastAsia" w:ascii="仿宋_GB2312" w:eastAsia="仿宋_GB2312" w:cs="宋体" w:hAnsiTheme="minorEastAsia"/>
                <w:color w:val="000000"/>
                <w:kern w:val="24"/>
                <w:szCs w:val="21"/>
              </w:rPr>
              <w:t>集团</w:t>
            </w:r>
          </w:p>
        </w:tc>
        <w:tc>
          <w:tcPr>
            <w:tcW w:w="150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hAnsiTheme="minorEastAsia"/>
                <w:color w:val="000000"/>
                <w:kern w:val="24"/>
                <w:szCs w:val="21"/>
              </w:rPr>
            </w:pPr>
          </w:p>
        </w:tc>
        <w:tc>
          <w:tcPr>
            <w:tcW w:w="16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宋体" w:hAnsiTheme="minorEastAsia"/>
                <w:color w:val="000000"/>
                <w:kern w:val="24"/>
                <w:szCs w:val="21"/>
              </w:rPr>
            </w:pPr>
          </w:p>
        </w:tc>
        <w:tc>
          <w:tcPr>
            <w:tcW w:w="135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hAnsiTheme="minorEastAsia"/>
                <w:color w:val="000000"/>
                <w:kern w:val="24"/>
                <w:szCs w:val="21"/>
              </w:rPr>
            </w:pPr>
          </w:p>
        </w:tc>
        <w:tc>
          <w:tcPr>
            <w:tcW w:w="180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bottom"/>
          </w:tcPr>
          <w:p>
            <w:pPr>
              <w:widowControl/>
              <w:spacing w:line="199" w:lineRule="atLeast"/>
              <w:jc w:val="center"/>
              <w:textAlignment w:val="baseline"/>
              <w:rPr>
                <w:rFonts w:ascii="仿宋_GB2312" w:eastAsia="仿宋_GB2312" w:cs="宋体" w:hAnsiTheme="minorEastAsia"/>
                <w:color w:val="000000"/>
                <w:kern w:val="24"/>
                <w:szCs w:val="21"/>
              </w:rPr>
            </w:pPr>
          </w:p>
        </w:tc>
      </w:tr>
    </w:tbl>
    <w:p>
      <w:pPr>
        <w:pStyle w:val="3"/>
        <w:rPr>
          <w:rFonts w:ascii="仿宋_GB2312" w:eastAsia="仿宋_GB2312"/>
          <w:sz w:val="28"/>
          <w:szCs w:val="28"/>
        </w:rPr>
      </w:pPr>
      <w:r>
        <w:rPr>
          <w:rFonts w:hint="eastAsia" w:ascii="仿宋_GB2312" w:eastAsia="仿宋_GB2312"/>
          <w:sz w:val="28"/>
          <w:szCs w:val="28"/>
        </w:rPr>
        <w:t>（二）短信接入码分配原则</w:t>
      </w:r>
    </w:p>
    <w:p>
      <w:pPr>
        <w:autoSpaceDN w:val="0"/>
        <w:spacing w:line="360" w:lineRule="auto"/>
        <w:ind w:firstLine="560" w:firstLineChars="200"/>
        <w:rPr>
          <w:rFonts w:ascii="仿宋_GB2312" w:eastAsia="仿宋_GB2312"/>
          <w:color w:val="000000"/>
          <w:sz w:val="28"/>
          <w:szCs w:val="28"/>
        </w:rPr>
      </w:pPr>
      <w:r>
        <w:rPr>
          <w:rFonts w:hint="eastAsia" w:ascii="仿宋_GB2312" w:eastAsia="仿宋_GB2312"/>
          <w:color w:val="000000"/>
          <w:sz w:val="28"/>
          <w:szCs w:val="28"/>
        </w:rPr>
        <w:t>物联网短信业务的接入方式应符合集团相关管理制度、规范的要求。面向集团客户开通的各类业务，凡涉及下发短信的应使用业务网关承载发送，应接入业务网关管理</w:t>
      </w:r>
      <w:r>
        <w:rPr>
          <w:rFonts w:ascii="仿宋_GB2312" w:eastAsia="仿宋_GB2312"/>
          <w:color w:val="000000"/>
          <w:sz w:val="28"/>
          <w:szCs w:val="28"/>
        </w:rPr>
        <w:t>模块</w:t>
      </w:r>
      <w:r>
        <w:rPr>
          <w:rFonts w:hint="eastAsia" w:ascii="仿宋_GB2312" w:eastAsia="仿宋_GB2312"/>
          <w:color w:val="000000"/>
          <w:sz w:val="28"/>
          <w:szCs w:val="28"/>
        </w:rPr>
        <w:t>（M模块）</w:t>
      </w:r>
      <w:r>
        <w:rPr>
          <w:rFonts w:ascii="仿宋_GB2312" w:eastAsia="仿宋_GB2312"/>
          <w:color w:val="000000"/>
          <w:sz w:val="28"/>
          <w:szCs w:val="28"/>
        </w:rPr>
        <w:t>鉴权，实现对企业签名、流量</w:t>
      </w:r>
      <w:r>
        <w:rPr>
          <w:rFonts w:hint="eastAsia" w:ascii="仿宋_GB2312" w:eastAsia="仿宋_GB2312"/>
          <w:color w:val="000000"/>
          <w:sz w:val="28"/>
          <w:szCs w:val="28"/>
          <w:lang w:eastAsia="zh-CN"/>
        </w:rPr>
        <w:t>阈值</w:t>
      </w:r>
      <w:r>
        <w:rPr>
          <w:rFonts w:hint="eastAsia" w:ascii="仿宋_GB2312" w:eastAsia="仿宋_GB2312"/>
          <w:color w:val="000000"/>
          <w:sz w:val="28"/>
          <w:szCs w:val="28"/>
        </w:rPr>
        <w:t>以及号码白名单的</w:t>
      </w:r>
      <w:r>
        <w:rPr>
          <w:rFonts w:ascii="仿宋_GB2312" w:eastAsia="仿宋_GB2312"/>
          <w:color w:val="000000"/>
          <w:sz w:val="28"/>
          <w:szCs w:val="28"/>
        </w:rPr>
        <w:t>管控</w:t>
      </w:r>
      <w:r>
        <w:rPr>
          <w:rFonts w:hint="eastAsia" w:ascii="仿宋_GB2312" w:eastAsia="仿宋_GB2312"/>
          <w:color w:val="000000"/>
          <w:sz w:val="28"/>
          <w:szCs w:val="28"/>
        </w:rPr>
        <w:t>。</w:t>
      </w:r>
    </w:p>
    <w:p>
      <w:pPr>
        <w:ind w:firstLine="560" w:firstLineChars="200"/>
        <w:rPr>
          <w:rFonts w:eastAsia="仿宋_GB2312"/>
          <w:color w:val="000000"/>
          <w:sz w:val="28"/>
          <w:szCs w:val="28"/>
        </w:rPr>
      </w:pPr>
      <w:r>
        <w:rPr>
          <w:rFonts w:hint="eastAsia" w:eastAsia="仿宋_GB2312"/>
          <w:color w:val="000000"/>
          <w:sz w:val="28"/>
          <w:szCs w:val="28"/>
        </w:rPr>
        <w:t>1、集团客户同一业务原则上</w:t>
      </w:r>
      <w:r>
        <w:rPr>
          <w:rFonts w:hint="eastAsia" w:eastAsia="仿宋_GB2312"/>
          <w:bCs/>
          <w:color w:val="000000"/>
          <w:sz w:val="28"/>
          <w:szCs w:val="28"/>
        </w:rPr>
        <w:t>只可申请一个物联网业务接入号码</w:t>
      </w:r>
      <w:r>
        <w:rPr>
          <w:rFonts w:hint="eastAsia" w:eastAsia="仿宋_GB2312"/>
          <w:color w:val="000000"/>
          <w:sz w:val="28"/>
          <w:szCs w:val="28"/>
        </w:rPr>
        <w:t>。</w:t>
      </w:r>
    </w:p>
    <w:p>
      <w:pPr>
        <w:ind w:firstLine="560" w:firstLineChars="200"/>
        <w:rPr>
          <w:rFonts w:eastAsia="仿宋_GB2312"/>
          <w:bCs/>
          <w:sz w:val="28"/>
          <w:szCs w:val="28"/>
        </w:rPr>
      </w:pPr>
      <w:r>
        <w:rPr>
          <w:rFonts w:eastAsia="仿宋_GB2312"/>
          <w:bCs/>
          <w:sz w:val="28"/>
          <w:szCs w:val="28"/>
        </w:rPr>
        <w:t>2</w:t>
      </w:r>
      <w:r>
        <w:rPr>
          <w:rFonts w:hint="eastAsia" w:eastAsia="仿宋_GB2312"/>
          <w:bCs/>
          <w:sz w:val="28"/>
          <w:szCs w:val="28"/>
        </w:rPr>
        <w:t>、物联网短信接入码长度为13位，原则上不得自行扩展，扩展需通过制作相应码号的局数据。如因业务需要，必须在服务代码后缀中加入用户ID标识的，需上报集团政企事业部</w:t>
      </w:r>
      <w:r>
        <w:rPr>
          <w:rFonts w:eastAsia="仿宋_GB2312"/>
          <w:bCs/>
          <w:sz w:val="28"/>
          <w:szCs w:val="28"/>
        </w:rPr>
        <w:t>审核。</w:t>
      </w:r>
    </w:p>
    <w:p>
      <w:pPr>
        <w:ind w:firstLine="560" w:firstLineChars="200"/>
        <w:rPr>
          <w:rFonts w:eastAsia="仿宋_GB2312"/>
          <w:color w:val="000000"/>
          <w:sz w:val="28"/>
          <w:szCs w:val="28"/>
        </w:rPr>
      </w:pPr>
      <w:r>
        <w:rPr>
          <w:rFonts w:eastAsia="仿宋_GB2312"/>
          <w:color w:val="000000"/>
          <w:sz w:val="28"/>
          <w:szCs w:val="28"/>
        </w:rPr>
        <w:t>3</w:t>
      </w:r>
      <w:r>
        <w:rPr>
          <w:rFonts w:hint="eastAsia" w:eastAsia="仿宋_GB2312"/>
          <w:color w:val="000000"/>
          <w:sz w:val="28"/>
          <w:szCs w:val="28"/>
        </w:rPr>
        <w:t>、原则上企业签名在客户入网时必须添加，如因业务需求，须取消企业签名的情况，</w:t>
      </w:r>
      <w:r>
        <w:rPr>
          <w:rFonts w:eastAsia="仿宋_GB2312"/>
          <w:color w:val="000000"/>
          <w:sz w:val="28"/>
          <w:szCs w:val="28"/>
        </w:rPr>
        <w:t>由省公司</w:t>
      </w:r>
      <w:r>
        <w:rPr>
          <w:rFonts w:hint="eastAsia" w:eastAsia="仿宋_GB2312"/>
          <w:color w:val="000000"/>
          <w:sz w:val="28"/>
          <w:szCs w:val="28"/>
        </w:rPr>
        <w:t>给</w:t>
      </w:r>
      <w:r>
        <w:rPr>
          <w:rFonts w:eastAsia="仿宋_GB2312"/>
          <w:color w:val="000000"/>
          <w:sz w:val="28"/>
          <w:szCs w:val="28"/>
        </w:rPr>
        <w:t>物联网公司</w:t>
      </w:r>
      <w:r>
        <w:rPr>
          <w:rFonts w:hint="eastAsia" w:eastAsia="仿宋_GB2312"/>
          <w:color w:val="000000"/>
          <w:sz w:val="28"/>
          <w:szCs w:val="28"/>
        </w:rPr>
        <w:t>发申请函</w:t>
      </w:r>
      <w:r>
        <w:rPr>
          <w:rFonts w:eastAsia="仿宋_GB2312"/>
          <w:color w:val="000000"/>
          <w:sz w:val="28"/>
          <w:szCs w:val="28"/>
        </w:rPr>
        <w:t>，</w:t>
      </w:r>
      <w:r>
        <w:rPr>
          <w:rFonts w:hint="eastAsia" w:eastAsia="仿宋_GB2312"/>
          <w:color w:val="000000"/>
          <w:sz w:val="28"/>
          <w:szCs w:val="28"/>
        </w:rPr>
        <w:t>申请函</w:t>
      </w:r>
      <w:r>
        <w:rPr>
          <w:rFonts w:eastAsia="仿宋_GB2312"/>
          <w:color w:val="000000"/>
          <w:sz w:val="28"/>
          <w:szCs w:val="28"/>
        </w:rPr>
        <w:t>中须明确</w:t>
      </w:r>
      <w:r>
        <w:rPr>
          <w:rFonts w:hint="eastAsia" w:eastAsia="仿宋_GB2312"/>
          <w:color w:val="000000"/>
          <w:sz w:val="28"/>
          <w:szCs w:val="28"/>
        </w:rPr>
        <w:t>取消</w:t>
      </w:r>
      <w:r>
        <w:rPr>
          <w:rFonts w:eastAsia="仿宋_GB2312"/>
          <w:color w:val="000000"/>
          <w:sz w:val="28"/>
          <w:szCs w:val="28"/>
        </w:rPr>
        <w:t>签名的原因、客户短信发送格式</w:t>
      </w:r>
      <w:r>
        <w:rPr>
          <w:rFonts w:hint="eastAsia" w:eastAsia="仿宋_GB2312"/>
          <w:color w:val="000000"/>
          <w:sz w:val="28"/>
          <w:szCs w:val="28"/>
        </w:rPr>
        <w:t>以及省公司如何规避相应风险，申请</w:t>
      </w:r>
      <w:r>
        <w:rPr>
          <w:rFonts w:eastAsia="仿宋_GB2312"/>
          <w:color w:val="000000"/>
          <w:sz w:val="28"/>
          <w:szCs w:val="28"/>
        </w:rPr>
        <w:t>函需</w:t>
      </w:r>
      <w:bookmarkStart w:id="0" w:name="_GoBack"/>
      <w:bookmarkEnd w:id="0"/>
      <w:r>
        <w:rPr>
          <w:rFonts w:hint="eastAsia" w:eastAsia="仿宋_GB2312"/>
          <w:color w:val="000000"/>
          <w:sz w:val="28"/>
          <w:szCs w:val="28"/>
        </w:rPr>
        <w:t>由省</w:t>
      </w:r>
      <w:r>
        <w:rPr>
          <w:rFonts w:eastAsia="仿宋_GB2312"/>
          <w:color w:val="000000"/>
          <w:sz w:val="28"/>
          <w:szCs w:val="28"/>
        </w:rPr>
        <w:t>公司二级经理以上领导签字、盖章。</w:t>
      </w:r>
    </w:p>
    <w:p>
      <w:pPr>
        <w:ind w:firstLine="560" w:firstLineChars="200"/>
        <w:rPr>
          <w:rFonts w:eastAsia="仿宋_GB2312"/>
          <w:color w:val="000000"/>
          <w:sz w:val="28"/>
          <w:szCs w:val="28"/>
        </w:rPr>
      </w:pPr>
      <w:r>
        <w:rPr>
          <w:rFonts w:eastAsia="仿宋_GB2312"/>
          <w:color w:val="000000"/>
          <w:sz w:val="28"/>
          <w:szCs w:val="28"/>
        </w:rPr>
        <w:t>4</w:t>
      </w:r>
      <w:r>
        <w:rPr>
          <w:rFonts w:hint="eastAsia" w:eastAsia="仿宋_GB2312"/>
          <w:color w:val="000000"/>
          <w:sz w:val="28"/>
          <w:szCs w:val="28"/>
        </w:rPr>
        <w:t>、短信白名单</w:t>
      </w:r>
      <w:r>
        <w:rPr>
          <w:rFonts w:eastAsia="仿宋_GB2312"/>
          <w:color w:val="000000"/>
          <w:sz w:val="28"/>
          <w:szCs w:val="28"/>
        </w:rPr>
        <w:t>是指集团客户可以下发短信的号码组</w:t>
      </w:r>
      <w:r>
        <w:rPr>
          <w:rFonts w:hint="eastAsia" w:eastAsia="仿宋_GB2312"/>
          <w:color w:val="000000"/>
          <w:sz w:val="28"/>
          <w:szCs w:val="28"/>
        </w:rPr>
        <w:t>，省公司在</w:t>
      </w:r>
      <w:r>
        <w:rPr>
          <w:rFonts w:ascii="仿宋_GB2312" w:eastAsia="仿宋_GB2312"/>
          <w:color w:val="000000"/>
          <w:sz w:val="28"/>
          <w:szCs w:val="28"/>
        </w:rPr>
        <w:t>PBOSS/CMIOT</w:t>
      </w:r>
      <w:r>
        <w:rPr>
          <w:rFonts w:hint="eastAsia" w:eastAsia="仿宋_GB2312"/>
          <w:color w:val="000000"/>
          <w:sz w:val="28"/>
          <w:szCs w:val="28"/>
        </w:rPr>
        <w:t>系统进行业务受理时添加。</w:t>
      </w:r>
    </w:p>
    <w:p>
      <w:pPr>
        <w:pStyle w:val="3"/>
        <w:rPr>
          <w:rFonts w:ascii="仿宋_GB2312" w:eastAsia="仿宋_GB2312"/>
          <w:sz w:val="28"/>
          <w:szCs w:val="28"/>
        </w:rPr>
      </w:pPr>
      <w:r>
        <w:rPr>
          <w:rFonts w:hint="eastAsia" w:ascii="仿宋_GB2312" w:eastAsia="仿宋_GB2312"/>
          <w:sz w:val="28"/>
          <w:szCs w:val="28"/>
        </w:rPr>
        <w:t>（三）短信接入申请流程</w:t>
      </w:r>
    </w:p>
    <w:p>
      <w:pPr>
        <w:autoSpaceDN w:val="0"/>
        <w:spacing w:line="360" w:lineRule="auto"/>
        <w:ind w:firstLine="560" w:firstLineChars="200"/>
        <w:rPr>
          <w:rFonts w:ascii="仿宋_GB2312" w:hAnsi="仿宋" w:eastAsia="仿宋_GB2312"/>
          <w:kern w:val="0"/>
          <w:sz w:val="28"/>
          <w:szCs w:val="28"/>
        </w:rPr>
      </w:pPr>
      <w:r>
        <w:rPr>
          <w:rFonts w:hint="eastAsia" w:ascii="仿宋_GB2312" w:hAnsi="仿宋" w:eastAsia="仿宋_GB2312"/>
          <w:kern w:val="0"/>
          <w:sz w:val="28"/>
          <w:szCs w:val="28"/>
        </w:rPr>
        <w:t>短信端口业务功能，通过物联网业务网关为集团客户提供短信接入功能，实现客户终端到应用平台的短信交互。</w:t>
      </w:r>
    </w:p>
    <w:p>
      <w:pPr>
        <w:autoSpaceDN w:val="0"/>
        <w:spacing w:line="360" w:lineRule="auto"/>
        <w:ind w:firstLine="560" w:firstLineChars="200"/>
        <w:rPr>
          <w:rFonts w:ascii="仿宋_GB2312" w:hAnsi="仿宋" w:eastAsia="仿宋_GB2312"/>
          <w:sz w:val="28"/>
          <w:szCs w:val="28"/>
        </w:rPr>
      </w:pPr>
      <w:r>
        <w:rPr>
          <w:rFonts w:hint="eastAsia" w:ascii="仿宋_GB2312" w:hAnsi="仿宋" w:eastAsia="仿宋_GB2312"/>
          <w:sz w:val="28"/>
          <w:szCs w:val="28"/>
        </w:rPr>
        <w:t>业务开通流程如下：</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1、客户提出短信接入申请，各省公司（含政企事业部）为客户分配短信接入相关资源，其资源内容包括业务平台IP、接入码、企业代码、用户名、密码、流量信息、业务代码、联系人等。</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2、省管理员在分配短信接入资源后，需在BOSS上为EC开户，物联网公司协助省公司在OneLink平台配置短信接入数据。</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3、省管理员通过物联网工单管理系统发短信接入申请单，物联网公司受理工单并对数据进行核查。</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4、物联网公司告知客户短信接入配置信息和业务网关域名、端口以及接口协议文档，配合客户完成平台开发。</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5、物联网公司配合客户进行接入联调，确认客户平台与业务网关能够正常进行短信交互。</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6、省公司在BOSS/CMIOT系统上进行业务受理，为客户开卡并订购短信。</w:t>
      </w:r>
    </w:p>
    <w:p>
      <w:pPr>
        <w:pStyle w:val="2"/>
        <w:rPr>
          <w:rFonts w:ascii="黑体" w:hAnsi="黑体" w:eastAsia="黑体"/>
          <w:sz w:val="32"/>
          <w:szCs w:val="32"/>
        </w:rPr>
      </w:pPr>
      <w:r>
        <w:rPr>
          <w:rFonts w:hint="eastAsia" w:ascii="黑体" w:hAnsi="黑体" w:eastAsia="黑体"/>
          <w:sz w:val="32"/>
          <w:szCs w:val="32"/>
        </w:rPr>
        <w:t>七、OneLink平台API接口能力开通流程</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API接口是指将物联网相关系统或网元能力输出到客户应用平台的接口。</w:t>
      </w:r>
    </w:p>
    <w:p>
      <w:pPr>
        <w:pStyle w:val="3"/>
        <w:rPr>
          <w:rFonts w:ascii="仿宋_GB2312" w:eastAsia="仿宋_GB2312"/>
          <w:sz w:val="28"/>
          <w:szCs w:val="28"/>
        </w:rPr>
      </w:pPr>
      <w:r>
        <w:rPr>
          <w:rFonts w:hint="eastAsia" w:ascii="仿宋_GB2312" w:eastAsia="仿宋_GB2312"/>
          <w:sz w:val="28"/>
          <w:szCs w:val="28"/>
        </w:rPr>
        <w:t>（一）OneLink平台与PB</w:t>
      </w:r>
      <w:r>
        <w:rPr>
          <w:rFonts w:ascii="仿宋_GB2312" w:eastAsia="仿宋_GB2312"/>
          <w:sz w:val="28"/>
          <w:szCs w:val="28"/>
        </w:rPr>
        <w:t>OSS</w:t>
      </w:r>
      <w:r>
        <w:rPr>
          <w:rFonts w:hint="eastAsia" w:ascii="仿宋_GB2312" w:eastAsia="仿宋_GB2312"/>
          <w:sz w:val="28"/>
          <w:szCs w:val="28"/>
        </w:rPr>
        <w:t>对接A</w:t>
      </w:r>
      <w:r>
        <w:rPr>
          <w:rFonts w:ascii="仿宋_GB2312" w:eastAsia="仿宋_GB2312"/>
          <w:sz w:val="28"/>
          <w:szCs w:val="28"/>
        </w:rPr>
        <w:t>PI</w:t>
      </w:r>
      <w:r>
        <w:rPr>
          <w:rFonts w:hint="eastAsia" w:ascii="仿宋_GB2312" w:eastAsia="仿宋_GB2312"/>
          <w:sz w:val="28"/>
          <w:szCs w:val="28"/>
        </w:rPr>
        <w:t>接口申请开通流程</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1、集团客户向销售省公司提出API接入申请，销售省公司根据客户的API接入需求，收集相关用户信息，其信息内容如下：客户信息、应用名称、客户联系人、联系电话、应用平台IP地址、应用平台端口、应用场景等。</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2、销售省公司业务管理员将相关信息提交到物联网公司审核，物联网公司负责审核集团客户所需要使用的API名称及编码，并进行API接入数据的配置。</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3、在数据配置完成后，物联网公司向省公司反馈配置结果，由省公司通知到集团客户数据配置完成。</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4、集团客户收到API相关的配置信息，可根据配置信息与物联网公司进行接入联调测试。</w:t>
      </w:r>
    </w:p>
    <w:p>
      <w:pPr>
        <w:pStyle w:val="3"/>
        <w:rPr>
          <w:rFonts w:ascii="仿宋_GB2312" w:eastAsia="仿宋_GB2312"/>
          <w:sz w:val="28"/>
          <w:szCs w:val="28"/>
        </w:rPr>
      </w:pPr>
      <w:r>
        <w:rPr>
          <w:rFonts w:hint="eastAsia" w:ascii="仿宋_GB2312" w:eastAsia="仿宋_GB2312"/>
          <w:sz w:val="28"/>
          <w:szCs w:val="28"/>
        </w:rPr>
        <w:t>（二）</w:t>
      </w:r>
      <w:r>
        <w:rPr>
          <w:rFonts w:ascii="仿宋_GB2312" w:eastAsia="仿宋_GB2312"/>
          <w:sz w:val="28"/>
          <w:szCs w:val="28"/>
        </w:rPr>
        <w:t>OneLink</w:t>
      </w:r>
      <w:r>
        <w:rPr>
          <w:rFonts w:hint="eastAsia" w:ascii="仿宋_GB2312" w:eastAsia="仿宋_GB2312"/>
          <w:sz w:val="28"/>
          <w:szCs w:val="28"/>
        </w:rPr>
        <w:t>平台与</w:t>
      </w:r>
      <w:r>
        <w:rPr>
          <w:rFonts w:ascii="仿宋_GB2312" w:eastAsia="仿宋_GB2312"/>
          <w:sz w:val="28"/>
          <w:szCs w:val="28"/>
        </w:rPr>
        <w:t>CMIOT</w:t>
      </w:r>
      <w:r>
        <w:rPr>
          <w:rFonts w:hint="eastAsia" w:ascii="仿宋_GB2312" w:eastAsia="仿宋_GB2312"/>
          <w:sz w:val="28"/>
          <w:szCs w:val="28"/>
        </w:rPr>
        <w:t>系统对接A</w:t>
      </w:r>
      <w:r>
        <w:rPr>
          <w:rFonts w:ascii="仿宋_GB2312" w:eastAsia="仿宋_GB2312"/>
          <w:sz w:val="28"/>
          <w:szCs w:val="28"/>
        </w:rPr>
        <w:t>PI</w:t>
      </w:r>
      <w:r>
        <w:rPr>
          <w:rFonts w:hint="eastAsia" w:ascii="仿宋_GB2312" w:eastAsia="仿宋_GB2312"/>
          <w:sz w:val="28"/>
          <w:szCs w:val="28"/>
        </w:rPr>
        <w:t>接口申请开通流程</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1、集团客户向销售省公司提出API接入申请，销售省公司根据集团客户的API接入需求，客户经理在CMIOT系统上为客户订购API服务商品（目前为API服务订购商品），或集团客户可通过在OneLink能力开放平台上自助订购API服务商品。</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2、订购API相关</w:t>
      </w:r>
      <w:r>
        <w:rPr>
          <w:rFonts w:ascii="仿宋_GB2312" w:hAnsi="仿宋" w:eastAsia="仿宋_GB2312" w:cs="宋体"/>
          <w:kern w:val="0"/>
          <w:sz w:val="28"/>
          <w:szCs w:val="28"/>
        </w:rPr>
        <w:t>产品后，</w:t>
      </w:r>
      <w:r>
        <w:rPr>
          <w:rFonts w:hint="eastAsia" w:ascii="仿宋_GB2312" w:hAnsi="仿宋" w:eastAsia="仿宋_GB2312" w:cs="宋体"/>
          <w:kern w:val="0"/>
          <w:sz w:val="28"/>
          <w:szCs w:val="28"/>
        </w:rPr>
        <w:t>集团客户通过</w:t>
      </w:r>
      <w:r>
        <w:rPr>
          <w:rFonts w:ascii="仿宋_GB2312" w:hAnsi="仿宋" w:eastAsia="仿宋_GB2312" w:cs="宋体"/>
          <w:kern w:val="0"/>
          <w:sz w:val="28"/>
          <w:szCs w:val="28"/>
        </w:rPr>
        <w:t>OneLink</w:t>
      </w:r>
      <w:r>
        <w:rPr>
          <w:rFonts w:hint="eastAsia" w:ascii="仿宋_GB2312" w:hAnsi="仿宋" w:eastAsia="仿宋_GB2312" w:cs="宋体"/>
          <w:kern w:val="0"/>
          <w:sz w:val="28"/>
          <w:szCs w:val="28"/>
        </w:rPr>
        <w:t>能力开放平台自主获取</w:t>
      </w:r>
      <w:r>
        <w:rPr>
          <w:rFonts w:ascii="仿宋_GB2312" w:hAnsi="仿宋" w:eastAsia="仿宋_GB2312" w:cs="宋体"/>
          <w:kern w:val="0"/>
          <w:sz w:val="28"/>
          <w:szCs w:val="28"/>
        </w:rPr>
        <w:t>API</w:t>
      </w:r>
      <w:r>
        <w:rPr>
          <w:rFonts w:hint="eastAsia" w:ascii="仿宋_GB2312" w:hAnsi="仿宋" w:eastAsia="仿宋_GB2312" w:cs="宋体"/>
          <w:kern w:val="0"/>
          <w:sz w:val="28"/>
          <w:szCs w:val="28"/>
        </w:rPr>
        <w:t>调用密钥及接口规范文档等信息。</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3、集团客户通过</w:t>
      </w:r>
      <w:r>
        <w:rPr>
          <w:rFonts w:ascii="仿宋_GB2312" w:hAnsi="仿宋" w:eastAsia="仿宋_GB2312" w:cs="宋体"/>
          <w:kern w:val="0"/>
          <w:sz w:val="28"/>
          <w:szCs w:val="28"/>
        </w:rPr>
        <w:t>获取的秘钥按照接口规范文档进行接口</w:t>
      </w:r>
      <w:r>
        <w:rPr>
          <w:rFonts w:hint="eastAsia" w:ascii="仿宋_GB2312" w:hAnsi="仿宋" w:eastAsia="仿宋_GB2312" w:cs="宋体"/>
          <w:kern w:val="0"/>
          <w:sz w:val="28"/>
          <w:szCs w:val="28"/>
        </w:rPr>
        <w:t>联调、</w:t>
      </w:r>
      <w:r>
        <w:rPr>
          <w:rFonts w:ascii="仿宋_GB2312" w:hAnsi="仿宋" w:eastAsia="仿宋_GB2312" w:cs="宋体"/>
          <w:kern w:val="0"/>
          <w:sz w:val="28"/>
          <w:szCs w:val="28"/>
        </w:rPr>
        <w:t>调用，对接调用</w:t>
      </w:r>
      <w:r>
        <w:rPr>
          <w:rFonts w:hint="eastAsia" w:ascii="仿宋_GB2312" w:hAnsi="仿宋" w:eastAsia="仿宋_GB2312" w:cs="宋体"/>
          <w:kern w:val="0"/>
          <w:sz w:val="28"/>
          <w:szCs w:val="28"/>
        </w:rPr>
        <w:t>联调</w:t>
      </w:r>
      <w:r>
        <w:rPr>
          <w:rFonts w:ascii="仿宋_GB2312" w:hAnsi="仿宋" w:eastAsia="仿宋_GB2312" w:cs="宋体"/>
          <w:kern w:val="0"/>
          <w:sz w:val="28"/>
          <w:szCs w:val="28"/>
        </w:rPr>
        <w:t>时，</w:t>
      </w:r>
      <w:r>
        <w:rPr>
          <w:rFonts w:hint="eastAsia" w:ascii="仿宋_GB2312" w:hAnsi="仿宋" w:eastAsia="仿宋_GB2312" w:cs="宋体"/>
          <w:kern w:val="0"/>
          <w:sz w:val="28"/>
          <w:szCs w:val="28"/>
        </w:rPr>
        <w:t>由物联网公司进行接入联调测试的技术支撑。</w:t>
      </w:r>
    </w:p>
    <w:p>
      <w:pPr>
        <w:pStyle w:val="2"/>
        <w:rPr>
          <w:rFonts w:ascii="黑体" w:hAnsi="黑体" w:eastAsia="黑体"/>
          <w:sz w:val="32"/>
          <w:szCs w:val="32"/>
        </w:rPr>
      </w:pPr>
      <w:r>
        <w:rPr>
          <w:rFonts w:hint="eastAsia" w:ascii="黑体" w:hAnsi="黑体" w:eastAsia="黑体"/>
          <w:sz w:val="32"/>
          <w:szCs w:val="32"/>
        </w:rPr>
        <w:t>八、OneLink平台自服务门户权限管理流程</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OneLink平台向省公司、集团客户以及个人客户提供支持网页、微信公众号及API等服务方式的业务自助服务。针对CMIOT系统开卡的客户，客户在OneLink平台上的自服务功能，包括基础功能和增值功能。基础功能主要包括业务查询类功能，增值功能主要包括业务受理类功能，如卡生命周期管理、资费管理、发票打印、NB-IoT节电参数设置及实名认证等。基础服务功能权限默认全部开通。因增值服务功能涉及业务类变更，为防止集团客户误操作影响物联卡的正常使用或产生额外的费用，默认关闭部分增值服务功能的操作权限，如机卡分离解除功能、区域限制功能。如客户对这类功能的操作权限有需求，可联系客户经理进行权限的开通。</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同时，客户经理可根据集团客户需要可对权限进行灵活的管控限制。客户经理向省管理员或地市管理员提申请，由省管理员或者地市管理员在OneLink运管平台开启或关闭权限。集团客户在OneLink平台的增值权限开通流程具体如下：</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1、客户经理根据集团客户的需求选择增值权限的开启或关闭（系统默认关闭部分增值服务功能的操作权限，如机卡分离解除功能、区域限制功能）。</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2、客户经理联系省公司管理员或地市管理员。</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3、省公司管理员或地市管理员接到需求后登录OneLink平台，通过平台的“运营管理》集团客户信息》</w:t>
      </w:r>
      <w:r>
        <w:rPr>
          <w:rFonts w:ascii="仿宋_GB2312" w:hAnsi="仿宋" w:eastAsia="仿宋_GB2312" w:cs="宋体"/>
          <w:kern w:val="0"/>
          <w:sz w:val="28"/>
          <w:szCs w:val="28"/>
        </w:rPr>
        <w:t>CMIOT</w:t>
      </w:r>
      <w:r>
        <w:rPr>
          <w:rFonts w:hint="eastAsia" w:ascii="仿宋_GB2312" w:hAnsi="仿宋" w:eastAsia="仿宋_GB2312" w:cs="宋体"/>
          <w:kern w:val="0"/>
          <w:sz w:val="28"/>
          <w:szCs w:val="28"/>
        </w:rPr>
        <w:t>系统集团权限管理”模块为客户开启或者关闭对应的增值权限。</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4、省公司管理员或地市管理员完成增值权限的开启或关闭后联系客户经理并告知结果。</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5、客户经理将结果反馈给集团客户。</w:t>
      </w:r>
    </w:p>
    <w:p>
      <w:pPr>
        <w:widowControl/>
        <w:spacing w:line="360" w:lineRule="auto"/>
        <w:ind w:firstLine="560" w:firstLineChars="200"/>
        <w:jc w:val="left"/>
        <w:rPr>
          <w:rFonts w:ascii="仿宋_GB2312" w:hAnsi="仿宋" w:eastAsia="仿宋_GB2312" w:cs="宋体"/>
          <w:kern w:val="0"/>
          <w:sz w:val="28"/>
          <w:szCs w:val="28"/>
        </w:rPr>
      </w:pPr>
      <w:r>
        <w:rPr>
          <w:rFonts w:hint="eastAsia" w:ascii="仿宋_GB2312" w:hAnsi="仿宋" w:eastAsia="仿宋_GB2312" w:cs="宋体"/>
          <w:kern w:val="0"/>
          <w:sz w:val="28"/>
          <w:szCs w:val="28"/>
        </w:rPr>
        <w:t>6、集团客户登录OneLink平台进行验证。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WMzZGRkMDBlMDIzYTdkZTc1NTFlYmIwN2M0NDkxZWYifQ=="/>
  </w:docVars>
  <w:rsids>
    <w:rsidRoot w:val="00B30D48"/>
    <w:rsid w:val="00002E8E"/>
    <w:rsid w:val="000073F3"/>
    <w:rsid w:val="000706AE"/>
    <w:rsid w:val="000760EF"/>
    <w:rsid w:val="00095298"/>
    <w:rsid w:val="000C3308"/>
    <w:rsid w:val="000D17D7"/>
    <w:rsid w:val="000D20B3"/>
    <w:rsid w:val="000D5B47"/>
    <w:rsid w:val="00104325"/>
    <w:rsid w:val="001045E9"/>
    <w:rsid w:val="0014338E"/>
    <w:rsid w:val="00152279"/>
    <w:rsid w:val="001723D0"/>
    <w:rsid w:val="00172BC7"/>
    <w:rsid w:val="00182284"/>
    <w:rsid w:val="0019541C"/>
    <w:rsid w:val="001A0150"/>
    <w:rsid w:val="001A2F21"/>
    <w:rsid w:val="001C154D"/>
    <w:rsid w:val="001D0671"/>
    <w:rsid w:val="001D6316"/>
    <w:rsid w:val="001E10B9"/>
    <w:rsid w:val="001E6925"/>
    <w:rsid w:val="001F3C85"/>
    <w:rsid w:val="001F3D82"/>
    <w:rsid w:val="00211870"/>
    <w:rsid w:val="00217123"/>
    <w:rsid w:val="002B7511"/>
    <w:rsid w:val="002C2772"/>
    <w:rsid w:val="002C2F4A"/>
    <w:rsid w:val="002F789A"/>
    <w:rsid w:val="00304832"/>
    <w:rsid w:val="00313111"/>
    <w:rsid w:val="00346E7C"/>
    <w:rsid w:val="00350A9D"/>
    <w:rsid w:val="003939B2"/>
    <w:rsid w:val="003B266B"/>
    <w:rsid w:val="003D333C"/>
    <w:rsid w:val="003F3D85"/>
    <w:rsid w:val="004000F1"/>
    <w:rsid w:val="00437D97"/>
    <w:rsid w:val="00482537"/>
    <w:rsid w:val="00490751"/>
    <w:rsid w:val="004E5E4F"/>
    <w:rsid w:val="004F2FA8"/>
    <w:rsid w:val="00500808"/>
    <w:rsid w:val="00503A68"/>
    <w:rsid w:val="005114A7"/>
    <w:rsid w:val="00511A9F"/>
    <w:rsid w:val="00515907"/>
    <w:rsid w:val="005263BC"/>
    <w:rsid w:val="00556C12"/>
    <w:rsid w:val="0058475C"/>
    <w:rsid w:val="00585139"/>
    <w:rsid w:val="005C1F0E"/>
    <w:rsid w:val="005C6F75"/>
    <w:rsid w:val="00634337"/>
    <w:rsid w:val="006372E3"/>
    <w:rsid w:val="00640EAC"/>
    <w:rsid w:val="00663FA2"/>
    <w:rsid w:val="00665AA6"/>
    <w:rsid w:val="006770A9"/>
    <w:rsid w:val="00682AB1"/>
    <w:rsid w:val="00692EDF"/>
    <w:rsid w:val="00694595"/>
    <w:rsid w:val="006C2200"/>
    <w:rsid w:val="006E1A0D"/>
    <w:rsid w:val="006E44EB"/>
    <w:rsid w:val="006F02FD"/>
    <w:rsid w:val="006F3F22"/>
    <w:rsid w:val="0071796C"/>
    <w:rsid w:val="0073097F"/>
    <w:rsid w:val="00787916"/>
    <w:rsid w:val="007B7D2E"/>
    <w:rsid w:val="007E0340"/>
    <w:rsid w:val="008476EE"/>
    <w:rsid w:val="00847840"/>
    <w:rsid w:val="00861724"/>
    <w:rsid w:val="00861D92"/>
    <w:rsid w:val="008A2EF7"/>
    <w:rsid w:val="008A2F98"/>
    <w:rsid w:val="008C286D"/>
    <w:rsid w:val="008C6B59"/>
    <w:rsid w:val="008E5E0F"/>
    <w:rsid w:val="008F2E20"/>
    <w:rsid w:val="008F5652"/>
    <w:rsid w:val="00901D91"/>
    <w:rsid w:val="009024CE"/>
    <w:rsid w:val="00914996"/>
    <w:rsid w:val="0094366F"/>
    <w:rsid w:val="00954DAE"/>
    <w:rsid w:val="00963011"/>
    <w:rsid w:val="00963045"/>
    <w:rsid w:val="00963A59"/>
    <w:rsid w:val="009715CD"/>
    <w:rsid w:val="00977444"/>
    <w:rsid w:val="00982154"/>
    <w:rsid w:val="009B11D0"/>
    <w:rsid w:val="00A107F5"/>
    <w:rsid w:val="00A41783"/>
    <w:rsid w:val="00A42103"/>
    <w:rsid w:val="00A546F5"/>
    <w:rsid w:val="00A84964"/>
    <w:rsid w:val="00A96F4B"/>
    <w:rsid w:val="00AC266D"/>
    <w:rsid w:val="00AC3E9C"/>
    <w:rsid w:val="00AD6397"/>
    <w:rsid w:val="00B30D48"/>
    <w:rsid w:val="00B51020"/>
    <w:rsid w:val="00B52F70"/>
    <w:rsid w:val="00B666E9"/>
    <w:rsid w:val="00B77676"/>
    <w:rsid w:val="00B83E60"/>
    <w:rsid w:val="00B85362"/>
    <w:rsid w:val="00BA75B1"/>
    <w:rsid w:val="00BD3559"/>
    <w:rsid w:val="00BE6D85"/>
    <w:rsid w:val="00C331FC"/>
    <w:rsid w:val="00C33F94"/>
    <w:rsid w:val="00C53F6F"/>
    <w:rsid w:val="00C64187"/>
    <w:rsid w:val="00C67D6A"/>
    <w:rsid w:val="00CB08F8"/>
    <w:rsid w:val="00CB7849"/>
    <w:rsid w:val="00CC112B"/>
    <w:rsid w:val="00CD126F"/>
    <w:rsid w:val="00CE0A14"/>
    <w:rsid w:val="00D02651"/>
    <w:rsid w:val="00D1229D"/>
    <w:rsid w:val="00D25E81"/>
    <w:rsid w:val="00D26CA9"/>
    <w:rsid w:val="00D32064"/>
    <w:rsid w:val="00D703B1"/>
    <w:rsid w:val="00D8056E"/>
    <w:rsid w:val="00D86E21"/>
    <w:rsid w:val="00D92BA4"/>
    <w:rsid w:val="00DA5484"/>
    <w:rsid w:val="00DB7B7E"/>
    <w:rsid w:val="00DD70A9"/>
    <w:rsid w:val="00E07FFE"/>
    <w:rsid w:val="00E20DE2"/>
    <w:rsid w:val="00E22961"/>
    <w:rsid w:val="00E30AF9"/>
    <w:rsid w:val="00E35B29"/>
    <w:rsid w:val="00E407C4"/>
    <w:rsid w:val="00E42501"/>
    <w:rsid w:val="00E779D1"/>
    <w:rsid w:val="00EB0137"/>
    <w:rsid w:val="00EE3CC2"/>
    <w:rsid w:val="00EE6847"/>
    <w:rsid w:val="00F10916"/>
    <w:rsid w:val="00F248FB"/>
    <w:rsid w:val="00F54B61"/>
    <w:rsid w:val="00F905F4"/>
    <w:rsid w:val="00FA3A9E"/>
    <w:rsid w:val="00FA5DF8"/>
    <w:rsid w:val="00FC590E"/>
    <w:rsid w:val="23E50C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120" w:after="120" w:line="360" w:lineRule="auto"/>
      <w:outlineLvl w:val="0"/>
    </w:pPr>
    <w:rPr>
      <w:b/>
      <w:bCs/>
      <w:kern w:val="44"/>
      <w:sz w:val="44"/>
      <w:szCs w:val="44"/>
    </w:rPr>
  </w:style>
  <w:style w:type="paragraph" w:styleId="3">
    <w:name w:val="heading 2"/>
    <w:basedOn w:val="1"/>
    <w:next w:val="1"/>
    <w:link w:val="16"/>
    <w:unhideWhenUsed/>
    <w:qFormat/>
    <w:uiPriority w:val="9"/>
    <w:pPr>
      <w:keepNext/>
      <w:keepLines/>
      <w:spacing w:before="120" w:after="120" w:line="360"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7"/>
    <w:semiHidden/>
    <w:unhideWhenUsed/>
    <w:qFormat/>
    <w:uiPriority w:val="99"/>
    <w:pPr>
      <w:jc w:val="left"/>
    </w:pPr>
  </w:style>
  <w:style w:type="paragraph" w:styleId="5">
    <w:name w:val="Balloon Text"/>
    <w:basedOn w:val="1"/>
    <w:link w:val="15"/>
    <w:semiHidden/>
    <w:unhideWhenUsed/>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8"/>
    <w:semiHidden/>
    <w:unhideWhenUsed/>
    <w:uiPriority w:val="99"/>
    <w:rPr>
      <w:b/>
      <w:bCs/>
    </w:rPr>
  </w:style>
  <w:style w:type="character" w:styleId="11">
    <w:name w:val="annotation reference"/>
    <w:basedOn w:val="10"/>
    <w:semiHidden/>
    <w:unhideWhenUsed/>
    <w:uiPriority w:val="99"/>
    <w:rPr>
      <w:sz w:val="21"/>
      <w:szCs w:val="21"/>
    </w:rPr>
  </w:style>
  <w:style w:type="character" w:customStyle="1" w:styleId="12">
    <w:name w:val="页眉 Char"/>
    <w:basedOn w:val="10"/>
    <w:link w:val="7"/>
    <w:qFormat/>
    <w:uiPriority w:val="99"/>
    <w:rPr>
      <w:sz w:val="18"/>
      <w:szCs w:val="18"/>
    </w:rPr>
  </w:style>
  <w:style w:type="character" w:customStyle="1" w:styleId="13">
    <w:name w:val="页脚 Char"/>
    <w:basedOn w:val="10"/>
    <w:link w:val="6"/>
    <w:uiPriority w:val="99"/>
    <w:rPr>
      <w:sz w:val="18"/>
      <w:szCs w:val="18"/>
    </w:rPr>
  </w:style>
  <w:style w:type="character" w:customStyle="1" w:styleId="14">
    <w:name w:val="标题 1 Char"/>
    <w:basedOn w:val="10"/>
    <w:link w:val="2"/>
    <w:uiPriority w:val="9"/>
    <w:rPr>
      <w:b/>
      <w:bCs/>
      <w:kern w:val="44"/>
      <w:sz w:val="44"/>
      <w:szCs w:val="44"/>
    </w:rPr>
  </w:style>
  <w:style w:type="character" w:customStyle="1" w:styleId="15">
    <w:name w:val="批注框文本 Char"/>
    <w:basedOn w:val="10"/>
    <w:link w:val="5"/>
    <w:semiHidden/>
    <w:qFormat/>
    <w:uiPriority w:val="99"/>
    <w:rPr>
      <w:sz w:val="18"/>
      <w:szCs w:val="18"/>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 w:type="character" w:customStyle="1" w:styleId="17">
    <w:name w:val="批注文字 Char"/>
    <w:basedOn w:val="10"/>
    <w:link w:val="4"/>
    <w:semiHidden/>
    <w:uiPriority w:val="99"/>
  </w:style>
  <w:style w:type="character" w:customStyle="1" w:styleId="18">
    <w:name w:val="批注主题 Char"/>
    <w:basedOn w:val="17"/>
    <w:link w:val="8"/>
    <w:semiHidden/>
    <w:qFormat/>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974</Words>
  <Characters>5556</Characters>
  <Lines>46</Lines>
  <Paragraphs>13</Paragraphs>
  <TotalTime>731</TotalTime>
  <ScaleCrop>false</ScaleCrop>
  <LinksUpToDate>false</LinksUpToDate>
  <CharactersWithSpaces>6517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2020-02-11T15:49:00Z</dcterms:created>
  <dc:creator>林奎学</dc:creator>
  <cp:lastModifiedBy>空谷</cp:lastModifiedBy>
  <dcterms:modified xsi:type="dcterms:W3CDTF">2023-11-28T07:00:31Z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04C864F60B4F4256B5822944C42825F8_12</vt:lpwstr>
  </property>
</Properties>
</file>