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生命周期</w:t>
      </w:r>
      <w:r>
        <w:rPr>
          <w:rFonts w:ascii="黑体" w:hAnsi="黑体" w:eastAsia="黑体"/>
          <w:sz w:val="32"/>
          <w:szCs w:val="32"/>
        </w:rPr>
        <w:t>规则</w:t>
      </w:r>
    </w:p>
    <w:p>
      <w:pPr>
        <w:pStyle w:val="4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一、CMIOT系统生命周期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t>1</w:t>
      </w:r>
      <w:r>
        <w:rPr>
          <w:rFonts w:hint="eastAsia" w:ascii="仿宋_GB2312" w:eastAsia="仿宋_GB2312"/>
          <w:bCs/>
          <w:sz w:val="28"/>
          <w:szCs w:val="28"/>
        </w:rPr>
        <w:t>、物联网</w:t>
      </w:r>
      <w:r>
        <w:rPr>
          <w:rFonts w:ascii="仿宋_GB2312" w:eastAsia="仿宋_GB2312"/>
          <w:bCs/>
          <w:sz w:val="28"/>
          <w:szCs w:val="28"/>
        </w:rPr>
        <w:t>/</w:t>
      </w:r>
      <w:r>
        <w:rPr>
          <w:rFonts w:hint="eastAsia" w:ascii="仿宋_GB2312" w:eastAsia="仿宋_GB2312"/>
          <w:bCs/>
          <w:sz w:val="28"/>
          <w:szCs w:val="28"/>
        </w:rPr>
        <w:t>车联网主体产品生命周期规则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提供可测试、库存、待激活、已激活、已停机、预销户、已销户等7个生命周期状态。生命周期状态触发规则如下：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（1）开户时可选择可测试、库存、待激活、已激活中任一状态为初始状态。物联网</w:t>
      </w:r>
      <w:r>
        <w:rPr>
          <w:rFonts w:hint="eastAsia" w:ascii="仿宋_GB2312" w:eastAsia="仿宋_GB2312"/>
          <w:sz w:val="28"/>
          <w:szCs w:val="32"/>
        </w:rPr>
        <w:t>测试</w:t>
      </w:r>
      <w:r>
        <w:rPr>
          <w:rFonts w:ascii="仿宋_GB2312" w:eastAsia="仿宋_GB2312"/>
          <w:sz w:val="28"/>
          <w:szCs w:val="32"/>
        </w:rPr>
        <w:t>期商品</w:t>
      </w:r>
      <w:r>
        <w:rPr>
          <w:rFonts w:hint="eastAsia" w:ascii="仿宋_GB2312" w:eastAsia="仿宋_GB2312"/>
          <w:sz w:val="28"/>
          <w:szCs w:val="32"/>
        </w:rPr>
        <w:t>最长不超过3个月，</w:t>
      </w:r>
      <w:r>
        <w:rPr>
          <w:rFonts w:hint="eastAsia" w:ascii="仿宋_GB2312" w:eastAsia="仿宋_GB2312"/>
          <w:bCs/>
          <w:sz w:val="28"/>
          <w:szCs w:val="28"/>
        </w:rPr>
        <w:t>车</w:t>
      </w:r>
      <w:r>
        <w:rPr>
          <w:rFonts w:ascii="仿宋_GB2312" w:eastAsia="仿宋_GB2312"/>
          <w:bCs/>
          <w:sz w:val="28"/>
          <w:szCs w:val="28"/>
        </w:rPr>
        <w:t>联网</w:t>
      </w:r>
      <w:r>
        <w:rPr>
          <w:rFonts w:hint="eastAsia" w:ascii="仿宋_GB2312" w:eastAsia="仿宋_GB2312"/>
          <w:bCs/>
          <w:sz w:val="28"/>
          <w:szCs w:val="28"/>
        </w:rPr>
        <w:t>测试期商品为 “30-270天物联网测试期套餐-按日生效”，测试周</w:t>
      </w:r>
      <w:r>
        <w:rPr>
          <w:rFonts w:hint="eastAsia" w:ascii="仿宋_GB2312" w:eastAsia="仿宋_GB2312"/>
          <w:bCs/>
          <w:sz w:val="28"/>
          <w:szCs w:val="28"/>
          <w:lang w:eastAsia="zh-CN"/>
        </w:rPr>
        <w:t>期</w:t>
      </w:r>
      <w:r>
        <w:rPr>
          <w:rFonts w:hint="eastAsia" w:ascii="仿宋_GB2312" w:eastAsia="仿宋_GB2312"/>
          <w:bCs/>
          <w:sz w:val="28"/>
          <w:szCs w:val="28"/>
        </w:rPr>
        <w:t>可以自定义（大于等于30，小于等于270）。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（2）可测试、库存、待激活合计周期最长不超过12个自然月，超过12个自然月后自动进入已激活。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（3）可测试、库存、待激活状态可以订购计费商品，计费商品生效方式可以选择立即、下账期和指定时间生效三种方式计算生效时间，即激活时间早于生效时间，则按照生效时间计算，否则按照激活时间计算。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（4）待激活状态的卡首次使用业务产生话单后自动进入已激活状态；库存状态的卡不能直接使用，需人工</w:t>
      </w:r>
      <w:r>
        <w:rPr>
          <w:rFonts w:ascii="仿宋_GB2312" w:eastAsia="仿宋_GB2312"/>
          <w:bCs/>
          <w:sz w:val="28"/>
          <w:szCs w:val="28"/>
        </w:rPr>
        <w:t>方式</w:t>
      </w:r>
      <w:r>
        <w:rPr>
          <w:rFonts w:hint="eastAsia" w:ascii="仿宋_GB2312" w:eastAsia="仿宋_GB2312"/>
          <w:bCs/>
          <w:sz w:val="28"/>
          <w:szCs w:val="28"/>
        </w:rPr>
        <w:t>转为待激活或者已激活后才能使用。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2、NB主体产品生命周期规则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提供可测试、库存、已激活、已停机、预销户、已销户等6个生命周期状态。生命周期状态触发规则如下：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（1）开户时可选择可测试、库存、已激活中任一状态为初始状态。测试期商品分别为“1个月物联卡测试期套餐(NB) ”、“3个月物联卡测试期套餐(NB) ”、“6个月物联卡测试期套餐(NB) ”。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（2）可测试、库存合计周期最长不超过12个自然月，超过12个自然月后自动进入已激活。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3）可测试状态可以订购计费商品，计费商品生效方式可以选择立即、下账期和指定时间生效三种方式计算生效时间，激活时生效。库存状态必须订购计费商品，计费商品生效方式可以选择立即、下账期和指定时间生效三种方式计算生效时间，激活时生效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3、M2M生命周期规则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（1）M2M临时卡生命周期规则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提供可测试、库存、已激活、已停机、预销户、已销户等6个生命周期状态。生命周期状态触发规则如下：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1）开户时可选择可测试、库存中任一状态为初始状态。测试期商品为 “30-270天物联网测试期套餐-按日生效”，测试周</w:t>
      </w:r>
      <w:r>
        <w:rPr>
          <w:rFonts w:hint="eastAsia" w:ascii="仿宋_GB2312" w:eastAsia="仿宋_GB2312"/>
          <w:bCs/>
          <w:sz w:val="28"/>
          <w:szCs w:val="28"/>
          <w:lang w:eastAsia="zh-CN"/>
        </w:rPr>
        <w:t>期</w:t>
      </w:r>
      <w:r>
        <w:rPr>
          <w:rFonts w:hint="eastAsia" w:ascii="仿宋_GB2312" w:eastAsia="仿宋_GB2312"/>
          <w:bCs/>
          <w:sz w:val="28"/>
          <w:szCs w:val="28"/>
        </w:rPr>
        <w:t>可以自定义（大于等于30，小于等于270）。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2）可测试、库存初始最长周期为12个月，超过12个月后进入停机状态，但库存期到期前M2M空写卡中临时卡可以进行库存期无限延长。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3）可测试、库存状态不可以订购计费商品，仅可以在进行空写前由系统自动订购数据及短信功能产品。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4）库存状态的卡不能直接使用，仅可以在空写前由系统自动变为已激活后才能使用。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（2）M2M正式卡（空写）生命周期规则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 xml:space="preserve"> 提供待激活、已激活、已停机、预销户、已销户等5个生命周期状态。生命周期状态触发规则如下：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1）产线空写模式非窄带网用户：开户时必须开通待激活状态，空中写卡成功后待激活周期重置为3个月，超期后自动变为“已激活”，；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2）终端空写模式非窄带网用户：开户时初始状态只允许设置待激活、已激活状态；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3）产线空写模式/终端空写模式窄带网用户：用户开户时初始状态只允许设置已激活状态；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（3）M2M正式卡（非空写）生命周期规则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与非M2M空写业务的物联卡\车联网生命周期规则一致。</w:t>
      </w:r>
    </w:p>
    <w:p>
      <w:pPr>
        <w:pStyle w:val="4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二、PBOSS系统生命周期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1、物联网/车联网主体产品生命周期规则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提供测试期、沉默期、正常、停机、预销户、销户、单向停机</w:t>
      </w:r>
      <w:r>
        <w:rPr>
          <w:rFonts w:hint="eastAsia" w:ascii="仿宋_GB2312" w:eastAsia="仿宋_GB2312"/>
          <w:bCs/>
          <w:sz w:val="28"/>
          <w:szCs w:val="28"/>
          <w:lang w:eastAsia="zh-CN"/>
        </w:rPr>
        <w:t>等</w:t>
      </w:r>
      <w:bookmarkStart w:id="0" w:name="_GoBack"/>
      <w:bookmarkEnd w:id="0"/>
      <w:r>
        <w:rPr>
          <w:rFonts w:hint="eastAsia" w:ascii="仿宋_GB2312" w:eastAsia="仿宋_GB2312"/>
          <w:bCs/>
          <w:sz w:val="28"/>
          <w:szCs w:val="28"/>
        </w:rPr>
        <w:t>7个生命周期状态。生命周期状态触发规则如下：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（1）开户时用户可以选择正常状态为初始状态。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（2）用户只能在首次订购测试期套餐时进入测试期。测试期只能开通一次，不允许重复订购和再次订购测试期套餐；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（3）用户在订购测试期套餐的同时可一并订购正常计费期套餐，订购后测试期套餐与正常计费期套餐不能同时生效。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（4）测试期加沉默期时间最长12个自然月。沉默期状态中，用户首次使用无线数据通信上网或短信业务，通过首话单激活的方式激活为正常状态。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（5）进入停机、单向停机周期中锁定呼入呼出和数据通信服务。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2、NB主体产品生命周期规则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提供测试期、正常、停机、预销户、销户、单向停机等</w:t>
      </w:r>
      <w:r>
        <w:rPr>
          <w:rFonts w:ascii="仿宋_GB2312" w:eastAsia="仿宋_GB2312"/>
          <w:bCs/>
          <w:sz w:val="28"/>
          <w:szCs w:val="28"/>
        </w:rPr>
        <w:t>6</w:t>
      </w:r>
      <w:r>
        <w:rPr>
          <w:rFonts w:hint="eastAsia" w:ascii="仿宋_GB2312" w:eastAsia="仿宋_GB2312"/>
          <w:bCs/>
          <w:sz w:val="28"/>
          <w:szCs w:val="28"/>
        </w:rPr>
        <w:t>个生命周期状态，生命周期状态触发规则如下：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（1）开户时用户选择正常状态为初始状态。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（2）用户订购测试期套餐后进入测试期。测试期只能开通一次，不允许重复订购和再次订购测试期套餐；</w:t>
      </w:r>
    </w:p>
    <w:p>
      <w:pPr>
        <w:spacing w:line="360" w:lineRule="auto"/>
        <w:ind w:firstLine="560" w:firstLineChars="200"/>
        <w:rPr>
          <w:rFonts w:ascii="仿宋_GB2312" w:eastAsia="仿宋_GB2312"/>
          <w:bCs/>
          <w:sz w:val="28"/>
          <w:szCs w:val="28"/>
        </w:rPr>
      </w:pPr>
      <w:r>
        <w:rPr>
          <w:rFonts w:hint="eastAsia" w:ascii="仿宋_GB2312" w:eastAsia="仿宋_GB2312"/>
          <w:bCs/>
          <w:sz w:val="28"/>
          <w:szCs w:val="28"/>
        </w:rPr>
        <w:t>（3）用户在订购测试期套餐的同时可一并订购正常计费期套餐，订购后测试期套餐与正常计费期套餐不能同时生效，并且生效顺序为测试期、正常期。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MzZGRkMDBlMDIzYTdkZTc1NTFlYmIwN2M0NDkxZWYifQ=="/>
  </w:docVars>
  <w:rsids>
    <w:rsidRoot w:val="00623DFA"/>
    <w:rsid w:val="00001CE8"/>
    <w:rsid w:val="00015EF4"/>
    <w:rsid w:val="00033B83"/>
    <w:rsid w:val="00036002"/>
    <w:rsid w:val="00041209"/>
    <w:rsid w:val="000479C9"/>
    <w:rsid w:val="00050F82"/>
    <w:rsid w:val="000531E7"/>
    <w:rsid w:val="0005442E"/>
    <w:rsid w:val="00062389"/>
    <w:rsid w:val="0006609F"/>
    <w:rsid w:val="0007256C"/>
    <w:rsid w:val="00074C93"/>
    <w:rsid w:val="00080873"/>
    <w:rsid w:val="000863E1"/>
    <w:rsid w:val="0009112D"/>
    <w:rsid w:val="000918C7"/>
    <w:rsid w:val="00094299"/>
    <w:rsid w:val="000953A8"/>
    <w:rsid w:val="000A14F0"/>
    <w:rsid w:val="000A7D31"/>
    <w:rsid w:val="000B36EF"/>
    <w:rsid w:val="000B45BE"/>
    <w:rsid w:val="000C030E"/>
    <w:rsid w:val="000C1793"/>
    <w:rsid w:val="000C5600"/>
    <w:rsid w:val="000C6854"/>
    <w:rsid w:val="000D0831"/>
    <w:rsid w:val="000D155C"/>
    <w:rsid w:val="000D2AEF"/>
    <w:rsid w:val="00101861"/>
    <w:rsid w:val="00106806"/>
    <w:rsid w:val="001154C9"/>
    <w:rsid w:val="0011750D"/>
    <w:rsid w:val="00120C79"/>
    <w:rsid w:val="00122F22"/>
    <w:rsid w:val="0012725C"/>
    <w:rsid w:val="0013570E"/>
    <w:rsid w:val="001377B7"/>
    <w:rsid w:val="0014019F"/>
    <w:rsid w:val="00155710"/>
    <w:rsid w:val="0015651E"/>
    <w:rsid w:val="00160F92"/>
    <w:rsid w:val="00161E42"/>
    <w:rsid w:val="001716A5"/>
    <w:rsid w:val="00176DDE"/>
    <w:rsid w:val="001808ED"/>
    <w:rsid w:val="00183A28"/>
    <w:rsid w:val="00192E50"/>
    <w:rsid w:val="001A62ED"/>
    <w:rsid w:val="001B4B85"/>
    <w:rsid w:val="001C14FA"/>
    <w:rsid w:val="001D57DA"/>
    <w:rsid w:val="001E0761"/>
    <w:rsid w:val="001F4994"/>
    <w:rsid w:val="001F5E39"/>
    <w:rsid w:val="00201CB0"/>
    <w:rsid w:val="00201DBB"/>
    <w:rsid w:val="00204795"/>
    <w:rsid w:val="00211E26"/>
    <w:rsid w:val="0021283B"/>
    <w:rsid w:val="002147FB"/>
    <w:rsid w:val="00222050"/>
    <w:rsid w:val="002227D4"/>
    <w:rsid w:val="0022603B"/>
    <w:rsid w:val="0022778A"/>
    <w:rsid w:val="00233C8A"/>
    <w:rsid w:val="00236D81"/>
    <w:rsid w:val="0023729D"/>
    <w:rsid w:val="002403F5"/>
    <w:rsid w:val="00253B6E"/>
    <w:rsid w:val="00255302"/>
    <w:rsid w:val="00265303"/>
    <w:rsid w:val="002655C1"/>
    <w:rsid w:val="0027233C"/>
    <w:rsid w:val="00273C07"/>
    <w:rsid w:val="00273C46"/>
    <w:rsid w:val="002774CC"/>
    <w:rsid w:val="00284372"/>
    <w:rsid w:val="002866DE"/>
    <w:rsid w:val="00287775"/>
    <w:rsid w:val="00287799"/>
    <w:rsid w:val="002A3F5A"/>
    <w:rsid w:val="002A5797"/>
    <w:rsid w:val="002A59AC"/>
    <w:rsid w:val="002A69E7"/>
    <w:rsid w:val="002B5D41"/>
    <w:rsid w:val="002C05ED"/>
    <w:rsid w:val="002C0E00"/>
    <w:rsid w:val="002C658D"/>
    <w:rsid w:val="002E4605"/>
    <w:rsid w:val="002F3E93"/>
    <w:rsid w:val="00300E62"/>
    <w:rsid w:val="00306C7D"/>
    <w:rsid w:val="00307A14"/>
    <w:rsid w:val="00314C67"/>
    <w:rsid w:val="00316CC4"/>
    <w:rsid w:val="00324764"/>
    <w:rsid w:val="003258DC"/>
    <w:rsid w:val="003260DE"/>
    <w:rsid w:val="00326E98"/>
    <w:rsid w:val="00330DDA"/>
    <w:rsid w:val="0033547F"/>
    <w:rsid w:val="0034221B"/>
    <w:rsid w:val="00344445"/>
    <w:rsid w:val="003456DF"/>
    <w:rsid w:val="00352762"/>
    <w:rsid w:val="0035325E"/>
    <w:rsid w:val="003544FC"/>
    <w:rsid w:val="00357474"/>
    <w:rsid w:val="00371925"/>
    <w:rsid w:val="00373593"/>
    <w:rsid w:val="00373B6A"/>
    <w:rsid w:val="00374EDC"/>
    <w:rsid w:val="003862AA"/>
    <w:rsid w:val="003907A4"/>
    <w:rsid w:val="003916E9"/>
    <w:rsid w:val="003A0032"/>
    <w:rsid w:val="003A3AB3"/>
    <w:rsid w:val="003B4443"/>
    <w:rsid w:val="003B4600"/>
    <w:rsid w:val="003B4935"/>
    <w:rsid w:val="003B622C"/>
    <w:rsid w:val="003C3477"/>
    <w:rsid w:val="003C51E8"/>
    <w:rsid w:val="003D77A7"/>
    <w:rsid w:val="003E132E"/>
    <w:rsid w:val="003E4A6A"/>
    <w:rsid w:val="003E5BE8"/>
    <w:rsid w:val="003F3A89"/>
    <w:rsid w:val="00401BA7"/>
    <w:rsid w:val="00404511"/>
    <w:rsid w:val="00406D79"/>
    <w:rsid w:val="00410CA4"/>
    <w:rsid w:val="0041317F"/>
    <w:rsid w:val="00413C59"/>
    <w:rsid w:val="00415DAA"/>
    <w:rsid w:val="00422405"/>
    <w:rsid w:val="0042477D"/>
    <w:rsid w:val="00424D68"/>
    <w:rsid w:val="00425DB4"/>
    <w:rsid w:val="00431541"/>
    <w:rsid w:val="0043244F"/>
    <w:rsid w:val="004346A6"/>
    <w:rsid w:val="00434E47"/>
    <w:rsid w:val="004411A1"/>
    <w:rsid w:val="004447A0"/>
    <w:rsid w:val="00446345"/>
    <w:rsid w:val="00451EB8"/>
    <w:rsid w:val="00452CBC"/>
    <w:rsid w:val="004542C7"/>
    <w:rsid w:val="004645AE"/>
    <w:rsid w:val="00465D54"/>
    <w:rsid w:val="00466956"/>
    <w:rsid w:val="00467ADD"/>
    <w:rsid w:val="004715F1"/>
    <w:rsid w:val="004768E2"/>
    <w:rsid w:val="0048330A"/>
    <w:rsid w:val="00485123"/>
    <w:rsid w:val="00485705"/>
    <w:rsid w:val="0049179A"/>
    <w:rsid w:val="00494504"/>
    <w:rsid w:val="00496CAC"/>
    <w:rsid w:val="00496E60"/>
    <w:rsid w:val="004975C2"/>
    <w:rsid w:val="004A39DC"/>
    <w:rsid w:val="004A6040"/>
    <w:rsid w:val="004A7EE8"/>
    <w:rsid w:val="004B4049"/>
    <w:rsid w:val="004C15F6"/>
    <w:rsid w:val="004C2D5D"/>
    <w:rsid w:val="004C2DF1"/>
    <w:rsid w:val="004C50EF"/>
    <w:rsid w:val="004C5562"/>
    <w:rsid w:val="004D019B"/>
    <w:rsid w:val="004D2F77"/>
    <w:rsid w:val="004D7AEA"/>
    <w:rsid w:val="004E15F9"/>
    <w:rsid w:val="004E4405"/>
    <w:rsid w:val="004F0B27"/>
    <w:rsid w:val="004F1DEA"/>
    <w:rsid w:val="004F669C"/>
    <w:rsid w:val="0050053A"/>
    <w:rsid w:val="00501301"/>
    <w:rsid w:val="0050494A"/>
    <w:rsid w:val="0051495F"/>
    <w:rsid w:val="00517160"/>
    <w:rsid w:val="00526656"/>
    <w:rsid w:val="00536E61"/>
    <w:rsid w:val="00542148"/>
    <w:rsid w:val="00546C6D"/>
    <w:rsid w:val="00547458"/>
    <w:rsid w:val="005553DB"/>
    <w:rsid w:val="00556024"/>
    <w:rsid w:val="005572A5"/>
    <w:rsid w:val="00566189"/>
    <w:rsid w:val="00571F91"/>
    <w:rsid w:val="00573817"/>
    <w:rsid w:val="00590588"/>
    <w:rsid w:val="00592218"/>
    <w:rsid w:val="00596C5B"/>
    <w:rsid w:val="005B6789"/>
    <w:rsid w:val="005C4DE6"/>
    <w:rsid w:val="005C6300"/>
    <w:rsid w:val="005D04A5"/>
    <w:rsid w:val="005E3EF1"/>
    <w:rsid w:val="005E4607"/>
    <w:rsid w:val="006010ED"/>
    <w:rsid w:val="006040E8"/>
    <w:rsid w:val="00605D70"/>
    <w:rsid w:val="00606891"/>
    <w:rsid w:val="006112DB"/>
    <w:rsid w:val="00613314"/>
    <w:rsid w:val="00613A6C"/>
    <w:rsid w:val="006207CE"/>
    <w:rsid w:val="00620DDE"/>
    <w:rsid w:val="00623714"/>
    <w:rsid w:val="00623DFA"/>
    <w:rsid w:val="006241F9"/>
    <w:rsid w:val="006255C8"/>
    <w:rsid w:val="006359F4"/>
    <w:rsid w:val="0064000D"/>
    <w:rsid w:val="006428FE"/>
    <w:rsid w:val="00644EF0"/>
    <w:rsid w:val="006455D8"/>
    <w:rsid w:val="0064788A"/>
    <w:rsid w:val="0065250F"/>
    <w:rsid w:val="006555EB"/>
    <w:rsid w:val="00661CE4"/>
    <w:rsid w:val="00663E7B"/>
    <w:rsid w:val="00667CB4"/>
    <w:rsid w:val="00667DE4"/>
    <w:rsid w:val="0067397D"/>
    <w:rsid w:val="00674771"/>
    <w:rsid w:val="00674A7E"/>
    <w:rsid w:val="00676A5E"/>
    <w:rsid w:val="006771C3"/>
    <w:rsid w:val="006779ED"/>
    <w:rsid w:val="00681F03"/>
    <w:rsid w:val="00694888"/>
    <w:rsid w:val="00694E8E"/>
    <w:rsid w:val="006A078D"/>
    <w:rsid w:val="006A2617"/>
    <w:rsid w:val="006A3DAD"/>
    <w:rsid w:val="006B406B"/>
    <w:rsid w:val="006C5320"/>
    <w:rsid w:val="006C6795"/>
    <w:rsid w:val="006D4D22"/>
    <w:rsid w:val="006F03DD"/>
    <w:rsid w:val="006F1647"/>
    <w:rsid w:val="006F5911"/>
    <w:rsid w:val="006F77F9"/>
    <w:rsid w:val="00703CE3"/>
    <w:rsid w:val="00704B46"/>
    <w:rsid w:val="00704B6C"/>
    <w:rsid w:val="00706C99"/>
    <w:rsid w:val="00712220"/>
    <w:rsid w:val="0071366F"/>
    <w:rsid w:val="00717003"/>
    <w:rsid w:val="00722A8C"/>
    <w:rsid w:val="00727553"/>
    <w:rsid w:val="0072767D"/>
    <w:rsid w:val="00732DA7"/>
    <w:rsid w:val="00733B4C"/>
    <w:rsid w:val="0073627B"/>
    <w:rsid w:val="00746D00"/>
    <w:rsid w:val="00747089"/>
    <w:rsid w:val="00751DC6"/>
    <w:rsid w:val="007522A0"/>
    <w:rsid w:val="00757719"/>
    <w:rsid w:val="00762763"/>
    <w:rsid w:val="00764D5C"/>
    <w:rsid w:val="0076501C"/>
    <w:rsid w:val="0076755B"/>
    <w:rsid w:val="00770931"/>
    <w:rsid w:val="00776685"/>
    <w:rsid w:val="00777B3A"/>
    <w:rsid w:val="00786CD1"/>
    <w:rsid w:val="00797FA7"/>
    <w:rsid w:val="007A58F2"/>
    <w:rsid w:val="007A7E5C"/>
    <w:rsid w:val="007C1762"/>
    <w:rsid w:val="007C6168"/>
    <w:rsid w:val="007D27BD"/>
    <w:rsid w:val="007D44C9"/>
    <w:rsid w:val="007D4740"/>
    <w:rsid w:val="007E11A9"/>
    <w:rsid w:val="007E5621"/>
    <w:rsid w:val="007E7466"/>
    <w:rsid w:val="007F0AB7"/>
    <w:rsid w:val="007F6AAE"/>
    <w:rsid w:val="007F73D0"/>
    <w:rsid w:val="008009EB"/>
    <w:rsid w:val="008016EC"/>
    <w:rsid w:val="008023AE"/>
    <w:rsid w:val="00803462"/>
    <w:rsid w:val="00804E57"/>
    <w:rsid w:val="00810B83"/>
    <w:rsid w:val="0081114C"/>
    <w:rsid w:val="00813506"/>
    <w:rsid w:val="00820C58"/>
    <w:rsid w:val="0082397E"/>
    <w:rsid w:val="00833D6B"/>
    <w:rsid w:val="00844485"/>
    <w:rsid w:val="00844D52"/>
    <w:rsid w:val="00845D27"/>
    <w:rsid w:val="008548BB"/>
    <w:rsid w:val="008568CB"/>
    <w:rsid w:val="00857891"/>
    <w:rsid w:val="008619E0"/>
    <w:rsid w:val="008661C1"/>
    <w:rsid w:val="00870124"/>
    <w:rsid w:val="00874426"/>
    <w:rsid w:val="0088503C"/>
    <w:rsid w:val="008865BA"/>
    <w:rsid w:val="00887D73"/>
    <w:rsid w:val="008A14BB"/>
    <w:rsid w:val="008A2460"/>
    <w:rsid w:val="008A3324"/>
    <w:rsid w:val="008A3B99"/>
    <w:rsid w:val="008B1759"/>
    <w:rsid w:val="008C1ACA"/>
    <w:rsid w:val="008C5799"/>
    <w:rsid w:val="008C637A"/>
    <w:rsid w:val="008D30BE"/>
    <w:rsid w:val="008D6BBD"/>
    <w:rsid w:val="008F2524"/>
    <w:rsid w:val="008F298B"/>
    <w:rsid w:val="008F4938"/>
    <w:rsid w:val="008F7870"/>
    <w:rsid w:val="009043FF"/>
    <w:rsid w:val="00913FBF"/>
    <w:rsid w:val="00914D40"/>
    <w:rsid w:val="00916D8A"/>
    <w:rsid w:val="00917071"/>
    <w:rsid w:val="009270C5"/>
    <w:rsid w:val="00930359"/>
    <w:rsid w:val="00935552"/>
    <w:rsid w:val="009375B0"/>
    <w:rsid w:val="00942F27"/>
    <w:rsid w:val="00950CD6"/>
    <w:rsid w:val="0095518B"/>
    <w:rsid w:val="009564D4"/>
    <w:rsid w:val="00960F17"/>
    <w:rsid w:val="00961A76"/>
    <w:rsid w:val="00970D93"/>
    <w:rsid w:val="00972B5A"/>
    <w:rsid w:val="0097707D"/>
    <w:rsid w:val="00977542"/>
    <w:rsid w:val="009901AF"/>
    <w:rsid w:val="00994EFC"/>
    <w:rsid w:val="0099656F"/>
    <w:rsid w:val="009B58A8"/>
    <w:rsid w:val="009C3CCB"/>
    <w:rsid w:val="009C7A61"/>
    <w:rsid w:val="009D061C"/>
    <w:rsid w:val="009D194A"/>
    <w:rsid w:val="009D58E2"/>
    <w:rsid w:val="009D68BF"/>
    <w:rsid w:val="009D7F85"/>
    <w:rsid w:val="009E2A9E"/>
    <w:rsid w:val="009F0D25"/>
    <w:rsid w:val="00A00803"/>
    <w:rsid w:val="00A0296B"/>
    <w:rsid w:val="00A042F0"/>
    <w:rsid w:val="00A04822"/>
    <w:rsid w:val="00A11DEB"/>
    <w:rsid w:val="00A15062"/>
    <w:rsid w:val="00A16483"/>
    <w:rsid w:val="00A1741F"/>
    <w:rsid w:val="00A20943"/>
    <w:rsid w:val="00A20984"/>
    <w:rsid w:val="00A21960"/>
    <w:rsid w:val="00A2268C"/>
    <w:rsid w:val="00A254DD"/>
    <w:rsid w:val="00A26168"/>
    <w:rsid w:val="00A32B7E"/>
    <w:rsid w:val="00A411AA"/>
    <w:rsid w:val="00A45D0F"/>
    <w:rsid w:val="00A46FE8"/>
    <w:rsid w:val="00A50468"/>
    <w:rsid w:val="00A516E4"/>
    <w:rsid w:val="00A522F4"/>
    <w:rsid w:val="00A52869"/>
    <w:rsid w:val="00A54A2A"/>
    <w:rsid w:val="00A56790"/>
    <w:rsid w:val="00A61AD5"/>
    <w:rsid w:val="00A62C08"/>
    <w:rsid w:val="00A65B93"/>
    <w:rsid w:val="00A86D2D"/>
    <w:rsid w:val="00AA08B3"/>
    <w:rsid w:val="00AB72E7"/>
    <w:rsid w:val="00AC1E49"/>
    <w:rsid w:val="00AC201D"/>
    <w:rsid w:val="00AC2140"/>
    <w:rsid w:val="00AC3A1E"/>
    <w:rsid w:val="00AC467D"/>
    <w:rsid w:val="00AC46DA"/>
    <w:rsid w:val="00AE04C5"/>
    <w:rsid w:val="00AE1E57"/>
    <w:rsid w:val="00AE24E8"/>
    <w:rsid w:val="00AE565A"/>
    <w:rsid w:val="00AF04A9"/>
    <w:rsid w:val="00AF4707"/>
    <w:rsid w:val="00AF6430"/>
    <w:rsid w:val="00B02D27"/>
    <w:rsid w:val="00B0481B"/>
    <w:rsid w:val="00B115DA"/>
    <w:rsid w:val="00B25BB4"/>
    <w:rsid w:val="00B270F1"/>
    <w:rsid w:val="00B274D3"/>
    <w:rsid w:val="00B27A18"/>
    <w:rsid w:val="00B305AA"/>
    <w:rsid w:val="00B3622E"/>
    <w:rsid w:val="00B36902"/>
    <w:rsid w:val="00B434EA"/>
    <w:rsid w:val="00B4442E"/>
    <w:rsid w:val="00B568CB"/>
    <w:rsid w:val="00B56C40"/>
    <w:rsid w:val="00B56CE3"/>
    <w:rsid w:val="00B622CE"/>
    <w:rsid w:val="00B718B1"/>
    <w:rsid w:val="00B74448"/>
    <w:rsid w:val="00B7789C"/>
    <w:rsid w:val="00B83038"/>
    <w:rsid w:val="00B85DA4"/>
    <w:rsid w:val="00BA09D9"/>
    <w:rsid w:val="00BA2393"/>
    <w:rsid w:val="00BB11AD"/>
    <w:rsid w:val="00BC5F7C"/>
    <w:rsid w:val="00BC6AC4"/>
    <w:rsid w:val="00BD02F4"/>
    <w:rsid w:val="00BD53C1"/>
    <w:rsid w:val="00BD76C6"/>
    <w:rsid w:val="00BE0112"/>
    <w:rsid w:val="00BE7581"/>
    <w:rsid w:val="00BF4B33"/>
    <w:rsid w:val="00BF5181"/>
    <w:rsid w:val="00C005F1"/>
    <w:rsid w:val="00C01390"/>
    <w:rsid w:val="00C025B6"/>
    <w:rsid w:val="00C02ACB"/>
    <w:rsid w:val="00C02F61"/>
    <w:rsid w:val="00C04C92"/>
    <w:rsid w:val="00C056FC"/>
    <w:rsid w:val="00C12984"/>
    <w:rsid w:val="00C23DF4"/>
    <w:rsid w:val="00C2421A"/>
    <w:rsid w:val="00C344C8"/>
    <w:rsid w:val="00C34FAE"/>
    <w:rsid w:val="00C456D8"/>
    <w:rsid w:val="00C509E6"/>
    <w:rsid w:val="00C50ADD"/>
    <w:rsid w:val="00C51173"/>
    <w:rsid w:val="00C51E54"/>
    <w:rsid w:val="00C523D3"/>
    <w:rsid w:val="00C52486"/>
    <w:rsid w:val="00C55004"/>
    <w:rsid w:val="00C57AF9"/>
    <w:rsid w:val="00C6166D"/>
    <w:rsid w:val="00C70D8D"/>
    <w:rsid w:val="00C8779E"/>
    <w:rsid w:val="00C90FA7"/>
    <w:rsid w:val="00C90FD6"/>
    <w:rsid w:val="00CA5387"/>
    <w:rsid w:val="00CA6BF2"/>
    <w:rsid w:val="00CA7819"/>
    <w:rsid w:val="00CB1C59"/>
    <w:rsid w:val="00CB31DF"/>
    <w:rsid w:val="00CB4DD5"/>
    <w:rsid w:val="00CB561D"/>
    <w:rsid w:val="00CD10FE"/>
    <w:rsid w:val="00CD3E47"/>
    <w:rsid w:val="00CD47B4"/>
    <w:rsid w:val="00CD5493"/>
    <w:rsid w:val="00CE2F7D"/>
    <w:rsid w:val="00CE6D95"/>
    <w:rsid w:val="00CF0DE0"/>
    <w:rsid w:val="00D033DF"/>
    <w:rsid w:val="00D05E08"/>
    <w:rsid w:val="00D1073E"/>
    <w:rsid w:val="00D15D1D"/>
    <w:rsid w:val="00D2179A"/>
    <w:rsid w:val="00D21966"/>
    <w:rsid w:val="00D235B3"/>
    <w:rsid w:val="00D26345"/>
    <w:rsid w:val="00D277D4"/>
    <w:rsid w:val="00D33E08"/>
    <w:rsid w:val="00D34CCB"/>
    <w:rsid w:val="00D37B99"/>
    <w:rsid w:val="00D37F7C"/>
    <w:rsid w:val="00D4394D"/>
    <w:rsid w:val="00D60B0F"/>
    <w:rsid w:val="00D63D77"/>
    <w:rsid w:val="00D65A4D"/>
    <w:rsid w:val="00D6627D"/>
    <w:rsid w:val="00D717FF"/>
    <w:rsid w:val="00D749EF"/>
    <w:rsid w:val="00D76B4B"/>
    <w:rsid w:val="00D80F70"/>
    <w:rsid w:val="00D81601"/>
    <w:rsid w:val="00D81CAC"/>
    <w:rsid w:val="00D81F03"/>
    <w:rsid w:val="00D92888"/>
    <w:rsid w:val="00D95377"/>
    <w:rsid w:val="00DA06A3"/>
    <w:rsid w:val="00DA43F1"/>
    <w:rsid w:val="00DB1F11"/>
    <w:rsid w:val="00DB3FD5"/>
    <w:rsid w:val="00DC0247"/>
    <w:rsid w:val="00DC3509"/>
    <w:rsid w:val="00DC404E"/>
    <w:rsid w:val="00DD0677"/>
    <w:rsid w:val="00DD3045"/>
    <w:rsid w:val="00DE5CF7"/>
    <w:rsid w:val="00DF5B28"/>
    <w:rsid w:val="00E02651"/>
    <w:rsid w:val="00E14731"/>
    <w:rsid w:val="00E14EDD"/>
    <w:rsid w:val="00E1639B"/>
    <w:rsid w:val="00E16B9F"/>
    <w:rsid w:val="00E17436"/>
    <w:rsid w:val="00E30CDB"/>
    <w:rsid w:val="00E4276D"/>
    <w:rsid w:val="00E4526E"/>
    <w:rsid w:val="00E54D15"/>
    <w:rsid w:val="00E6353B"/>
    <w:rsid w:val="00E64834"/>
    <w:rsid w:val="00E658AD"/>
    <w:rsid w:val="00E6783B"/>
    <w:rsid w:val="00E72661"/>
    <w:rsid w:val="00E73EE2"/>
    <w:rsid w:val="00E75206"/>
    <w:rsid w:val="00E9112C"/>
    <w:rsid w:val="00EA27AD"/>
    <w:rsid w:val="00EA3760"/>
    <w:rsid w:val="00EA3A53"/>
    <w:rsid w:val="00EB4487"/>
    <w:rsid w:val="00EC1ED9"/>
    <w:rsid w:val="00EC65AA"/>
    <w:rsid w:val="00EC67D8"/>
    <w:rsid w:val="00ED1AC7"/>
    <w:rsid w:val="00EE2797"/>
    <w:rsid w:val="00EF0CB5"/>
    <w:rsid w:val="00EF26E2"/>
    <w:rsid w:val="00EF46CD"/>
    <w:rsid w:val="00EF4F0B"/>
    <w:rsid w:val="00EF7143"/>
    <w:rsid w:val="00F0525D"/>
    <w:rsid w:val="00F069CC"/>
    <w:rsid w:val="00F12A4F"/>
    <w:rsid w:val="00F13A10"/>
    <w:rsid w:val="00F15988"/>
    <w:rsid w:val="00F2073B"/>
    <w:rsid w:val="00F265E5"/>
    <w:rsid w:val="00F26930"/>
    <w:rsid w:val="00F305D2"/>
    <w:rsid w:val="00F32A55"/>
    <w:rsid w:val="00F359B3"/>
    <w:rsid w:val="00F46177"/>
    <w:rsid w:val="00F47933"/>
    <w:rsid w:val="00F514AC"/>
    <w:rsid w:val="00F560CA"/>
    <w:rsid w:val="00F619D4"/>
    <w:rsid w:val="00F6377E"/>
    <w:rsid w:val="00F64102"/>
    <w:rsid w:val="00F67270"/>
    <w:rsid w:val="00F7317A"/>
    <w:rsid w:val="00F73A10"/>
    <w:rsid w:val="00F74B10"/>
    <w:rsid w:val="00F76FD6"/>
    <w:rsid w:val="00F771B1"/>
    <w:rsid w:val="00F77EB3"/>
    <w:rsid w:val="00F901DA"/>
    <w:rsid w:val="00F92256"/>
    <w:rsid w:val="00F9550B"/>
    <w:rsid w:val="00FA2B2F"/>
    <w:rsid w:val="00FA6029"/>
    <w:rsid w:val="00FB247D"/>
    <w:rsid w:val="00FB270A"/>
    <w:rsid w:val="00FB4B7A"/>
    <w:rsid w:val="00FD1448"/>
    <w:rsid w:val="00FD4BC6"/>
    <w:rsid w:val="00FD789A"/>
    <w:rsid w:val="00FE0F0D"/>
    <w:rsid w:val="00FE3D59"/>
    <w:rsid w:val="00FE477F"/>
    <w:rsid w:val="00FF3002"/>
    <w:rsid w:val="00FF4243"/>
    <w:rsid w:val="00FF5F01"/>
    <w:rsid w:val="00FF70C9"/>
    <w:rsid w:val="19F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line="360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4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4"/>
    <w:link w:val="9"/>
    <w:uiPriority w:val="99"/>
    <w:rPr>
      <w:sz w:val="18"/>
      <w:szCs w:val="18"/>
    </w:rPr>
  </w:style>
  <w:style w:type="character" w:customStyle="1" w:styleId="17">
    <w:name w:val="页脚 Char"/>
    <w:basedOn w:val="14"/>
    <w:link w:val="8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3">
    <w:name w:val="批注文字 Char"/>
    <w:basedOn w:val="14"/>
    <w:link w:val="6"/>
    <w:semiHidden/>
    <w:qFormat/>
    <w:uiPriority w:val="99"/>
  </w:style>
  <w:style w:type="character" w:customStyle="1" w:styleId="24">
    <w:name w:val="批注主题 Char"/>
    <w:basedOn w:val="23"/>
    <w:link w:val="11"/>
    <w:semiHidden/>
    <w:qFormat/>
    <w:uiPriority w:val="99"/>
    <w:rPr>
      <w:b/>
      <w:bCs/>
    </w:rPr>
  </w:style>
  <w:style w:type="character" w:customStyle="1" w:styleId="25">
    <w:name w:val="文档结构图 Char"/>
    <w:basedOn w:val="14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AD70E-B7FB-4350-9414-005D3FB20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269</Words>
  <Characters>1536</Characters>
  <Lines>12</Lines>
  <Paragraphs>3</Paragraphs>
  <TotalTime>723</TotalTime>
  <ScaleCrop>false</ScaleCrop>
  <LinksUpToDate>false</LinksUpToDate>
  <CharactersWithSpaces>1802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2019-10-17T08:21:00Z</dcterms:created>
  <dc:creator>范哲</dc:creator>
  <cp:lastModifiedBy>空谷</cp:lastModifiedBy>
  <cp:lastPrinted>2019-10-11T08:58:00Z</cp:lastPrinted>
  <dcterms:modified xsi:type="dcterms:W3CDTF">2023-11-28T07:01:38Z</dcterms:modified>
  <cp:revision>452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8EA2B82B898841128AF2AAC7BBFE3854_12</vt:lpwstr>
  </property>
</Properties>
</file>